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spacing w:after="0"/>
        <w:rPr>
          <w:sz w:val="20"/>
          <w:szCs w:val="20"/>
          <w:color w:val="auto"/>
        </w:rPr>
      </w:pPr>
      <w:r>
        <w:rPr>
          <w:rFonts w:ascii="Arial" w:cs="Arial" w:eastAsia="Arial" w:hAnsi="Arial"/>
          <w:sz w:val="18"/>
          <w:szCs w:val="18"/>
          <w:b w:val="1"/>
          <w:bCs w:val="1"/>
          <w:color w:val="auto"/>
        </w:rPr>
        <w:t>UNITED STATES</w:t>
      </w:r>
    </w:p>
    <w:p>
      <w:pPr>
        <w:spacing w:after="0" w:line="27"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SECURITIES AND EXCHANGE COMMISSION</w:t>
      </w:r>
    </w:p>
    <w:p>
      <w:pPr>
        <w:spacing w:after="0" w:line="9"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Washington, D.C. 20549</w:t>
      </w:r>
    </w:p>
    <w:p>
      <w:pPr>
        <w:spacing w:after="0" w:line="9" w:lineRule="exact"/>
        <w:rPr>
          <w:sz w:val="24"/>
          <w:szCs w:val="24"/>
          <w:color w:val="auto"/>
        </w:rPr>
      </w:pPr>
    </w:p>
    <w:p>
      <w:pPr>
        <w:ind w:left="4480"/>
        <w:spacing w:after="0"/>
        <w:rPr>
          <w:sz w:val="20"/>
          <w:szCs w:val="20"/>
          <w:color w:val="auto"/>
        </w:rPr>
      </w:pPr>
      <w:r>
        <w:rPr>
          <w:rFonts w:ascii="Arial" w:cs="Arial" w:eastAsia="Arial" w:hAnsi="Arial"/>
          <w:sz w:val="18"/>
          <w:szCs w:val="18"/>
          <w:color w:val="auto"/>
        </w:rPr>
        <w:t>___________________________</w:t>
      </w:r>
    </w:p>
    <w:p>
      <w:pPr>
        <w:spacing w:after="0" w:line="207" w:lineRule="exact"/>
        <w:rPr>
          <w:sz w:val="24"/>
          <w:szCs w:val="24"/>
          <w:color w:val="auto"/>
        </w:rPr>
      </w:pPr>
    </w:p>
    <w:p>
      <w:pPr>
        <w:jc w:val="center"/>
        <w:ind w:right="-159"/>
        <w:spacing w:after="0"/>
        <w:rPr>
          <w:sz w:val="20"/>
          <w:szCs w:val="20"/>
          <w:color w:val="auto"/>
        </w:rPr>
      </w:pPr>
      <w:r>
        <w:rPr>
          <w:rFonts w:ascii="Arial" w:cs="Arial" w:eastAsia="Arial" w:hAnsi="Arial"/>
          <w:sz w:val="18"/>
          <w:szCs w:val="18"/>
          <w:b w:val="1"/>
          <w:bCs w:val="1"/>
          <w:color w:val="auto"/>
        </w:rPr>
        <w:t>FORM 10-K</w:t>
      </w:r>
    </w:p>
    <w:p>
      <w:pPr>
        <w:spacing w:after="0" w:line="225" w:lineRule="exact"/>
        <w:rPr>
          <w:sz w:val="24"/>
          <w:szCs w:val="24"/>
          <w:color w:val="auto"/>
        </w:rPr>
      </w:pPr>
    </w:p>
    <w:p>
      <w:pPr>
        <w:ind w:left="4000" w:right="3840" w:hanging="3992"/>
        <w:spacing w:after="0" w:line="293" w:lineRule="auto"/>
        <w:tabs>
          <w:tab w:leader="none" w:pos="659" w:val="left"/>
        </w:tabs>
        <w:numPr>
          <w:ilvl w:val="0"/>
          <w:numId w:val="1"/>
        </w:numPr>
        <w:rPr>
          <w:rFonts w:ascii="MS PGothic" w:cs="MS PGothic" w:eastAsia="MS PGothic" w:hAnsi="MS PGothic"/>
          <w:sz w:val="16"/>
          <w:szCs w:val="16"/>
          <w:color w:val="auto"/>
        </w:rPr>
      </w:pPr>
      <w:r>
        <w:rPr>
          <w:rFonts w:ascii="Arial" w:cs="Arial" w:eastAsia="Arial" w:hAnsi="Arial"/>
          <w:sz w:val="16"/>
          <w:szCs w:val="16"/>
          <w:b w:val="1"/>
          <w:bCs w:val="1"/>
          <w:color w:val="auto"/>
        </w:rPr>
        <w:t>Annual report pursuant to Section 13 or 15(d) of the Securities Exchange Act of 1934 For the fiscal year ended December 31, 2021</w:t>
      </w:r>
    </w:p>
    <w:p>
      <w:pPr>
        <w:spacing w:after="0" w:line="1" w:lineRule="exact"/>
        <w:rPr>
          <w:sz w:val="24"/>
          <w:szCs w:val="24"/>
          <w:color w:val="auto"/>
        </w:rPr>
      </w:pPr>
    </w:p>
    <w:p>
      <w:pPr>
        <w:jc w:val="center"/>
        <w:ind w:right="-159"/>
        <w:spacing w:after="0"/>
        <w:rPr>
          <w:sz w:val="20"/>
          <w:szCs w:val="20"/>
          <w:color w:val="auto"/>
        </w:rPr>
      </w:pPr>
      <w:r>
        <w:rPr>
          <w:rFonts w:ascii="Arial" w:cs="Arial" w:eastAsia="Arial" w:hAnsi="Arial"/>
          <w:sz w:val="18"/>
          <w:szCs w:val="18"/>
          <w:b w:val="1"/>
          <w:bCs w:val="1"/>
          <w:color w:val="auto"/>
        </w:rPr>
        <w:t>or</w:t>
      </w:r>
    </w:p>
    <w:p>
      <w:pPr>
        <w:spacing w:after="0" w:line="207" w:lineRule="exact"/>
        <w:rPr>
          <w:sz w:val="24"/>
          <w:szCs w:val="24"/>
          <w:color w:val="auto"/>
        </w:rPr>
      </w:pPr>
    </w:p>
    <w:p>
      <w:pPr>
        <w:ind w:left="660" w:hanging="652"/>
        <w:spacing w:after="0"/>
        <w:tabs>
          <w:tab w:leader="none" w:pos="660" w:val="left"/>
        </w:tabs>
        <w:numPr>
          <w:ilvl w:val="0"/>
          <w:numId w:val="2"/>
        </w:numPr>
        <w:rPr>
          <w:rFonts w:ascii="MS PGothic" w:cs="MS PGothic" w:eastAsia="MS PGothic" w:hAnsi="MS PGothic"/>
          <w:sz w:val="18"/>
          <w:szCs w:val="18"/>
          <w:color w:val="auto"/>
        </w:rPr>
      </w:pPr>
      <w:r>
        <w:rPr>
          <w:rFonts w:ascii="Arial" w:cs="Arial" w:eastAsia="Arial" w:hAnsi="Arial"/>
          <w:sz w:val="18"/>
          <w:szCs w:val="18"/>
          <w:b w:val="1"/>
          <w:bCs w:val="1"/>
          <w:color w:val="auto"/>
        </w:rPr>
        <w:t>Transition report pursuant to Section 13 or 15(d) of the Securities Exchange Act of 1934</w:t>
      </w:r>
    </w:p>
    <w:p>
      <w:pPr>
        <w:spacing w:after="0" w:line="225" w:lineRule="exact"/>
        <w:rPr>
          <w:sz w:val="24"/>
          <w:szCs w:val="24"/>
          <w:color w:val="auto"/>
        </w:rPr>
      </w:pPr>
    </w:p>
    <w:tbl>
      <w:tblPr>
        <w:tblLayout w:type="fixed"/>
        <w:tblInd w:w="10" w:type="dxa"/>
        <w:tblCellMar>
          <w:top w:w="0" w:type="dxa"/>
          <w:left w:w="0" w:type="dxa"/>
          <w:bottom w:w="0" w:type="dxa"/>
          <w:right w:w="0" w:type="dxa"/>
        </w:tblCellMar>
      </w:tblPr>
      <w:tr>
        <w:trPr>
          <w:trHeight w:val="234"/>
        </w:trPr>
        <w:tc>
          <w:tcPr>
            <w:tcW w:w="334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3240" w:type="dxa"/>
            <w:vAlign w:val="bottom"/>
          </w:tcPr>
          <w:p>
            <w:pPr>
              <w:ind w:left="520"/>
              <w:spacing w:after="0"/>
              <w:rPr>
                <w:sz w:val="20"/>
                <w:szCs w:val="20"/>
                <w:color w:val="auto"/>
              </w:rPr>
            </w:pPr>
            <w:r>
              <w:rPr>
                <w:rFonts w:ascii="Arial" w:cs="Arial" w:eastAsia="Arial" w:hAnsi="Arial"/>
                <w:sz w:val="18"/>
                <w:szCs w:val="18"/>
                <w:b w:val="1"/>
                <w:bCs w:val="1"/>
                <w:color w:val="auto"/>
              </w:rPr>
              <w:t>For the transition period from</w:t>
            </w:r>
          </w:p>
        </w:tc>
        <w:tc>
          <w:tcPr>
            <w:tcW w:w="4260" w:type="dxa"/>
            <w:vAlign w:val="bottom"/>
            <w:gridSpan w:val="2"/>
          </w:tcPr>
          <w:p>
            <w:pPr>
              <w:spacing w:after="0"/>
              <w:rPr>
                <w:sz w:val="20"/>
                <w:szCs w:val="20"/>
                <w:color w:val="auto"/>
              </w:rPr>
            </w:pPr>
            <w:r>
              <w:rPr>
                <w:rFonts w:ascii="Arial" w:cs="Arial" w:eastAsia="Arial" w:hAnsi="Arial"/>
                <w:sz w:val="18"/>
                <w:szCs w:val="18"/>
                <w:b w:val="1"/>
                <w:bCs w:val="1"/>
                <w:color w:val="auto"/>
              </w:rPr>
              <w:t>to</w:t>
            </w:r>
          </w:p>
        </w:tc>
      </w:tr>
      <w:tr>
        <w:trPr>
          <w:trHeight w:val="418"/>
        </w:trPr>
        <w:tc>
          <w:tcPr>
            <w:tcW w:w="334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7500" w:type="dxa"/>
            <w:vAlign w:val="bottom"/>
            <w:gridSpan w:val="3"/>
          </w:tcPr>
          <w:p>
            <w:pPr>
              <w:jc w:val="center"/>
              <w:ind w:right="3490"/>
              <w:spacing w:after="0"/>
              <w:rPr>
                <w:sz w:val="20"/>
                <w:szCs w:val="20"/>
                <w:color w:val="auto"/>
              </w:rPr>
            </w:pPr>
            <w:r>
              <w:rPr>
                <w:rFonts w:ascii="Arial" w:cs="Arial" w:eastAsia="Arial" w:hAnsi="Arial"/>
                <w:sz w:val="18"/>
                <w:szCs w:val="18"/>
                <w:b w:val="1"/>
                <w:bCs w:val="1"/>
                <w:color w:val="auto"/>
                <w:w w:val="90"/>
              </w:rPr>
              <w:t>Commission File Number 001-33957</w:t>
            </w:r>
          </w:p>
        </w:tc>
      </w:tr>
      <w:tr>
        <w:trPr>
          <w:trHeight w:val="230"/>
        </w:trPr>
        <w:tc>
          <w:tcPr>
            <w:tcW w:w="3340" w:type="dxa"/>
            <w:vAlign w:val="bottom"/>
          </w:tcPr>
          <w:p>
            <w:pPr>
              <w:spacing w:after="0"/>
              <w:rPr>
                <w:sz w:val="20"/>
                <w:szCs w:val="20"/>
                <w:color w:val="auto"/>
              </w:rPr>
            </w:pPr>
          </w:p>
        </w:tc>
        <w:tc>
          <w:tcPr>
            <w:tcW w:w="3640" w:type="dxa"/>
            <w:vAlign w:val="bottom"/>
            <w:gridSpan w:val="2"/>
          </w:tcPr>
          <w:p>
            <w:pPr>
              <w:jc w:val="right"/>
              <w:spacing w:after="0"/>
              <w:rPr>
                <w:sz w:val="20"/>
                <w:szCs w:val="20"/>
                <w:color w:val="auto"/>
              </w:rPr>
            </w:pPr>
            <w:r>
              <w:rPr>
                <w:rFonts w:ascii="Arial" w:cs="Arial" w:eastAsia="Arial" w:hAnsi="Arial"/>
                <w:sz w:val="18"/>
                <w:szCs w:val="18"/>
                <w:color w:val="auto"/>
              </w:rPr>
              <w:t>___________________________</w:t>
            </w:r>
          </w:p>
        </w:tc>
        <w:tc>
          <w:tcPr>
            <w:tcW w:w="580" w:type="dxa"/>
            <w:vAlign w:val="bottom"/>
          </w:tcPr>
          <w:p>
            <w:pPr>
              <w:spacing w:after="0"/>
              <w:rPr>
                <w:sz w:val="20"/>
                <w:szCs w:val="20"/>
                <w:color w:val="auto"/>
              </w:rPr>
            </w:pPr>
          </w:p>
        </w:tc>
        <w:tc>
          <w:tcPr>
            <w:tcW w:w="3680" w:type="dxa"/>
            <w:vAlign w:val="bottom"/>
          </w:tcPr>
          <w:p>
            <w:pPr>
              <w:spacing w:after="0"/>
              <w:rPr>
                <w:sz w:val="20"/>
                <w:szCs w:val="20"/>
                <w:color w:val="auto"/>
              </w:rPr>
            </w:pPr>
          </w:p>
        </w:tc>
      </w:tr>
      <w:tr>
        <w:trPr>
          <w:trHeight w:val="418"/>
        </w:trPr>
        <w:tc>
          <w:tcPr>
            <w:tcW w:w="334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3240" w:type="dxa"/>
            <w:vAlign w:val="bottom"/>
          </w:tcPr>
          <w:p>
            <w:pPr>
              <w:jc w:val="center"/>
              <w:ind w:left="590"/>
              <w:spacing w:after="0"/>
              <w:rPr>
                <w:sz w:val="20"/>
                <w:szCs w:val="20"/>
                <w:color w:val="auto"/>
              </w:rPr>
            </w:pPr>
            <w:r>
              <w:rPr>
                <w:rFonts w:ascii="Arial" w:cs="Arial" w:eastAsia="Arial" w:hAnsi="Arial"/>
                <w:sz w:val="18"/>
                <w:szCs w:val="18"/>
                <w:b w:val="1"/>
                <w:bCs w:val="1"/>
                <w:color w:val="auto"/>
                <w:w w:val="99"/>
              </w:rPr>
              <w:t>HARVARD BIOSCIENCE, INC.</w:t>
            </w:r>
          </w:p>
        </w:tc>
        <w:tc>
          <w:tcPr>
            <w:tcW w:w="580" w:type="dxa"/>
            <w:vAlign w:val="bottom"/>
          </w:tcPr>
          <w:p>
            <w:pPr>
              <w:spacing w:after="0"/>
              <w:rPr>
                <w:sz w:val="24"/>
                <w:szCs w:val="24"/>
                <w:color w:val="auto"/>
              </w:rPr>
            </w:pPr>
          </w:p>
        </w:tc>
        <w:tc>
          <w:tcPr>
            <w:tcW w:w="3680" w:type="dxa"/>
            <w:vAlign w:val="bottom"/>
          </w:tcPr>
          <w:p>
            <w:pPr>
              <w:spacing w:after="0"/>
              <w:rPr>
                <w:sz w:val="24"/>
                <w:szCs w:val="24"/>
                <w:color w:val="auto"/>
              </w:rPr>
            </w:pPr>
          </w:p>
        </w:tc>
      </w:tr>
      <w:tr>
        <w:trPr>
          <w:trHeight w:val="230"/>
        </w:trPr>
        <w:tc>
          <w:tcPr>
            <w:tcW w:w="334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7500" w:type="dxa"/>
            <w:vAlign w:val="bottom"/>
            <w:gridSpan w:val="3"/>
          </w:tcPr>
          <w:p>
            <w:pPr>
              <w:jc w:val="center"/>
              <w:ind w:right="3510"/>
              <w:spacing w:after="0"/>
              <w:rPr>
                <w:sz w:val="20"/>
                <w:szCs w:val="20"/>
                <w:color w:val="auto"/>
              </w:rPr>
            </w:pPr>
            <w:r>
              <w:rPr>
                <w:rFonts w:ascii="Arial" w:cs="Arial" w:eastAsia="Arial" w:hAnsi="Arial"/>
                <w:sz w:val="18"/>
                <w:szCs w:val="18"/>
                <w:color w:val="auto"/>
                <w:w w:val="91"/>
              </w:rPr>
              <w:t>(Exact Name of Registrant as Specified in Its Charter)</w:t>
            </w:r>
          </w:p>
        </w:tc>
      </w:tr>
      <w:tr>
        <w:trPr>
          <w:trHeight w:val="418"/>
        </w:trPr>
        <w:tc>
          <w:tcPr>
            <w:tcW w:w="3340" w:type="dxa"/>
            <w:vAlign w:val="bottom"/>
          </w:tcPr>
          <w:p>
            <w:pPr>
              <w:jc w:val="center"/>
              <w:ind w:left="2170"/>
              <w:spacing w:after="0"/>
              <w:rPr>
                <w:sz w:val="20"/>
                <w:szCs w:val="20"/>
                <w:color w:val="auto"/>
              </w:rPr>
            </w:pPr>
            <w:r>
              <w:rPr>
                <w:rFonts w:ascii="Arial" w:cs="Arial" w:eastAsia="Arial" w:hAnsi="Arial"/>
                <w:sz w:val="18"/>
                <w:szCs w:val="18"/>
                <w:b w:val="1"/>
                <w:bCs w:val="1"/>
                <w:color w:val="auto"/>
                <w:w w:val="91"/>
              </w:rPr>
              <w:t>Delaware</w:t>
            </w:r>
          </w:p>
        </w:tc>
        <w:tc>
          <w:tcPr>
            <w:tcW w:w="400" w:type="dxa"/>
            <w:vAlign w:val="bottom"/>
          </w:tcPr>
          <w:p>
            <w:pPr>
              <w:spacing w:after="0"/>
              <w:rPr>
                <w:sz w:val="24"/>
                <w:szCs w:val="24"/>
                <w:color w:val="auto"/>
              </w:rPr>
            </w:pPr>
          </w:p>
        </w:tc>
        <w:tc>
          <w:tcPr>
            <w:tcW w:w="3240" w:type="dxa"/>
            <w:vAlign w:val="bottom"/>
          </w:tcPr>
          <w:p>
            <w:pPr>
              <w:spacing w:after="0"/>
              <w:rPr>
                <w:sz w:val="24"/>
                <w:szCs w:val="24"/>
                <w:color w:val="auto"/>
              </w:rPr>
            </w:pPr>
          </w:p>
        </w:tc>
        <w:tc>
          <w:tcPr>
            <w:tcW w:w="4260" w:type="dxa"/>
            <w:vAlign w:val="bottom"/>
            <w:gridSpan w:val="2"/>
          </w:tcPr>
          <w:p>
            <w:pPr>
              <w:jc w:val="center"/>
              <w:ind w:left="170"/>
              <w:spacing w:after="0"/>
              <w:rPr>
                <w:sz w:val="20"/>
                <w:szCs w:val="20"/>
                <w:color w:val="auto"/>
              </w:rPr>
            </w:pPr>
            <w:r>
              <w:rPr>
                <w:rFonts w:ascii="Arial" w:cs="Arial" w:eastAsia="Arial" w:hAnsi="Arial"/>
                <w:sz w:val="18"/>
                <w:szCs w:val="18"/>
                <w:b w:val="1"/>
                <w:bCs w:val="1"/>
                <w:color w:val="auto"/>
                <w:w w:val="91"/>
              </w:rPr>
              <w:t>04-3306140</w:t>
            </w:r>
          </w:p>
        </w:tc>
      </w:tr>
      <w:tr>
        <w:trPr>
          <w:trHeight w:val="216"/>
        </w:trPr>
        <w:tc>
          <w:tcPr>
            <w:tcW w:w="6980" w:type="dxa"/>
            <w:vAlign w:val="bottom"/>
            <w:gridSpan w:val="3"/>
          </w:tcPr>
          <w:p>
            <w:pPr>
              <w:jc w:val="center"/>
              <w:ind w:right="1290"/>
              <w:spacing w:after="0"/>
              <w:rPr>
                <w:sz w:val="20"/>
                <w:szCs w:val="20"/>
                <w:color w:val="auto"/>
              </w:rPr>
            </w:pPr>
            <w:r>
              <w:rPr>
                <w:rFonts w:ascii="Arial" w:cs="Arial" w:eastAsia="Arial" w:hAnsi="Arial"/>
                <w:sz w:val="18"/>
                <w:szCs w:val="18"/>
                <w:color w:val="auto"/>
                <w:w w:val="92"/>
              </w:rPr>
              <w:t>(State or other jurisdiction of</w:t>
            </w:r>
          </w:p>
        </w:tc>
        <w:tc>
          <w:tcPr>
            <w:tcW w:w="580" w:type="dxa"/>
            <w:vAlign w:val="bottom"/>
          </w:tcPr>
          <w:p>
            <w:pPr>
              <w:spacing w:after="0"/>
              <w:rPr>
                <w:sz w:val="18"/>
                <w:szCs w:val="18"/>
                <w:color w:val="auto"/>
              </w:rPr>
            </w:pPr>
          </w:p>
        </w:tc>
        <w:tc>
          <w:tcPr>
            <w:tcW w:w="3680" w:type="dxa"/>
            <w:vAlign w:val="bottom"/>
          </w:tcPr>
          <w:p>
            <w:pPr>
              <w:jc w:val="center"/>
              <w:ind w:right="230"/>
              <w:spacing w:after="0"/>
              <w:rPr>
                <w:sz w:val="20"/>
                <w:szCs w:val="20"/>
                <w:color w:val="auto"/>
              </w:rPr>
            </w:pPr>
            <w:r>
              <w:rPr>
                <w:rFonts w:ascii="Arial" w:cs="Arial" w:eastAsia="Arial" w:hAnsi="Arial"/>
                <w:sz w:val="18"/>
                <w:szCs w:val="18"/>
                <w:color w:val="auto"/>
                <w:w w:val="93"/>
              </w:rPr>
              <w:t>(I.R.S. Employer</w:t>
            </w:r>
          </w:p>
        </w:tc>
      </w:tr>
      <w:tr>
        <w:trPr>
          <w:trHeight w:val="230"/>
        </w:trPr>
        <w:tc>
          <w:tcPr>
            <w:tcW w:w="6980" w:type="dxa"/>
            <w:vAlign w:val="bottom"/>
            <w:gridSpan w:val="3"/>
          </w:tcPr>
          <w:p>
            <w:pPr>
              <w:jc w:val="center"/>
              <w:ind w:right="1310"/>
              <w:spacing w:after="0"/>
              <w:rPr>
                <w:sz w:val="20"/>
                <w:szCs w:val="20"/>
                <w:color w:val="auto"/>
              </w:rPr>
            </w:pPr>
            <w:r>
              <w:rPr>
                <w:rFonts w:ascii="Arial" w:cs="Arial" w:eastAsia="Arial" w:hAnsi="Arial"/>
                <w:sz w:val="18"/>
                <w:szCs w:val="18"/>
                <w:color w:val="auto"/>
                <w:w w:val="92"/>
              </w:rPr>
              <w:t>Incorporation or organization)</w:t>
            </w:r>
          </w:p>
        </w:tc>
        <w:tc>
          <w:tcPr>
            <w:tcW w:w="580" w:type="dxa"/>
            <w:vAlign w:val="bottom"/>
          </w:tcPr>
          <w:p>
            <w:pPr>
              <w:spacing w:after="0"/>
              <w:rPr>
                <w:sz w:val="20"/>
                <w:szCs w:val="20"/>
                <w:color w:val="auto"/>
              </w:rPr>
            </w:pPr>
          </w:p>
        </w:tc>
        <w:tc>
          <w:tcPr>
            <w:tcW w:w="3680" w:type="dxa"/>
            <w:vAlign w:val="bottom"/>
          </w:tcPr>
          <w:p>
            <w:pPr>
              <w:jc w:val="center"/>
              <w:ind w:right="230"/>
              <w:spacing w:after="0"/>
              <w:rPr>
                <w:sz w:val="20"/>
                <w:szCs w:val="20"/>
                <w:color w:val="auto"/>
              </w:rPr>
            </w:pPr>
            <w:r>
              <w:rPr>
                <w:rFonts w:ascii="Arial" w:cs="Arial" w:eastAsia="Arial" w:hAnsi="Arial"/>
                <w:sz w:val="18"/>
                <w:szCs w:val="18"/>
                <w:color w:val="auto"/>
                <w:w w:val="94"/>
              </w:rPr>
              <w:t>Identification No.)</w:t>
            </w:r>
          </w:p>
        </w:tc>
      </w:tr>
      <w:tr>
        <w:trPr>
          <w:trHeight w:val="418"/>
        </w:trPr>
        <w:tc>
          <w:tcPr>
            <w:tcW w:w="3340" w:type="dxa"/>
            <w:vAlign w:val="bottom"/>
          </w:tcPr>
          <w:p>
            <w:pPr>
              <w:spacing w:after="0"/>
              <w:rPr>
                <w:sz w:val="24"/>
                <w:szCs w:val="24"/>
                <w:color w:val="auto"/>
              </w:rPr>
            </w:pPr>
          </w:p>
        </w:tc>
        <w:tc>
          <w:tcPr>
            <w:tcW w:w="7900" w:type="dxa"/>
            <w:vAlign w:val="bottom"/>
            <w:gridSpan w:val="4"/>
          </w:tcPr>
          <w:p>
            <w:pPr>
              <w:jc w:val="center"/>
              <w:ind w:right="3090"/>
              <w:spacing w:after="0"/>
              <w:rPr>
                <w:sz w:val="20"/>
                <w:szCs w:val="20"/>
                <w:color w:val="auto"/>
              </w:rPr>
            </w:pPr>
            <w:r>
              <w:rPr>
                <w:rFonts w:ascii="Arial" w:cs="Arial" w:eastAsia="Arial" w:hAnsi="Arial"/>
                <w:sz w:val="18"/>
                <w:szCs w:val="18"/>
                <w:b w:val="1"/>
                <w:bCs w:val="1"/>
                <w:color w:val="auto"/>
                <w:w w:val="89"/>
              </w:rPr>
              <w:t>84 October Hill Road, Holliston, Massachusetts 01746</w:t>
            </w:r>
          </w:p>
        </w:tc>
      </w:tr>
      <w:tr>
        <w:trPr>
          <w:trHeight w:val="230"/>
        </w:trPr>
        <w:tc>
          <w:tcPr>
            <w:tcW w:w="3340" w:type="dxa"/>
            <w:vAlign w:val="bottom"/>
          </w:tcPr>
          <w:p>
            <w:pPr>
              <w:spacing w:after="0"/>
              <w:rPr>
                <w:sz w:val="20"/>
                <w:szCs w:val="20"/>
                <w:color w:val="auto"/>
              </w:rPr>
            </w:pPr>
          </w:p>
        </w:tc>
        <w:tc>
          <w:tcPr>
            <w:tcW w:w="7900" w:type="dxa"/>
            <w:vAlign w:val="bottom"/>
            <w:gridSpan w:val="4"/>
          </w:tcPr>
          <w:p>
            <w:pPr>
              <w:jc w:val="center"/>
              <w:ind w:right="3090"/>
              <w:spacing w:after="0"/>
              <w:rPr>
                <w:sz w:val="20"/>
                <w:szCs w:val="20"/>
                <w:color w:val="auto"/>
              </w:rPr>
            </w:pPr>
            <w:r>
              <w:rPr>
                <w:rFonts w:ascii="Arial" w:cs="Arial" w:eastAsia="Arial" w:hAnsi="Arial"/>
                <w:sz w:val="18"/>
                <w:szCs w:val="18"/>
                <w:color w:val="auto"/>
                <w:w w:val="92"/>
              </w:rPr>
              <w:t>(Address of Principal Executive Offices, including zip code)</w:t>
            </w:r>
          </w:p>
        </w:tc>
      </w:tr>
      <w:tr>
        <w:trPr>
          <w:trHeight w:val="418"/>
        </w:trPr>
        <w:tc>
          <w:tcPr>
            <w:tcW w:w="3340" w:type="dxa"/>
            <w:vAlign w:val="bottom"/>
          </w:tcPr>
          <w:p>
            <w:pPr>
              <w:spacing w:after="0"/>
              <w:rPr>
                <w:sz w:val="24"/>
                <w:szCs w:val="24"/>
                <w:color w:val="auto"/>
              </w:rPr>
            </w:pPr>
          </w:p>
        </w:tc>
        <w:tc>
          <w:tcPr>
            <w:tcW w:w="3640" w:type="dxa"/>
            <w:vAlign w:val="bottom"/>
            <w:gridSpan w:val="2"/>
          </w:tcPr>
          <w:p>
            <w:pPr>
              <w:jc w:val="right"/>
              <w:ind w:right="630"/>
              <w:spacing w:after="0"/>
              <w:rPr>
                <w:sz w:val="20"/>
                <w:szCs w:val="20"/>
                <w:color w:val="auto"/>
              </w:rPr>
            </w:pPr>
            <w:r>
              <w:rPr>
                <w:rFonts w:ascii="Arial" w:cs="Arial" w:eastAsia="Arial" w:hAnsi="Arial"/>
                <w:sz w:val="18"/>
                <w:szCs w:val="18"/>
                <w:b w:val="1"/>
                <w:bCs w:val="1"/>
                <w:color w:val="auto"/>
              </w:rPr>
              <w:t>(508) 893-8999</w:t>
            </w:r>
          </w:p>
        </w:tc>
        <w:tc>
          <w:tcPr>
            <w:tcW w:w="580" w:type="dxa"/>
            <w:vAlign w:val="bottom"/>
          </w:tcPr>
          <w:p>
            <w:pPr>
              <w:spacing w:after="0"/>
              <w:rPr>
                <w:sz w:val="24"/>
                <w:szCs w:val="24"/>
                <w:color w:val="auto"/>
              </w:rPr>
            </w:pPr>
          </w:p>
        </w:tc>
        <w:tc>
          <w:tcPr>
            <w:tcW w:w="3680" w:type="dxa"/>
            <w:vAlign w:val="bottom"/>
          </w:tcPr>
          <w:p>
            <w:pPr>
              <w:spacing w:after="0"/>
              <w:rPr>
                <w:sz w:val="24"/>
                <w:szCs w:val="24"/>
                <w:color w:val="auto"/>
              </w:rPr>
            </w:pPr>
          </w:p>
        </w:tc>
      </w:tr>
      <w:tr>
        <w:trPr>
          <w:trHeight w:val="230"/>
        </w:trPr>
        <w:tc>
          <w:tcPr>
            <w:tcW w:w="334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7500" w:type="dxa"/>
            <w:vAlign w:val="bottom"/>
            <w:gridSpan w:val="3"/>
          </w:tcPr>
          <w:p>
            <w:pPr>
              <w:jc w:val="center"/>
              <w:ind w:right="3490"/>
              <w:spacing w:after="0"/>
              <w:rPr>
                <w:sz w:val="20"/>
                <w:szCs w:val="20"/>
                <w:color w:val="auto"/>
              </w:rPr>
            </w:pPr>
            <w:r>
              <w:rPr>
                <w:rFonts w:ascii="Arial" w:cs="Arial" w:eastAsia="Arial" w:hAnsi="Arial"/>
                <w:sz w:val="18"/>
                <w:szCs w:val="18"/>
                <w:color w:val="auto"/>
                <w:w w:val="89"/>
              </w:rPr>
              <w:t>(Registrant’s telephone number, including area code)</w:t>
            </w:r>
          </w:p>
        </w:tc>
      </w:tr>
      <w:tr>
        <w:trPr>
          <w:trHeight w:val="432"/>
        </w:trPr>
        <w:tc>
          <w:tcPr>
            <w:tcW w:w="3340" w:type="dxa"/>
            <w:vAlign w:val="bottom"/>
          </w:tcPr>
          <w:p>
            <w:pPr>
              <w:spacing w:after="0"/>
              <w:rPr>
                <w:sz w:val="24"/>
                <w:szCs w:val="24"/>
                <w:color w:val="auto"/>
              </w:rPr>
            </w:pPr>
          </w:p>
        </w:tc>
        <w:tc>
          <w:tcPr>
            <w:tcW w:w="7900" w:type="dxa"/>
            <w:vAlign w:val="bottom"/>
            <w:gridSpan w:val="4"/>
          </w:tcPr>
          <w:p>
            <w:pPr>
              <w:jc w:val="center"/>
              <w:ind w:right="3110"/>
              <w:spacing w:after="0"/>
              <w:rPr>
                <w:sz w:val="20"/>
                <w:szCs w:val="20"/>
                <w:color w:val="auto"/>
              </w:rPr>
            </w:pPr>
            <w:r>
              <w:rPr>
                <w:rFonts w:ascii="Arial" w:cs="Arial" w:eastAsia="Arial" w:hAnsi="Arial"/>
                <w:sz w:val="18"/>
                <w:szCs w:val="18"/>
                <w:color w:val="auto"/>
                <w:w w:val="90"/>
              </w:rPr>
              <w:t>Securities registered pursuant to Section 12(b) of the Act:</w:t>
            </w:r>
          </w:p>
        </w:tc>
      </w:tr>
      <w:tr>
        <w:trPr>
          <w:trHeight w:val="233"/>
        </w:trPr>
        <w:tc>
          <w:tcPr>
            <w:tcW w:w="3340" w:type="dxa"/>
            <w:vAlign w:val="bottom"/>
            <w:tcBorders>
              <w:bottom w:val="single" w:sz="8" w:color="auto"/>
            </w:tcBorders>
          </w:tcPr>
          <w:p>
            <w:pPr>
              <w:spacing w:after="0"/>
              <w:rPr>
                <w:sz w:val="20"/>
                <w:szCs w:val="20"/>
                <w:color w:val="auto"/>
              </w:rPr>
            </w:pPr>
          </w:p>
        </w:tc>
        <w:tc>
          <w:tcPr>
            <w:tcW w:w="400" w:type="dxa"/>
            <w:vAlign w:val="bottom"/>
            <w:tcBorders>
              <w:bottom w:val="single" w:sz="8" w:color="auto"/>
            </w:tcBorders>
          </w:tcPr>
          <w:p>
            <w:pPr>
              <w:spacing w:after="0"/>
              <w:rPr>
                <w:sz w:val="20"/>
                <w:szCs w:val="20"/>
                <w:color w:val="auto"/>
              </w:rPr>
            </w:pPr>
          </w:p>
        </w:tc>
        <w:tc>
          <w:tcPr>
            <w:tcW w:w="3240" w:type="dxa"/>
            <w:vAlign w:val="bottom"/>
            <w:tcBorders>
              <w:bottom w:val="single" w:sz="8" w:color="auto"/>
            </w:tcBorders>
          </w:tcPr>
          <w:p>
            <w:pPr>
              <w:spacing w:after="0"/>
              <w:rPr>
                <w:sz w:val="20"/>
                <w:szCs w:val="20"/>
                <w:color w:val="auto"/>
              </w:rPr>
            </w:pPr>
          </w:p>
        </w:tc>
        <w:tc>
          <w:tcPr>
            <w:tcW w:w="580" w:type="dxa"/>
            <w:vAlign w:val="bottom"/>
            <w:tcBorders>
              <w:bottom w:val="single" w:sz="8" w:color="auto"/>
            </w:tcBorders>
          </w:tcPr>
          <w:p>
            <w:pPr>
              <w:spacing w:after="0"/>
              <w:rPr>
                <w:sz w:val="20"/>
                <w:szCs w:val="20"/>
                <w:color w:val="auto"/>
              </w:rPr>
            </w:pPr>
          </w:p>
        </w:tc>
        <w:tc>
          <w:tcPr>
            <w:tcW w:w="3680" w:type="dxa"/>
            <w:vAlign w:val="bottom"/>
            <w:tcBorders>
              <w:bottom w:val="single" w:sz="8" w:color="auto"/>
            </w:tcBorders>
          </w:tcPr>
          <w:p>
            <w:pPr>
              <w:spacing w:after="0"/>
              <w:rPr>
                <w:sz w:val="20"/>
                <w:szCs w:val="20"/>
                <w:color w:val="auto"/>
              </w:rPr>
            </w:pPr>
          </w:p>
        </w:tc>
      </w:tr>
      <w:tr>
        <w:trPr>
          <w:trHeight w:val="210"/>
        </w:trPr>
        <w:tc>
          <w:tcPr>
            <w:tcW w:w="3340" w:type="dxa"/>
            <w:vAlign w:val="bottom"/>
            <w:tcBorders>
              <w:left w:val="single" w:sz="8" w:color="auto"/>
              <w:bottom w:val="single" w:sz="8" w:color="auto"/>
            </w:tcBorders>
          </w:tcPr>
          <w:p>
            <w:pPr>
              <w:jc w:val="center"/>
              <w:ind w:left="310"/>
              <w:spacing w:after="0" w:line="189" w:lineRule="exact"/>
              <w:rPr>
                <w:sz w:val="20"/>
                <w:szCs w:val="20"/>
                <w:color w:val="auto"/>
              </w:rPr>
            </w:pPr>
            <w:r>
              <w:rPr>
                <w:rFonts w:ascii="Arial" w:cs="Arial" w:eastAsia="Arial" w:hAnsi="Arial"/>
                <w:sz w:val="18"/>
                <w:szCs w:val="18"/>
                <w:color w:val="auto"/>
                <w:w w:val="90"/>
              </w:rPr>
              <w:t>Title of each class</w:t>
            </w:r>
          </w:p>
        </w:tc>
        <w:tc>
          <w:tcPr>
            <w:tcW w:w="400" w:type="dxa"/>
            <w:vAlign w:val="bottom"/>
            <w:tcBorders>
              <w:bottom w:val="single" w:sz="8" w:color="auto"/>
              <w:right w:val="single" w:sz="8" w:color="auto"/>
            </w:tcBorders>
          </w:tcPr>
          <w:p>
            <w:pPr>
              <w:spacing w:after="0"/>
              <w:rPr>
                <w:sz w:val="18"/>
                <w:szCs w:val="18"/>
                <w:color w:val="auto"/>
              </w:rPr>
            </w:pPr>
          </w:p>
        </w:tc>
        <w:tc>
          <w:tcPr>
            <w:tcW w:w="3240" w:type="dxa"/>
            <w:vAlign w:val="bottom"/>
            <w:tcBorders>
              <w:bottom w:val="single" w:sz="8" w:color="auto"/>
            </w:tcBorders>
          </w:tcPr>
          <w:p>
            <w:pPr>
              <w:jc w:val="center"/>
              <w:ind w:left="750"/>
              <w:spacing w:after="0" w:line="189" w:lineRule="exact"/>
              <w:rPr>
                <w:sz w:val="20"/>
                <w:szCs w:val="20"/>
                <w:color w:val="auto"/>
              </w:rPr>
            </w:pPr>
            <w:r>
              <w:rPr>
                <w:rFonts w:ascii="Arial" w:cs="Arial" w:eastAsia="Arial" w:hAnsi="Arial"/>
                <w:sz w:val="18"/>
                <w:szCs w:val="18"/>
                <w:color w:val="auto"/>
                <w:w w:val="92"/>
              </w:rPr>
              <w:t>Trading Symbol(s)</w:t>
            </w:r>
          </w:p>
        </w:tc>
        <w:tc>
          <w:tcPr>
            <w:tcW w:w="580" w:type="dxa"/>
            <w:vAlign w:val="bottom"/>
            <w:tcBorders>
              <w:bottom w:val="single" w:sz="8" w:color="auto"/>
              <w:right w:val="single" w:sz="8" w:color="auto"/>
            </w:tcBorders>
          </w:tcPr>
          <w:p>
            <w:pPr>
              <w:spacing w:after="0"/>
              <w:rPr>
                <w:sz w:val="18"/>
                <w:szCs w:val="18"/>
                <w:color w:val="auto"/>
              </w:rPr>
            </w:pPr>
          </w:p>
        </w:tc>
        <w:tc>
          <w:tcPr>
            <w:tcW w:w="3680" w:type="dxa"/>
            <w:vAlign w:val="bottom"/>
            <w:tcBorders>
              <w:bottom w:val="single" w:sz="8" w:color="auto"/>
              <w:right w:val="single" w:sz="8" w:color="auto"/>
            </w:tcBorders>
          </w:tcPr>
          <w:p>
            <w:pPr>
              <w:jc w:val="center"/>
              <w:spacing w:after="0" w:line="189" w:lineRule="exact"/>
              <w:rPr>
                <w:sz w:val="20"/>
                <w:szCs w:val="20"/>
                <w:color w:val="auto"/>
              </w:rPr>
            </w:pPr>
            <w:r>
              <w:rPr>
                <w:rFonts w:ascii="Arial" w:cs="Arial" w:eastAsia="Arial" w:hAnsi="Arial"/>
                <w:sz w:val="18"/>
                <w:szCs w:val="18"/>
                <w:color w:val="auto"/>
                <w:w w:val="89"/>
              </w:rPr>
              <w:t>Name of each exchange on which registered</w:t>
            </w:r>
          </w:p>
        </w:tc>
      </w:tr>
      <w:tr>
        <w:trPr>
          <w:trHeight w:val="193"/>
        </w:trPr>
        <w:tc>
          <w:tcPr>
            <w:tcW w:w="3340" w:type="dxa"/>
            <w:vAlign w:val="bottom"/>
            <w:tcBorders>
              <w:left w:val="single" w:sz="8" w:color="auto"/>
              <w:bottom w:val="single" w:sz="8" w:color="auto"/>
            </w:tcBorders>
          </w:tcPr>
          <w:p>
            <w:pPr>
              <w:jc w:val="center"/>
              <w:ind w:left="310"/>
              <w:spacing w:after="0" w:line="193" w:lineRule="exact"/>
              <w:rPr>
                <w:sz w:val="20"/>
                <w:szCs w:val="20"/>
                <w:color w:val="auto"/>
              </w:rPr>
            </w:pPr>
            <w:r>
              <w:rPr>
                <w:rFonts w:ascii="Arial" w:cs="Arial" w:eastAsia="Arial" w:hAnsi="Arial"/>
                <w:sz w:val="18"/>
                <w:szCs w:val="18"/>
                <w:color w:val="auto"/>
                <w:w w:val="90"/>
              </w:rPr>
              <w:t>Common Stock, $0.01 par value</w:t>
            </w:r>
          </w:p>
        </w:tc>
        <w:tc>
          <w:tcPr>
            <w:tcW w:w="400" w:type="dxa"/>
            <w:vAlign w:val="bottom"/>
            <w:tcBorders>
              <w:bottom w:val="single" w:sz="8" w:color="auto"/>
              <w:right w:val="single" w:sz="8" w:color="auto"/>
            </w:tcBorders>
          </w:tcPr>
          <w:p>
            <w:pPr>
              <w:spacing w:after="0"/>
              <w:rPr>
                <w:sz w:val="16"/>
                <w:szCs w:val="16"/>
                <w:color w:val="auto"/>
              </w:rPr>
            </w:pPr>
          </w:p>
        </w:tc>
        <w:tc>
          <w:tcPr>
            <w:tcW w:w="3240" w:type="dxa"/>
            <w:vAlign w:val="bottom"/>
            <w:tcBorders>
              <w:bottom w:val="single" w:sz="8" w:color="auto"/>
            </w:tcBorders>
          </w:tcPr>
          <w:p>
            <w:pPr>
              <w:jc w:val="center"/>
              <w:ind w:left="750"/>
              <w:spacing w:after="0" w:line="193" w:lineRule="exact"/>
              <w:rPr>
                <w:sz w:val="20"/>
                <w:szCs w:val="20"/>
                <w:color w:val="auto"/>
              </w:rPr>
            </w:pPr>
            <w:r>
              <w:rPr>
                <w:rFonts w:ascii="Arial" w:cs="Arial" w:eastAsia="Arial" w:hAnsi="Arial"/>
                <w:sz w:val="18"/>
                <w:szCs w:val="18"/>
                <w:color w:val="auto"/>
                <w:w w:val="99"/>
              </w:rPr>
              <w:t>HBIO</w:t>
            </w:r>
          </w:p>
        </w:tc>
        <w:tc>
          <w:tcPr>
            <w:tcW w:w="580" w:type="dxa"/>
            <w:vAlign w:val="bottom"/>
            <w:tcBorders>
              <w:bottom w:val="single" w:sz="8" w:color="auto"/>
              <w:right w:val="single" w:sz="8" w:color="auto"/>
            </w:tcBorders>
          </w:tcPr>
          <w:p>
            <w:pPr>
              <w:spacing w:after="0"/>
              <w:rPr>
                <w:sz w:val="16"/>
                <w:szCs w:val="16"/>
                <w:color w:val="auto"/>
              </w:rPr>
            </w:pPr>
          </w:p>
        </w:tc>
        <w:tc>
          <w:tcPr>
            <w:tcW w:w="3680" w:type="dxa"/>
            <w:vAlign w:val="bottom"/>
            <w:tcBorders>
              <w:bottom w:val="single" w:sz="8" w:color="auto"/>
              <w:right w:val="single" w:sz="8" w:color="auto"/>
            </w:tcBorders>
          </w:tcPr>
          <w:p>
            <w:pPr>
              <w:jc w:val="center"/>
              <w:spacing w:after="0" w:line="193" w:lineRule="exact"/>
              <w:rPr>
                <w:sz w:val="20"/>
                <w:szCs w:val="20"/>
                <w:color w:val="auto"/>
              </w:rPr>
            </w:pPr>
            <w:r>
              <w:rPr>
                <w:rFonts w:ascii="Arial" w:cs="Arial" w:eastAsia="Arial" w:hAnsi="Arial"/>
                <w:sz w:val="18"/>
                <w:szCs w:val="18"/>
                <w:color w:val="auto"/>
                <w:w w:val="92"/>
              </w:rPr>
              <w:t>The Nasdaq Global Market</w:t>
            </w:r>
          </w:p>
        </w:tc>
      </w:tr>
    </w:tbl>
    <w:p>
      <w:pPr>
        <w:spacing w:after="0" w:line="202" w:lineRule="exact"/>
        <w:rPr>
          <w:sz w:val="24"/>
          <w:szCs w:val="24"/>
          <w:color w:val="auto"/>
        </w:rPr>
      </w:pPr>
    </w:p>
    <w:p>
      <w:pPr>
        <w:jc w:val="center"/>
        <w:ind w:right="-159"/>
        <w:spacing w:after="0"/>
        <w:rPr>
          <w:sz w:val="20"/>
          <w:szCs w:val="20"/>
          <w:color w:val="auto"/>
        </w:rPr>
      </w:pPr>
      <w:r>
        <w:rPr>
          <w:rFonts w:ascii="Arial" w:cs="Arial" w:eastAsia="Arial" w:hAnsi="Arial"/>
          <w:sz w:val="18"/>
          <w:szCs w:val="18"/>
          <w:color w:val="auto"/>
        </w:rPr>
        <w:t>Securities registered pursuant to Section 12(g) of the Act:</w:t>
      </w:r>
    </w:p>
    <w:p>
      <w:pPr>
        <w:spacing w:after="0" w:line="23" w:lineRule="exact"/>
        <w:rPr>
          <w:sz w:val="24"/>
          <w:szCs w:val="24"/>
          <w:color w:val="auto"/>
        </w:rPr>
      </w:pPr>
    </w:p>
    <w:p>
      <w:pPr>
        <w:jc w:val="center"/>
        <w:ind w:right="-159"/>
        <w:spacing w:after="0"/>
        <w:rPr>
          <w:sz w:val="20"/>
          <w:szCs w:val="20"/>
          <w:color w:val="auto"/>
        </w:rPr>
      </w:pPr>
      <w:r>
        <w:rPr>
          <w:rFonts w:ascii="Arial" w:cs="Arial" w:eastAsia="Arial" w:hAnsi="Arial"/>
          <w:sz w:val="18"/>
          <w:szCs w:val="18"/>
          <w:b w:val="1"/>
          <w:bCs w:val="1"/>
          <w:color w:val="auto"/>
        </w:rPr>
        <w:t>None</w:t>
      </w:r>
    </w:p>
    <w:p>
      <w:pPr>
        <w:spacing w:after="0" w:line="178" w:lineRule="exact"/>
        <w:rPr>
          <w:sz w:val="24"/>
          <w:szCs w:val="24"/>
          <w:color w:val="auto"/>
        </w:rPr>
      </w:pPr>
    </w:p>
    <w:p>
      <w:pPr>
        <w:ind w:left="460"/>
        <w:spacing w:after="0" w:line="207" w:lineRule="exact"/>
        <w:rPr>
          <w:sz w:val="20"/>
          <w:szCs w:val="20"/>
          <w:color w:val="auto"/>
        </w:rPr>
      </w:pPr>
      <w:r>
        <w:rPr>
          <w:rFonts w:ascii="Arial" w:cs="Arial" w:eastAsia="Arial" w:hAnsi="Arial"/>
          <w:sz w:val="18"/>
          <w:szCs w:val="18"/>
          <w:color w:val="auto"/>
        </w:rPr>
        <w:t xml:space="preserve">Indicate by check mark if the registrant is a well-known seasoned issuer, as defined in Rule 405 of the Securities Act. Yes </w:t>
      </w:r>
      <w:r>
        <w:rPr>
          <w:rFonts w:ascii="MS PGothic" w:cs="MS PGothic" w:eastAsia="MS PGothic" w:hAnsi="MS PGothic"/>
          <w:sz w:val="18"/>
          <w:szCs w:val="18"/>
          <w:color w:val="auto"/>
        </w:rPr>
        <w:t>☐</w:t>
      </w:r>
      <w:r>
        <w:rPr>
          <w:rFonts w:ascii="Arial" w:cs="Arial" w:eastAsia="Arial" w:hAnsi="Arial"/>
          <w:sz w:val="18"/>
          <w:szCs w:val="18"/>
          <w:color w:val="auto"/>
        </w:rPr>
        <w:t xml:space="preserve"> No </w:t>
      </w:r>
      <w:r>
        <w:rPr>
          <w:rFonts w:ascii="MS PGothic" w:cs="MS PGothic" w:eastAsia="MS PGothic" w:hAnsi="MS PGothic"/>
          <w:sz w:val="18"/>
          <w:szCs w:val="18"/>
          <w:color w:val="auto"/>
        </w:rPr>
        <w:t>☒</w:t>
      </w:r>
    </w:p>
    <w:p>
      <w:pPr>
        <w:spacing w:after="0" w:line="225" w:lineRule="exact"/>
        <w:rPr>
          <w:sz w:val="24"/>
          <w:szCs w:val="24"/>
          <w:color w:val="auto"/>
        </w:rPr>
      </w:pPr>
    </w:p>
    <w:p>
      <w:pPr>
        <w:ind w:left="460"/>
        <w:spacing w:after="0" w:line="207" w:lineRule="exact"/>
        <w:rPr>
          <w:sz w:val="20"/>
          <w:szCs w:val="20"/>
          <w:color w:val="auto"/>
        </w:rPr>
      </w:pPr>
      <w:r>
        <w:rPr>
          <w:rFonts w:ascii="Arial" w:cs="Arial" w:eastAsia="Arial" w:hAnsi="Arial"/>
          <w:sz w:val="18"/>
          <w:szCs w:val="18"/>
          <w:color w:val="auto"/>
        </w:rPr>
        <w:t xml:space="preserve">Indicate by check mark if the registrant is not required to file reports pursuant to Section 13 or Section 15(d) of the Act. Yes </w:t>
      </w:r>
      <w:r>
        <w:rPr>
          <w:rFonts w:ascii="MS PGothic" w:cs="MS PGothic" w:eastAsia="MS PGothic" w:hAnsi="MS PGothic"/>
          <w:sz w:val="18"/>
          <w:szCs w:val="18"/>
          <w:color w:val="auto"/>
        </w:rPr>
        <w:t>☐</w:t>
      </w:r>
      <w:r>
        <w:rPr>
          <w:rFonts w:ascii="Arial" w:cs="Arial" w:eastAsia="Arial" w:hAnsi="Arial"/>
          <w:sz w:val="18"/>
          <w:szCs w:val="18"/>
          <w:color w:val="auto"/>
        </w:rPr>
        <w:t xml:space="preserve"> No </w:t>
      </w:r>
      <w:r>
        <w:rPr>
          <w:rFonts w:ascii="MS PGothic" w:cs="MS PGothic" w:eastAsia="MS PGothic" w:hAnsi="MS PGothic"/>
          <w:sz w:val="18"/>
          <w:szCs w:val="18"/>
          <w:color w:val="auto"/>
        </w:rPr>
        <w:t>☒</w:t>
      </w:r>
    </w:p>
    <w:p>
      <w:pPr>
        <w:spacing w:after="0" w:line="258" w:lineRule="exact"/>
        <w:rPr>
          <w:sz w:val="24"/>
          <w:szCs w:val="24"/>
          <w:color w:val="auto"/>
        </w:rPr>
      </w:pPr>
    </w:p>
    <w:p>
      <w:pPr>
        <w:ind w:left="160" w:right="260" w:firstLine="306"/>
        <w:spacing w:after="0" w:line="254" w:lineRule="auto"/>
        <w:rPr>
          <w:sz w:val="20"/>
          <w:szCs w:val="20"/>
          <w:color w:val="auto"/>
        </w:rPr>
      </w:pPr>
      <w:r>
        <w:rPr>
          <w:rFonts w:ascii="Arial" w:cs="Arial" w:eastAsia="Arial" w:hAnsi="Arial"/>
          <w:sz w:val="18"/>
          <w:szCs w:val="18"/>
          <w:color w:val="auto"/>
        </w:rPr>
        <w:t>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w:t>
      </w:r>
    </w:p>
    <w:p>
      <w:pPr>
        <w:ind w:left="160"/>
        <w:spacing w:after="0" w:line="207" w:lineRule="exact"/>
        <w:tabs>
          <w:tab w:leader="none" w:pos="1000" w:val="left"/>
        </w:tabs>
        <w:rPr>
          <w:sz w:val="20"/>
          <w:szCs w:val="20"/>
          <w:color w:val="auto"/>
        </w:rPr>
      </w:pPr>
      <w:r>
        <w:rPr>
          <w:rFonts w:ascii="Arial" w:cs="Arial" w:eastAsia="Arial" w:hAnsi="Arial"/>
          <w:sz w:val="18"/>
          <w:szCs w:val="18"/>
          <w:color w:val="auto"/>
        </w:rPr>
        <w:t xml:space="preserve">Yes </w:t>
      </w:r>
      <w:r>
        <w:rPr>
          <w:rFonts w:ascii="MS PGothic" w:cs="MS PGothic" w:eastAsia="MS PGothic" w:hAnsi="MS PGothic"/>
          <w:sz w:val="18"/>
          <w:szCs w:val="18"/>
          <w:color w:val="auto"/>
        </w:rPr>
        <w:t>☒</w:t>
      </w:r>
      <w:r>
        <w:rPr>
          <w:sz w:val="20"/>
          <w:szCs w:val="20"/>
          <w:color w:val="auto"/>
        </w:rPr>
        <w:tab/>
      </w:r>
      <w:r>
        <w:rPr>
          <w:rFonts w:ascii="Arial" w:cs="Arial" w:eastAsia="Arial" w:hAnsi="Arial"/>
          <w:sz w:val="17"/>
          <w:szCs w:val="17"/>
          <w:color w:val="auto"/>
        </w:rPr>
        <w:t xml:space="preserve">No </w:t>
      </w:r>
      <w:r>
        <w:rPr>
          <w:rFonts w:ascii="MS PGothic" w:cs="MS PGothic" w:eastAsia="MS PGothic" w:hAnsi="MS PGothic"/>
          <w:sz w:val="17"/>
          <w:szCs w:val="17"/>
          <w:color w:val="auto"/>
        </w:rPr>
        <w:t>☐</w:t>
      </w:r>
    </w:p>
    <w:p>
      <w:pPr>
        <w:spacing w:after="0" w:line="216" w:lineRule="exact"/>
        <w:rPr>
          <w:sz w:val="24"/>
          <w:szCs w:val="24"/>
          <w:color w:val="auto"/>
        </w:rPr>
      </w:pPr>
    </w:p>
    <w:p>
      <w:pPr>
        <w:ind w:left="160" w:right="100" w:firstLine="306"/>
        <w:spacing w:after="0" w:line="227" w:lineRule="exact"/>
        <w:rPr>
          <w:sz w:val="20"/>
          <w:szCs w:val="20"/>
          <w:color w:val="auto"/>
        </w:rPr>
      </w:pPr>
      <w:r>
        <w:rPr>
          <w:rFonts w:ascii="Arial" w:cs="Arial" w:eastAsia="Arial" w:hAnsi="Arial"/>
          <w:sz w:val="18"/>
          <w:szCs w:val="18"/>
          <w:color w:val="auto"/>
        </w:rPr>
        <w:t xml:space="preserve">Indicate by check mark whether the registrant has submitted electronically every Interactive Data File required to be submitted pursuant to Rule 405 of Regulation S-T (§232.405 of this chapter) during the preceding 12 months (or for such shorter period that the registrant was required to submit such files). </w:t>
      </w:r>
      <w:r>
        <w:rPr>
          <w:rFonts w:ascii="MS PGothic" w:cs="MS PGothic" w:eastAsia="MS PGothic" w:hAnsi="MS PGothic"/>
          <w:sz w:val="18"/>
          <w:szCs w:val="18"/>
          <w:color w:val="auto"/>
        </w:rPr>
        <w:t>☒</w:t>
      </w:r>
      <w:r>
        <w:rPr>
          <w:rFonts w:ascii="Arial" w:cs="Arial" w:eastAsia="Arial" w:hAnsi="Arial"/>
          <w:sz w:val="18"/>
          <w:szCs w:val="18"/>
          <w:color w:val="auto"/>
        </w:rPr>
        <w:t xml:space="preserve"> Yes </w:t>
      </w:r>
      <w:r>
        <w:rPr>
          <w:rFonts w:ascii="MS PGothic" w:cs="MS PGothic" w:eastAsia="MS PGothic" w:hAnsi="MS PGothic"/>
          <w:sz w:val="18"/>
          <w:szCs w:val="18"/>
          <w:color w:val="auto"/>
        </w:rPr>
        <w:t>☐</w:t>
      </w:r>
      <w:r>
        <w:rPr>
          <w:rFonts w:ascii="Arial" w:cs="Arial" w:eastAsia="Arial" w:hAnsi="Arial"/>
          <w:sz w:val="18"/>
          <w:szCs w:val="18"/>
          <w:color w:val="auto"/>
        </w:rPr>
        <w:t xml:space="preserve"> No</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348615</wp:posOffset>
            </wp:positionV>
            <wp:extent cx="7132320" cy="1714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472" w:right="339" w:bottom="1440" w:gutter="0" w:footer="0" w:header="0"/>
        </w:sectPr>
      </w:pPr>
    </w:p>
    <w:bookmarkStart w:id="1" w:name="page2"/>
    <w:bookmarkEnd w:id="1"/>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ind w:left="160" w:right="80" w:firstLine="306"/>
        <w:spacing w:after="0" w:line="263" w:lineRule="auto"/>
        <w:rPr>
          <w:sz w:val="20"/>
          <w:szCs w:val="20"/>
          <w:color w:val="auto"/>
        </w:rPr>
      </w:pPr>
      <w:r>
        <w:rPr>
          <w:rFonts w:ascii="Arial" w:cs="Arial" w:eastAsia="Arial" w:hAnsi="Arial"/>
          <w:sz w:val="18"/>
          <w:szCs w:val="18"/>
          <w:color w:val="auto"/>
        </w:rPr>
        <w:t>Indicate by check mark whether the registrant is a large accelerated filer, an accelerated filer, a non-accelerated filer, a smaller reporting company, or an emerging growth company. See the definitions of “large accelerated filer,” “accelerated filer,” “smaller reporting company,” and “emerging growth company” in Rule 12b-2 of the Exchange Act. (Check one):</w:t>
      </w:r>
    </w:p>
    <w:p>
      <w:pPr>
        <w:sectPr>
          <w:pgSz w:w="11900" w:h="16838" w:orient="portrait"/>
          <w:cols w:equalWidth="0" w:num="1">
            <w:col w:w="11240"/>
          </w:cols>
          <w:pgMar w:left="320" w:top="125" w:right="339" w:bottom="1440" w:gutter="0" w:footer="0" w:header="0"/>
        </w:sectPr>
      </w:pPr>
    </w:p>
    <w:p>
      <w:pPr>
        <w:spacing w:after="0" w:line="151" w:lineRule="exact"/>
        <w:rPr>
          <w:sz w:val="20"/>
          <w:szCs w:val="20"/>
          <w:color w:val="auto"/>
        </w:rPr>
      </w:pPr>
    </w:p>
    <w:p>
      <w:pPr>
        <w:spacing w:after="0" w:line="184" w:lineRule="exact"/>
        <w:rPr>
          <w:sz w:val="20"/>
          <w:szCs w:val="20"/>
          <w:color w:val="auto"/>
        </w:rPr>
      </w:pPr>
      <w:r>
        <w:rPr>
          <w:rFonts w:ascii="Arial" w:cs="Arial" w:eastAsia="Arial" w:hAnsi="Arial"/>
          <w:sz w:val="16"/>
          <w:szCs w:val="16"/>
          <w:color w:val="auto"/>
        </w:rPr>
        <w:t xml:space="preserve">Large accelerated filer </w:t>
      </w:r>
      <w:r>
        <w:rPr>
          <w:rFonts w:ascii="MS PGothic" w:cs="MS PGothic" w:eastAsia="MS PGothic" w:hAnsi="MS PGothic"/>
          <w:sz w:val="16"/>
          <w:szCs w:val="16"/>
          <w:color w:val="auto"/>
        </w:rPr>
        <w:t>☐</w:t>
      </w:r>
    </w:p>
    <w:p>
      <w:pPr>
        <w:spacing w:after="0" w:line="20" w:lineRule="exact"/>
        <w:rPr>
          <w:sz w:val="20"/>
          <w:szCs w:val="20"/>
          <w:color w:val="auto"/>
        </w:rPr>
      </w:pPr>
      <w:r>
        <w:rPr>
          <w:sz w:val="20"/>
          <w:szCs w:val="20"/>
          <w:color w:val="auto"/>
        </w:rPr>
        <w:br w:type="column"/>
      </w:r>
    </w:p>
    <w:p>
      <w:pPr>
        <w:spacing w:after="0" w:line="131" w:lineRule="exact"/>
        <w:rPr>
          <w:sz w:val="20"/>
          <w:szCs w:val="20"/>
          <w:color w:val="auto"/>
        </w:rPr>
      </w:pPr>
    </w:p>
    <w:p>
      <w:pPr>
        <w:jc w:val="center"/>
        <w:ind w:right="4200"/>
        <w:spacing w:after="0" w:line="184" w:lineRule="exact"/>
        <w:rPr>
          <w:sz w:val="20"/>
          <w:szCs w:val="20"/>
          <w:color w:val="auto"/>
        </w:rPr>
      </w:pPr>
      <w:r>
        <w:rPr>
          <w:rFonts w:ascii="Arial" w:cs="Arial" w:eastAsia="Arial" w:hAnsi="Arial"/>
          <w:sz w:val="16"/>
          <w:szCs w:val="16"/>
          <w:color w:val="auto"/>
        </w:rPr>
        <w:t xml:space="preserve">Accelerated filer </w:t>
      </w:r>
      <w:r>
        <w:rPr>
          <w:rFonts w:ascii="MS PGothic" w:cs="MS PGothic" w:eastAsia="MS PGothic" w:hAnsi="MS PGothic"/>
          <w:sz w:val="16"/>
          <w:szCs w:val="16"/>
          <w:color w:val="auto"/>
        </w:rPr>
        <w:t>☒</w:t>
      </w:r>
    </w:p>
    <w:p>
      <w:pPr>
        <w:spacing w:after="0" w:line="200" w:lineRule="exact"/>
        <w:rPr>
          <w:sz w:val="20"/>
          <w:szCs w:val="20"/>
          <w:color w:val="auto"/>
        </w:rPr>
      </w:pPr>
    </w:p>
    <w:p>
      <w:pPr>
        <w:sectPr>
          <w:pgSz w:w="11900" w:h="16838" w:orient="portrait"/>
          <w:cols w:equalWidth="0" w:num="2">
            <w:col w:w="4900" w:space="720"/>
            <w:col w:w="5620"/>
          </w:cols>
          <w:pgMar w:left="320" w:top="125" w:right="339" w:bottom="1440" w:gutter="0" w:footer="0" w:header="0"/>
          <w:type w:val="continuous"/>
        </w:sectPr>
      </w:pPr>
    </w:p>
    <w:p>
      <w:pPr>
        <w:spacing w:after="0" w:line="48" w:lineRule="exact"/>
        <w:rPr>
          <w:sz w:val="20"/>
          <w:szCs w:val="20"/>
          <w:color w:val="auto"/>
        </w:rPr>
      </w:pPr>
    </w:p>
    <w:p>
      <w:pPr>
        <w:spacing w:after="0" w:line="184" w:lineRule="exact"/>
        <w:rPr>
          <w:sz w:val="20"/>
          <w:szCs w:val="20"/>
          <w:color w:val="auto"/>
        </w:rPr>
      </w:pPr>
      <w:r>
        <w:rPr>
          <w:rFonts w:ascii="Arial" w:cs="Arial" w:eastAsia="Arial" w:hAnsi="Arial"/>
          <w:sz w:val="16"/>
          <w:szCs w:val="16"/>
          <w:color w:val="auto"/>
        </w:rPr>
        <w:t xml:space="preserve">Non-accelerated filer </w:t>
      </w:r>
      <w:r>
        <w:rPr>
          <w:rFonts w:ascii="MS PGothic" w:cs="MS PGothic" w:eastAsia="MS PGothic" w:hAnsi="MS PGothic"/>
          <w:sz w:val="16"/>
          <w:szCs w:val="16"/>
          <w:color w:val="auto"/>
        </w:rPr>
        <w:t>☐</w:t>
      </w:r>
    </w:p>
    <w:p>
      <w:pPr>
        <w:spacing w:after="0" w:line="20" w:lineRule="exact"/>
        <w:rPr>
          <w:sz w:val="20"/>
          <w:szCs w:val="20"/>
          <w:color w:val="auto"/>
        </w:rPr>
      </w:pPr>
      <w:r>
        <w:rPr>
          <w:sz w:val="20"/>
          <w:szCs w:val="20"/>
          <w:color w:val="auto"/>
        </w:rPr>
        <w:br w:type="column"/>
      </w:r>
    </w:p>
    <w:p>
      <w:pPr>
        <w:spacing w:after="0" w:line="28" w:lineRule="exact"/>
        <w:rPr>
          <w:sz w:val="20"/>
          <w:szCs w:val="20"/>
          <w:color w:val="auto"/>
        </w:rPr>
      </w:pPr>
    </w:p>
    <w:p>
      <w:pPr>
        <w:spacing w:after="0" w:line="184" w:lineRule="exact"/>
        <w:rPr>
          <w:sz w:val="20"/>
          <w:szCs w:val="20"/>
          <w:color w:val="auto"/>
        </w:rPr>
      </w:pPr>
      <w:r>
        <w:rPr>
          <w:rFonts w:ascii="Arial" w:cs="Arial" w:eastAsia="Arial" w:hAnsi="Arial"/>
          <w:sz w:val="16"/>
          <w:szCs w:val="16"/>
          <w:color w:val="auto"/>
        </w:rPr>
        <w:t xml:space="preserve">Smaller reporting company </w:t>
      </w:r>
      <w:r>
        <w:rPr>
          <w:rFonts w:ascii="MS PGothic" w:cs="MS PGothic" w:eastAsia="MS PGothic" w:hAnsi="MS PGothic"/>
          <w:sz w:val="16"/>
          <w:szCs w:val="16"/>
          <w:color w:val="auto"/>
        </w:rPr>
        <w:t>☒</w:t>
      </w:r>
    </w:p>
    <w:p>
      <w:pPr>
        <w:spacing w:after="0" w:line="200" w:lineRule="exact"/>
        <w:rPr>
          <w:sz w:val="20"/>
          <w:szCs w:val="20"/>
          <w:color w:val="auto"/>
        </w:rPr>
      </w:pPr>
    </w:p>
    <w:p>
      <w:pPr>
        <w:sectPr>
          <w:pgSz w:w="11900" w:h="16838" w:orient="portrait"/>
          <w:cols w:equalWidth="0" w:num="2">
            <w:col w:w="4900" w:space="720"/>
            <w:col w:w="5620"/>
          </w:cols>
          <w:pgMar w:left="320" w:top="125" w:right="339" w:bottom="1440" w:gutter="0" w:footer="0" w:header="0"/>
          <w:type w:val="continuous"/>
        </w:sectPr>
      </w:pPr>
    </w:p>
    <w:p>
      <w:pPr>
        <w:spacing w:after="0" w:line="48" w:lineRule="exact"/>
        <w:rPr>
          <w:sz w:val="20"/>
          <w:szCs w:val="20"/>
          <w:color w:val="auto"/>
        </w:rPr>
      </w:pPr>
    </w:p>
    <w:p>
      <w:pPr>
        <w:ind w:left="5620"/>
        <w:spacing w:after="0" w:line="184" w:lineRule="exact"/>
        <w:rPr>
          <w:sz w:val="20"/>
          <w:szCs w:val="20"/>
          <w:color w:val="auto"/>
        </w:rPr>
      </w:pPr>
      <w:r>
        <w:rPr>
          <w:rFonts w:ascii="Arial" w:cs="Arial" w:eastAsia="Arial" w:hAnsi="Arial"/>
          <w:sz w:val="16"/>
          <w:szCs w:val="16"/>
          <w:color w:val="auto"/>
        </w:rPr>
        <w:t xml:space="preserve">Emerging growth company </w:t>
      </w:r>
      <w:r>
        <w:rPr>
          <w:rFonts w:ascii="MS PGothic" w:cs="MS PGothic" w:eastAsia="MS PGothic" w:hAnsi="MS PGothic"/>
          <w:sz w:val="16"/>
          <w:szCs w:val="16"/>
          <w:color w:val="auto"/>
        </w:rPr>
        <w:t>☐</w:t>
      </w:r>
    </w:p>
    <w:p>
      <w:pPr>
        <w:sectPr>
          <w:pgSz w:w="11900" w:h="16838" w:orient="portrait"/>
          <w:cols w:equalWidth="0" w:num="1">
            <w:col w:w="11240"/>
          </w:cols>
          <w:pgMar w:left="320" w:top="125" w:right="339" w:bottom="1440" w:gutter="0" w:footer="0" w:header="0"/>
          <w:type w:val="continuous"/>
        </w:sectPr>
      </w:pPr>
    </w:p>
    <w:p>
      <w:pPr>
        <w:spacing w:after="0" w:line="281" w:lineRule="exact"/>
        <w:rPr>
          <w:sz w:val="20"/>
          <w:szCs w:val="20"/>
          <w:color w:val="auto"/>
        </w:rPr>
      </w:pPr>
    </w:p>
    <w:p>
      <w:pPr>
        <w:ind w:left="160" w:right="60" w:firstLine="306"/>
        <w:spacing w:after="0" w:line="233" w:lineRule="exact"/>
        <w:rPr>
          <w:sz w:val="20"/>
          <w:szCs w:val="20"/>
          <w:color w:val="auto"/>
        </w:rPr>
      </w:pPr>
      <w:r>
        <w:rPr>
          <w:rFonts w:ascii="Arial" w:cs="Arial" w:eastAsia="Arial" w:hAnsi="Arial"/>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8"/>
          <w:szCs w:val="18"/>
          <w:color w:val="auto"/>
        </w:rPr>
        <w:t>☐</w:t>
      </w:r>
    </w:p>
    <w:p>
      <w:pPr>
        <w:spacing w:after="0" w:line="182" w:lineRule="exact"/>
        <w:rPr>
          <w:sz w:val="20"/>
          <w:szCs w:val="20"/>
          <w:color w:val="auto"/>
        </w:rPr>
      </w:pPr>
    </w:p>
    <w:p>
      <w:pPr>
        <w:ind w:left="160" w:right="140" w:firstLine="306"/>
        <w:spacing w:after="0" w:line="227" w:lineRule="exact"/>
        <w:rPr>
          <w:sz w:val="20"/>
          <w:szCs w:val="20"/>
          <w:color w:val="auto"/>
        </w:rPr>
      </w:pPr>
      <w:r>
        <w:rPr>
          <w:rFonts w:ascii="Arial" w:cs="Arial" w:eastAsia="Arial" w:hAnsi="Arial"/>
          <w:sz w:val="18"/>
          <w:szCs w:val="18"/>
          <w:color w:val="auto"/>
        </w:rPr>
        <w:t xml:space="preserve">Indicate by check mark whether the registrant has filed a report on and attestation to its management’s assessment of the effectiveness of its internal control over financial reporting under Section 404(b) of the Sarbanes-Oxley Act (15 U.S.C. 7262(b)) by the registered public accounting firm that prepared or issued its audit report. </w:t>
      </w:r>
      <w:r>
        <w:rPr>
          <w:rFonts w:ascii="MS PGothic" w:cs="MS PGothic" w:eastAsia="MS PGothic" w:hAnsi="MS PGothic"/>
          <w:sz w:val="18"/>
          <w:szCs w:val="18"/>
          <w:color w:val="auto"/>
        </w:rPr>
        <w:t>☒</w:t>
      </w:r>
    </w:p>
    <w:p>
      <w:pPr>
        <w:spacing w:after="0" w:line="151" w:lineRule="exact"/>
        <w:rPr>
          <w:sz w:val="20"/>
          <w:szCs w:val="20"/>
          <w:color w:val="auto"/>
        </w:rPr>
      </w:pPr>
    </w:p>
    <w:p>
      <w:pPr>
        <w:ind w:left="460"/>
        <w:spacing w:after="0" w:line="196" w:lineRule="exact"/>
        <w:tabs>
          <w:tab w:leader="none" w:pos="9480" w:val="left"/>
        </w:tabs>
        <w:rPr>
          <w:sz w:val="20"/>
          <w:szCs w:val="20"/>
          <w:color w:val="auto"/>
        </w:rPr>
      </w:pPr>
      <w:r>
        <w:rPr>
          <w:rFonts w:ascii="Arial" w:cs="Arial" w:eastAsia="Arial" w:hAnsi="Arial"/>
          <w:sz w:val="17"/>
          <w:szCs w:val="17"/>
          <w:color w:val="auto"/>
        </w:rPr>
        <w:t xml:space="preserve">Indicate by check mark whether the registrant is a shell company (as defined in Rule 12b-2 of the Exchange Act. Yes </w:t>
      </w:r>
      <w:r>
        <w:rPr>
          <w:rFonts w:ascii="MS PGothic" w:cs="MS PGothic" w:eastAsia="MS PGothic" w:hAnsi="MS PGothic"/>
          <w:sz w:val="17"/>
          <w:szCs w:val="17"/>
          <w:color w:val="auto"/>
        </w:rPr>
        <w:t>☐</w:t>
      </w:r>
      <w:r>
        <w:rPr>
          <w:sz w:val="20"/>
          <w:szCs w:val="20"/>
          <w:color w:val="auto"/>
        </w:rPr>
        <w:tab/>
      </w:r>
      <w:r>
        <w:rPr>
          <w:rFonts w:ascii="Arial" w:cs="Arial" w:eastAsia="Arial" w:hAnsi="Arial"/>
          <w:sz w:val="16"/>
          <w:szCs w:val="16"/>
          <w:color w:val="auto"/>
        </w:rPr>
        <w:t xml:space="preserve">No </w:t>
      </w:r>
      <w:r>
        <w:rPr>
          <w:rFonts w:ascii="MS PGothic" w:cs="MS PGothic" w:eastAsia="MS PGothic" w:hAnsi="MS PGothic"/>
          <w:sz w:val="16"/>
          <w:szCs w:val="16"/>
          <w:color w:val="auto"/>
        </w:rPr>
        <w:t>☒</w:t>
      </w:r>
    </w:p>
    <w:p>
      <w:pPr>
        <w:spacing w:after="0" w:line="269" w:lineRule="exact"/>
        <w:rPr>
          <w:sz w:val="20"/>
          <w:szCs w:val="20"/>
          <w:color w:val="auto"/>
        </w:rPr>
      </w:pPr>
    </w:p>
    <w:p>
      <w:pPr>
        <w:jc w:val="both"/>
        <w:ind w:left="160" w:firstLine="306"/>
        <w:spacing w:after="0" w:line="263" w:lineRule="auto"/>
        <w:rPr>
          <w:sz w:val="20"/>
          <w:szCs w:val="20"/>
          <w:color w:val="auto"/>
        </w:rPr>
      </w:pPr>
      <w:r>
        <w:rPr>
          <w:rFonts w:ascii="Arial" w:cs="Arial" w:eastAsia="Arial" w:hAnsi="Arial"/>
          <w:sz w:val="18"/>
          <w:szCs w:val="18"/>
          <w:color w:val="auto"/>
        </w:rPr>
        <w:t>The aggregate market value of shares of voting common equity held by non-affiliates of the registrant as of June 30, 2021 was approximately $324.4 million based on the closing sales price of the registrant’s common stock, par value $0.01 per share on that date. At March 7, 2022, there were 41,230,462 shares of the registrant’s common stock issued and outstanding.</w:t>
      </w:r>
    </w:p>
    <w:p>
      <w:pPr>
        <w:spacing w:after="0" w:line="180" w:lineRule="exact"/>
        <w:rPr>
          <w:sz w:val="20"/>
          <w:szCs w:val="20"/>
          <w:color w:val="auto"/>
        </w:rPr>
      </w:pPr>
    </w:p>
    <w:p>
      <w:pPr>
        <w:jc w:val="center"/>
        <w:ind w:right="-159"/>
        <w:spacing w:after="0"/>
        <w:rPr>
          <w:sz w:val="20"/>
          <w:szCs w:val="20"/>
          <w:color w:val="auto"/>
        </w:rPr>
      </w:pPr>
      <w:r>
        <w:rPr>
          <w:rFonts w:ascii="Arial" w:cs="Arial" w:eastAsia="Arial" w:hAnsi="Arial"/>
          <w:sz w:val="18"/>
          <w:szCs w:val="18"/>
          <w:b w:val="1"/>
          <w:bCs w:val="1"/>
          <w:color w:val="auto"/>
        </w:rPr>
        <w:t>DOCUMENTS INCORPORATED BY REFERENCE</w:t>
      </w:r>
    </w:p>
    <w:p>
      <w:pPr>
        <w:spacing w:after="0" w:line="229" w:lineRule="exact"/>
        <w:rPr>
          <w:sz w:val="20"/>
          <w:szCs w:val="20"/>
          <w:color w:val="auto"/>
        </w:rPr>
      </w:pPr>
    </w:p>
    <w:p>
      <w:pPr>
        <w:jc w:val="both"/>
        <w:ind w:left="160" w:firstLine="306"/>
        <w:spacing w:after="0" w:line="286" w:lineRule="auto"/>
        <w:rPr>
          <w:sz w:val="20"/>
          <w:szCs w:val="20"/>
          <w:color w:val="auto"/>
        </w:rPr>
      </w:pPr>
      <w:r>
        <w:rPr>
          <w:rFonts w:ascii="Arial" w:cs="Arial" w:eastAsia="Arial" w:hAnsi="Arial"/>
          <w:sz w:val="17"/>
          <w:szCs w:val="17"/>
          <w:color w:val="auto"/>
        </w:rPr>
        <w:t>Portions of the Company’s definitive Proxy Statement in connection with the 2022 Annual Meeting of Stockholders (the “Proxy Statement”), to be filed within 120 days after the end of the Registrant’s fiscal year, are incorporated by reference into Part III of this Form 10-K. Except with respect to information specifically incorporated by reference in this Form 10-K, the Proxy Statement is not deemed to be filed as part hereof.</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474345</wp:posOffset>
            </wp:positionV>
            <wp:extent cx="7132320" cy="1714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type w:val="continuous"/>
        </w:sectPr>
      </w:pPr>
    </w:p>
    <w:bookmarkStart w:id="2" w:name="page3"/>
    <w:bookmarkEnd w:id="2"/>
    <w:tbl>
      <w:tblPr>
        <w:tblLayout w:type="fixed"/>
        <w:tblInd w:w="0" w:type="dxa"/>
        <w:tblCellMar>
          <w:top w:w="0" w:type="dxa"/>
          <w:left w:w="0" w:type="dxa"/>
          <w:bottom w:w="0" w:type="dxa"/>
          <w:right w:w="0" w:type="dxa"/>
        </w:tblCellMar>
      </w:tblPr>
      <w:tr>
        <w:trPr>
          <w:trHeight w:val="207"/>
        </w:trPr>
        <w:tc>
          <w:tcPr>
            <w:tcW w:w="1580" w:type="dxa"/>
            <w:vAlign w:val="bottom"/>
            <w:gridSpan w:val="8"/>
          </w:tcPr>
          <w:p>
            <w:pPr>
              <w:spacing w:after="0"/>
              <w:rPr>
                <w:rFonts w:ascii="Arial" w:cs="Arial" w:eastAsia="Arial" w:hAnsi="Arial"/>
                <w:sz w:val="18"/>
                <w:szCs w:val="18"/>
                <w:color w:val="0000EE"/>
              </w:rPr>
            </w:pPr>
            <w:hyperlink w:anchor="page3">
              <w:r>
                <w:rPr>
                  <w:rFonts w:ascii="Arial" w:cs="Arial" w:eastAsia="Arial" w:hAnsi="Arial"/>
                  <w:sz w:val="18"/>
                  <w:szCs w:val="18"/>
                  <w:color w:val="0000EE"/>
                </w:rPr>
                <w:t>Table of Contents</w:t>
              </w:r>
            </w:hyperlink>
          </w:p>
        </w:tc>
        <w:tc>
          <w:tcPr>
            <w:tcW w:w="6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500" w:type="dxa"/>
            <w:vAlign w:val="bottom"/>
          </w:tcPr>
          <w:p>
            <w:pPr>
              <w:spacing w:after="0"/>
              <w:rPr>
                <w:sz w:val="17"/>
                <w:szCs w:val="17"/>
                <w:color w:val="auto"/>
              </w:rPr>
            </w:pPr>
          </w:p>
        </w:tc>
      </w:tr>
      <w:tr>
        <w:trPr>
          <w:trHeight w:val="677"/>
        </w:trPr>
        <w:tc>
          <w:tcPr>
            <w:tcW w:w="600" w:type="dxa"/>
            <w:vAlign w:val="bottom"/>
            <w:tcBorders>
              <w:top w:val="single" w:sz="8" w:color="0000EE"/>
            </w:tcBorders>
          </w:tcPr>
          <w:p>
            <w:pPr>
              <w:spacing w:after="0"/>
              <w:rPr>
                <w:sz w:val="24"/>
                <w:szCs w:val="24"/>
                <w:color w:val="auto"/>
              </w:rPr>
            </w:pPr>
          </w:p>
        </w:tc>
        <w:tc>
          <w:tcPr>
            <w:tcW w:w="80" w:type="dxa"/>
            <w:vAlign w:val="bottom"/>
            <w:tcBorders>
              <w:top w:val="single" w:sz="8" w:color="0000EE"/>
            </w:tcBorders>
          </w:tcPr>
          <w:p>
            <w:pPr>
              <w:spacing w:after="0"/>
              <w:rPr>
                <w:sz w:val="24"/>
                <w:szCs w:val="24"/>
                <w:color w:val="auto"/>
              </w:rPr>
            </w:pPr>
          </w:p>
        </w:tc>
        <w:tc>
          <w:tcPr>
            <w:tcW w:w="80" w:type="dxa"/>
            <w:vAlign w:val="bottom"/>
            <w:tcBorders>
              <w:top w:val="single" w:sz="8" w:color="0000EE"/>
            </w:tcBorders>
          </w:tcPr>
          <w:p>
            <w:pPr>
              <w:spacing w:after="0"/>
              <w:rPr>
                <w:sz w:val="24"/>
                <w:szCs w:val="24"/>
                <w:color w:val="auto"/>
              </w:rPr>
            </w:pPr>
          </w:p>
        </w:tc>
        <w:tc>
          <w:tcPr>
            <w:tcW w:w="520" w:type="dxa"/>
            <w:vAlign w:val="bottom"/>
            <w:tcBorders>
              <w:top w:val="single" w:sz="8" w:color="0000EE"/>
            </w:tcBorders>
          </w:tcPr>
          <w:p>
            <w:pPr>
              <w:spacing w:after="0"/>
              <w:rPr>
                <w:sz w:val="24"/>
                <w:szCs w:val="24"/>
                <w:color w:val="auto"/>
              </w:rPr>
            </w:pPr>
          </w:p>
        </w:tc>
        <w:tc>
          <w:tcPr>
            <w:tcW w:w="20" w:type="dxa"/>
            <w:vAlign w:val="bottom"/>
            <w:tcBorders>
              <w:top w:val="single" w:sz="8" w:color="0000EE"/>
            </w:tcBorders>
          </w:tcPr>
          <w:p>
            <w:pPr>
              <w:spacing w:after="0"/>
              <w:rPr>
                <w:sz w:val="24"/>
                <w:szCs w:val="24"/>
                <w:color w:val="auto"/>
              </w:rPr>
            </w:pPr>
          </w:p>
        </w:tc>
        <w:tc>
          <w:tcPr>
            <w:tcW w:w="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5560" w:type="dxa"/>
            <w:vAlign w:val="bottom"/>
            <w:gridSpan w:val="10"/>
          </w:tcPr>
          <w:p>
            <w:pPr>
              <w:jc w:val="center"/>
              <w:ind w:right="2980"/>
              <w:spacing w:after="0"/>
              <w:rPr>
                <w:sz w:val="20"/>
                <w:szCs w:val="20"/>
                <w:color w:val="auto"/>
              </w:rPr>
            </w:pPr>
            <w:r>
              <w:rPr>
                <w:rFonts w:ascii="Arial" w:cs="Arial" w:eastAsia="Arial" w:hAnsi="Arial"/>
                <w:sz w:val="18"/>
                <w:szCs w:val="18"/>
                <w:b w:val="1"/>
                <w:bCs w:val="1"/>
                <w:color w:val="auto"/>
              </w:rPr>
              <w:t>HARVARD BIOSCIENCE, INC.</w:t>
            </w:r>
          </w:p>
        </w:tc>
        <w:tc>
          <w:tcPr>
            <w:tcW w:w="5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500" w:type="dxa"/>
            <w:vAlign w:val="bottom"/>
          </w:tcPr>
          <w:p>
            <w:pPr>
              <w:spacing w:after="0"/>
              <w:rPr>
                <w:sz w:val="24"/>
                <w:szCs w:val="24"/>
                <w:color w:val="auto"/>
              </w:rPr>
            </w:pPr>
          </w:p>
        </w:tc>
      </w:tr>
      <w:tr>
        <w:trPr>
          <w:trHeight w:val="216"/>
        </w:trPr>
        <w:tc>
          <w:tcPr>
            <w:tcW w:w="6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5560" w:type="dxa"/>
            <w:vAlign w:val="bottom"/>
            <w:gridSpan w:val="10"/>
          </w:tcPr>
          <w:p>
            <w:pPr>
              <w:jc w:val="center"/>
              <w:ind w:right="2980"/>
              <w:spacing w:after="0"/>
              <w:rPr>
                <w:sz w:val="20"/>
                <w:szCs w:val="20"/>
                <w:color w:val="auto"/>
              </w:rPr>
            </w:pPr>
            <w:r>
              <w:rPr>
                <w:rFonts w:ascii="Arial" w:cs="Arial" w:eastAsia="Arial" w:hAnsi="Arial"/>
                <w:sz w:val="18"/>
                <w:szCs w:val="18"/>
                <w:b w:val="1"/>
                <w:bCs w:val="1"/>
                <w:color w:val="auto"/>
                <w:w w:val="99"/>
              </w:rPr>
              <w:t>TABLE OF CONTENTS</w:t>
            </w:r>
          </w:p>
        </w:tc>
        <w:tc>
          <w:tcPr>
            <w:tcW w:w="5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500" w:type="dxa"/>
            <w:vAlign w:val="bottom"/>
          </w:tcPr>
          <w:p>
            <w:pPr>
              <w:spacing w:after="0"/>
              <w:rPr>
                <w:sz w:val="18"/>
                <w:szCs w:val="18"/>
                <w:color w:val="auto"/>
              </w:rPr>
            </w:pPr>
          </w:p>
        </w:tc>
      </w:tr>
      <w:tr>
        <w:trPr>
          <w:trHeight w:val="216"/>
        </w:trPr>
        <w:tc>
          <w:tcPr>
            <w:tcW w:w="6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6420" w:type="dxa"/>
            <w:vAlign w:val="bottom"/>
            <w:gridSpan w:val="12"/>
          </w:tcPr>
          <w:p>
            <w:pPr>
              <w:jc w:val="center"/>
              <w:ind w:right="2120"/>
              <w:spacing w:after="0"/>
              <w:rPr>
                <w:sz w:val="20"/>
                <w:szCs w:val="20"/>
                <w:color w:val="auto"/>
              </w:rPr>
            </w:pPr>
            <w:r>
              <w:rPr>
                <w:rFonts w:ascii="Arial" w:cs="Arial" w:eastAsia="Arial" w:hAnsi="Arial"/>
                <w:sz w:val="18"/>
                <w:szCs w:val="18"/>
                <w:b w:val="1"/>
                <w:bCs w:val="1"/>
                <w:color w:val="auto"/>
                <w:w w:val="99"/>
              </w:rPr>
              <w:t>ANNUAL REPORT ON FORM 10-K</w:t>
            </w:r>
          </w:p>
        </w:tc>
        <w:tc>
          <w:tcPr>
            <w:tcW w:w="5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500" w:type="dxa"/>
            <w:vAlign w:val="bottom"/>
          </w:tcPr>
          <w:p>
            <w:pPr>
              <w:spacing w:after="0"/>
              <w:rPr>
                <w:sz w:val="18"/>
                <w:szCs w:val="18"/>
                <w:color w:val="auto"/>
              </w:rPr>
            </w:pPr>
          </w:p>
        </w:tc>
      </w:tr>
      <w:tr>
        <w:trPr>
          <w:trHeight w:val="216"/>
        </w:trPr>
        <w:tc>
          <w:tcPr>
            <w:tcW w:w="6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6420" w:type="dxa"/>
            <w:vAlign w:val="bottom"/>
            <w:gridSpan w:val="12"/>
          </w:tcPr>
          <w:p>
            <w:pPr>
              <w:jc w:val="center"/>
              <w:ind w:right="2120"/>
              <w:spacing w:after="0"/>
              <w:rPr>
                <w:sz w:val="20"/>
                <w:szCs w:val="20"/>
                <w:color w:val="auto"/>
              </w:rPr>
            </w:pPr>
            <w:r>
              <w:rPr>
                <w:rFonts w:ascii="Arial" w:cs="Arial" w:eastAsia="Arial" w:hAnsi="Arial"/>
                <w:sz w:val="18"/>
                <w:szCs w:val="18"/>
                <w:b w:val="1"/>
                <w:bCs w:val="1"/>
                <w:color w:val="auto"/>
                <w:w w:val="90"/>
              </w:rPr>
              <w:t>For the Year Ended December 31, 2021</w:t>
            </w:r>
          </w:p>
        </w:tc>
        <w:tc>
          <w:tcPr>
            <w:tcW w:w="5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500" w:type="dxa"/>
            <w:vAlign w:val="bottom"/>
          </w:tcPr>
          <w:p>
            <w:pPr>
              <w:spacing w:after="0"/>
              <w:rPr>
                <w:sz w:val="18"/>
                <w:szCs w:val="18"/>
                <w:color w:val="auto"/>
              </w:rPr>
            </w:pPr>
          </w:p>
        </w:tc>
      </w:tr>
      <w:tr>
        <w:trPr>
          <w:trHeight w:val="234"/>
        </w:trPr>
        <w:tc>
          <w:tcPr>
            <w:tcW w:w="60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5140" w:type="dxa"/>
            <w:vAlign w:val="bottom"/>
            <w:gridSpan w:val="9"/>
          </w:tcPr>
          <w:p>
            <w:pPr>
              <w:jc w:val="center"/>
              <w:ind w:right="3400"/>
              <w:spacing w:after="0"/>
              <w:rPr>
                <w:sz w:val="20"/>
                <w:szCs w:val="20"/>
                <w:color w:val="auto"/>
              </w:rPr>
            </w:pPr>
            <w:r>
              <w:rPr>
                <w:rFonts w:ascii="Arial" w:cs="Arial" w:eastAsia="Arial" w:hAnsi="Arial"/>
                <w:sz w:val="18"/>
                <w:szCs w:val="18"/>
                <w:b w:val="1"/>
                <w:bCs w:val="1"/>
                <w:color w:val="auto"/>
              </w:rPr>
              <w:t>INDEX</w:t>
            </w:r>
          </w:p>
        </w:tc>
        <w:tc>
          <w:tcPr>
            <w:tcW w:w="52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500" w:type="dxa"/>
            <w:vAlign w:val="bottom"/>
          </w:tcPr>
          <w:p>
            <w:pPr>
              <w:spacing w:after="0"/>
              <w:rPr>
                <w:sz w:val="20"/>
                <w:szCs w:val="20"/>
                <w:color w:val="auto"/>
              </w:rPr>
            </w:pPr>
          </w:p>
        </w:tc>
      </w:tr>
      <w:tr>
        <w:trPr>
          <w:trHeight w:val="418"/>
        </w:trPr>
        <w:tc>
          <w:tcPr>
            <w:tcW w:w="6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1200" w:type="dxa"/>
            <w:vAlign w:val="bottom"/>
            <w:gridSpan w:val="5"/>
          </w:tcPr>
          <w:p>
            <w:pPr>
              <w:ind w:left="420"/>
              <w:spacing w:after="0"/>
              <w:rPr>
                <w:sz w:val="20"/>
                <w:szCs w:val="20"/>
                <w:color w:val="auto"/>
              </w:rPr>
            </w:pPr>
            <w:r>
              <w:rPr>
                <w:rFonts w:ascii="Arial" w:cs="Arial" w:eastAsia="Arial" w:hAnsi="Arial"/>
                <w:sz w:val="18"/>
                <w:szCs w:val="18"/>
                <w:b w:val="1"/>
                <w:bCs w:val="1"/>
                <w:color w:val="auto"/>
              </w:rPr>
              <w:t>Page</w:t>
            </w:r>
          </w:p>
        </w:tc>
      </w:tr>
      <w:tr>
        <w:trPr>
          <w:trHeight w:val="190"/>
        </w:trPr>
        <w:tc>
          <w:tcPr>
            <w:tcW w:w="1580" w:type="dxa"/>
            <w:vAlign w:val="bottom"/>
            <w:gridSpan w:val="8"/>
          </w:tcPr>
          <w:p>
            <w:pPr>
              <w:spacing w:after="0" w:line="190" w:lineRule="exact"/>
              <w:rPr>
                <w:rFonts w:ascii="Arial" w:cs="Arial" w:eastAsia="Arial" w:hAnsi="Arial"/>
                <w:sz w:val="18"/>
                <w:szCs w:val="18"/>
                <w:color w:val="0000EE"/>
              </w:rPr>
            </w:pPr>
            <w:hyperlink w:anchor="page4">
              <w:r>
                <w:rPr>
                  <w:rFonts w:ascii="Arial" w:cs="Arial" w:eastAsia="Arial" w:hAnsi="Arial"/>
                  <w:sz w:val="18"/>
                  <w:szCs w:val="18"/>
                  <w:color w:val="0000EE"/>
                </w:rPr>
                <w:t>PART I</w:t>
              </w:r>
            </w:hyperlink>
          </w:p>
        </w:tc>
        <w:tc>
          <w:tcPr>
            <w:tcW w:w="6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54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700" w:type="dxa"/>
            <w:vAlign w:val="bottom"/>
            <w:gridSpan w:val="4"/>
          </w:tcPr>
          <w:p>
            <w:pPr>
              <w:jc w:val="center"/>
              <w:ind w:left="430"/>
              <w:spacing w:after="0" w:line="190" w:lineRule="exact"/>
              <w:rPr>
                <w:rFonts w:ascii="Arial" w:cs="Arial" w:eastAsia="Arial" w:hAnsi="Arial"/>
                <w:sz w:val="18"/>
                <w:szCs w:val="18"/>
                <w:color w:val="0000EE"/>
                <w:w w:val="99"/>
              </w:rPr>
            </w:pPr>
            <w:hyperlink w:anchor="page4">
              <w:r>
                <w:rPr>
                  <w:rFonts w:ascii="Arial" w:cs="Arial" w:eastAsia="Arial" w:hAnsi="Arial"/>
                  <w:sz w:val="18"/>
                  <w:szCs w:val="18"/>
                  <w:color w:val="0000EE"/>
                  <w:w w:val="99"/>
                </w:rPr>
                <w:t>1</w:t>
              </w:r>
            </w:hyperlink>
          </w:p>
        </w:tc>
        <w:tc>
          <w:tcPr>
            <w:tcW w:w="500" w:type="dxa"/>
            <w:vAlign w:val="bottom"/>
          </w:tcPr>
          <w:p>
            <w:pPr>
              <w:spacing w:after="0"/>
              <w:rPr>
                <w:sz w:val="16"/>
                <w:szCs w:val="16"/>
                <w:color w:val="auto"/>
              </w:rPr>
            </w:pPr>
          </w:p>
        </w:tc>
      </w:tr>
      <w:tr>
        <w:trPr>
          <w:trHeight w:val="412"/>
        </w:trPr>
        <w:tc>
          <w:tcPr>
            <w:tcW w:w="600" w:type="dxa"/>
            <w:vAlign w:val="bottom"/>
            <w:tcBorders>
              <w:top w:val="single" w:sz="8" w:color="0000EE"/>
            </w:tcBorders>
          </w:tcPr>
          <w:p>
            <w:pPr>
              <w:spacing w:after="0"/>
              <w:rPr>
                <w:sz w:val="24"/>
                <w:szCs w:val="24"/>
                <w:color w:val="auto"/>
              </w:rPr>
            </w:pPr>
          </w:p>
        </w:tc>
        <w:tc>
          <w:tcPr>
            <w:tcW w:w="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520" w:type="dxa"/>
            <w:vAlign w:val="bottom"/>
            <w:tcBorders>
              <w:bottom w:val="single" w:sz="8" w:color="0000EE"/>
            </w:tcBorders>
          </w:tcPr>
          <w:p>
            <w:pPr>
              <w:spacing w:after="0"/>
              <w:rPr>
                <w:rFonts w:ascii="Arial" w:cs="Arial" w:eastAsia="Arial" w:hAnsi="Arial"/>
                <w:sz w:val="18"/>
                <w:szCs w:val="18"/>
                <w:color w:val="0000EE"/>
                <w:w w:val="90"/>
              </w:rPr>
            </w:pPr>
            <w:hyperlink w:anchor="page4">
              <w:r>
                <w:rPr>
                  <w:rFonts w:ascii="Arial" w:cs="Arial" w:eastAsia="Arial" w:hAnsi="Arial"/>
                  <w:sz w:val="18"/>
                  <w:szCs w:val="18"/>
                  <w:color w:val="0000EE"/>
                  <w:w w:val="90"/>
                </w:rPr>
                <w:t>Item 1.</w:t>
              </w:r>
            </w:hyperlink>
          </w:p>
        </w:tc>
        <w:tc>
          <w:tcPr>
            <w:tcW w:w="300" w:type="dxa"/>
            <w:vAlign w:val="bottom"/>
            <w:gridSpan w:val="4"/>
          </w:tcPr>
          <w:p>
            <w:pPr>
              <w:spacing w:after="0"/>
              <w:rPr>
                <w:sz w:val="24"/>
                <w:szCs w:val="24"/>
                <w:color w:val="auto"/>
              </w:rPr>
            </w:pPr>
          </w:p>
        </w:tc>
        <w:tc>
          <w:tcPr>
            <w:tcW w:w="640" w:type="dxa"/>
            <w:vAlign w:val="bottom"/>
            <w:tcBorders>
              <w:bottom w:val="single" w:sz="8" w:color="0000EE"/>
            </w:tcBorders>
          </w:tcPr>
          <w:p>
            <w:pPr>
              <w:spacing w:after="0"/>
              <w:rPr>
                <w:rFonts w:ascii="Arial" w:cs="Arial" w:eastAsia="Arial" w:hAnsi="Arial"/>
                <w:sz w:val="18"/>
                <w:szCs w:val="18"/>
                <w:color w:val="0000EE"/>
                <w:w w:val="84"/>
              </w:rPr>
            </w:pPr>
            <w:hyperlink w:anchor="page4">
              <w:r>
                <w:rPr>
                  <w:rFonts w:ascii="Arial" w:cs="Arial" w:eastAsia="Arial" w:hAnsi="Arial"/>
                  <w:sz w:val="18"/>
                  <w:szCs w:val="18"/>
                  <w:color w:val="0000EE"/>
                  <w:w w:val="84"/>
                </w:rPr>
                <w:t>Business</w:t>
              </w:r>
            </w:hyperlink>
          </w:p>
        </w:tc>
        <w:tc>
          <w:tcPr>
            <w:tcW w:w="7820" w:type="dxa"/>
            <w:vAlign w:val="bottom"/>
            <w:gridSpan w:val="21"/>
          </w:tcPr>
          <w:p>
            <w:pPr>
              <w:spacing w:after="0"/>
              <w:rPr>
                <w:sz w:val="24"/>
                <w:szCs w:val="24"/>
                <w:color w:val="auto"/>
              </w:rPr>
            </w:pPr>
          </w:p>
        </w:tc>
        <w:tc>
          <w:tcPr>
            <w:tcW w:w="560" w:type="dxa"/>
            <w:vAlign w:val="bottom"/>
            <w:gridSpan w:val="2"/>
          </w:tcPr>
          <w:p>
            <w:pPr>
              <w:spacing w:after="0"/>
              <w:rPr>
                <w:sz w:val="24"/>
                <w:szCs w:val="24"/>
                <w:color w:val="auto"/>
              </w:rPr>
            </w:pPr>
          </w:p>
        </w:tc>
        <w:tc>
          <w:tcPr>
            <w:tcW w:w="100" w:type="dxa"/>
            <w:vAlign w:val="bottom"/>
            <w:tcBorders>
              <w:top w:val="single" w:sz="8" w:color="0000EE"/>
              <w:bottom w:val="single" w:sz="8" w:color="0000EE"/>
            </w:tcBorders>
          </w:tcPr>
          <w:p>
            <w:pPr>
              <w:jc w:val="center"/>
              <w:spacing w:after="0"/>
              <w:rPr>
                <w:rFonts w:ascii="Arial" w:cs="Arial" w:eastAsia="Arial" w:hAnsi="Arial"/>
                <w:sz w:val="18"/>
                <w:szCs w:val="18"/>
                <w:color w:val="0000EE"/>
                <w:w w:val="99"/>
              </w:rPr>
            </w:pPr>
            <w:hyperlink w:anchor="page4">
              <w:r>
                <w:rPr>
                  <w:rFonts w:ascii="Arial" w:cs="Arial" w:eastAsia="Arial" w:hAnsi="Arial"/>
                  <w:sz w:val="18"/>
                  <w:szCs w:val="18"/>
                  <w:color w:val="0000EE"/>
                  <w:w w:val="99"/>
                </w:rPr>
                <w:t>1</w:t>
              </w:r>
            </w:hyperlink>
          </w:p>
        </w:tc>
        <w:tc>
          <w:tcPr>
            <w:tcW w:w="40" w:type="dxa"/>
            <w:vAlign w:val="bottom"/>
          </w:tcPr>
          <w:p>
            <w:pPr>
              <w:spacing w:after="0"/>
              <w:rPr>
                <w:sz w:val="24"/>
                <w:szCs w:val="24"/>
                <w:color w:val="auto"/>
              </w:rPr>
            </w:pPr>
          </w:p>
        </w:tc>
        <w:tc>
          <w:tcPr>
            <w:tcW w:w="500" w:type="dxa"/>
            <w:vAlign w:val="bottom"/>
          </w:tcPr>
          <w:p>
            <w:pPr>
              <w:spacing w:after="0"/>
              <w:rPr>
                <w:sz w:val="24"/>
                <w:szCs w:val="24"/>
                <w:color w:val="auto"/>
              </w:rPr>
            </w:pPr>
          </w:p>
        </w:tc>
      </w:tr>
      <w:tr>
        <w:trPr>
          <w:trHeight w:val="412"/>
        </w:trPr>
        <w:tc>
          <w:tcPr>
            <w:tcW w:w="6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20" w:type="dxa"/>
            <w:vAlign w:val="bottom"/>
            <w:tcBorders>
              <w:bottom w:val="single" w:sz="8" w:color="0000EE"/>
            </w:tcBorders>
            <w:gridSpan w:val="4"/>
          </w:tcPr>
          <w:p>
            <w:pPr>
              <w:spacing w:after="0"/>
              <w:rPr>
                <w:rFonts w:ascii="Arial" w:cs="Arial" w:eastAsia="Arial" w:hAnsi="Arial"/>
                <w:sz w:val="18"/>
                <w:szCs w:val="18"/>
                <w:color w:val="0000EE"/>
                <w:w w:val="86"/>
              </w:rPr>
            </w:pPr>
            <w:hyperlink w:anchor="page10">
              <w:r>
                <w:rPr>
                  <w:rFonts w:ascii="Arial" w:cs="Arial" w:eastAsia="Arial" w:hAnsi="Arial"/>
                  <w:sz w:val="18"/>
                  <w:szCs w:val="18"/>
                  <w:color w:val="0000EE"/>
                  <w:w w:val="86"/>
                </w:rPr>
                <w:t>Item 1A.</w:t>
              </w:r>
            </w:hyperlink>
          </w:p>
        </w:tc>
        <w:tc>
          <w:tcPr>
            <w:tcW w:w="200" w:type="dxa"/>
            <w:vAlign w:val="bottom"/>
          </w:tcPr>
          <w:p>
            <w:pPr>
              <w:spacing w:after="0"/>
              <w:rPr>
                <w:sz w:val="24"/>
                <w:szCs w:val="24"/>
                <w:color w:val="auto"/>
              </w:rPr>
            </w:pPr>
          </w:p>
        </w:tc>
        <w:tc>
          <w:tcPr>
            <w:tcW w:w="900" w:type="dxa"/>
            <w:vAlign w:val="bottom"/>
            <w:tcBorders>
              <w:bottom w:val="single" w:sz="8" w:color="0000EE"/>
            </w:tcBorders>
            <w:gridSpan w:val="4"/>
          </w:tcPr>
          <w:p>
            <w:pPr>
              <w:spacing w:after="0"/>
              <w:rPr>
                <w:rFonts w:ascii="Arial" w:cs="Arial" w:eastAsia="Arial" w:hAnsi="Arial"/>
                <w:sz w:val="18"/>
                <w:szCs w:val="18"/>
                <w:color w:val="0000EE"/>
                <w:w w:val="87"/>
              </w:rPr>
            </w:pPr>
            <w:hyperlink w:anchor="page10">
              <w:r>
                <w:rPr>
                  <w:rFonts w:ascii="Arial" w:cs="Arial" w:eastAsia="Arial" w:hAnsi="Arial"/>
                  <w:sz w:val="18"/>
                  <w:szCs w:val="18"/>
                  <w:color w:val="0000EE"/>
                  <w:w w:val="87"/>
                </w:rPr>
                <w:t>Risk Factors</w:t>
              </w:r>
            </w:hyperlink>
          </w:p>
        </w:tc>
        <w:tc>
          <w:tcPr>
            <w:tcW w:w="7560" w:type="dxa"/>
            <w:vAlign w:val="bottom"/>
            <w:gridSpan w:val="18"/>
          </w:tcPr>
          <w:p>
            <w:pPr>
              <w:spacing w:after="0"/>
              <w:rPr>
                <w:sz w:val="24"/>
                <w:szCs w:val="24"/>
                <w:color w:val="auto"/>
              </w:rPr>
            </w:pPr>
          </w:p>
        </w:tc>
        <w:tc>
          <w:tcPr>
            <w:tcW w:w="560" w:type="dxa"/>
            <w:vAlign w:val="bottom"/>
            <w:gridSpan w:val="2"/>
          </w:tcPr>
          <w:p>
            <w:pPr>
              <w:spacing w:after="0"/>
              <w:rPr>
                <w:sz w:val="24"/>
                <w:szCs w:val="24"/>
                <w:color w:val="auto"/>
              </w:rPr>
            </w:pPr>
          </w:p>
        </w:tc>
        <w:tc>
          <w:tcPr>
            <w:tcW w:w="100" w:type="dxa"/>
            <w:vAlign w:val="bottom"/>
            <w:tcBorders>
              <w:bottom w:val="single" w:sz="8" w:color="0000EE"/>
            </w:tcBorders>
          </w:tcPr>
          <w:p>
            <w:pPr>
              <w:jc w:val="center"/>
              <w:spacing w:after="0"/>
              <w:rPr>
                <w:rFonts w:ascii="Arial" w:cs="Arial" w:eastAsia="Arial" w:hAnsi="Arial"/>
                <w:sz w:val="18"/>
                <w:szCs w:val="18"/>
                <w:color w:val="0000EE"/>
                <w:w w:val="99"/>
              </w:rPr>
            </w:pPr>
            <w:hyperlink w:anchor="page10">
              <w:r>
                <w:rPr>
                  <w:rFonts w:ascii="Arial" w:cs="Arial" w:eastAsia="Arial" w:hAnsi="Arial"/>
                  <w:sz w:val="18"/>
                  <w:szCs w:val="18"/>
                  <w:color w:val="0000EE"/>
                  <w:w w:val="99"/>
                </w:rPr>
                <w:t>7</w:t>
              </w:r>
            </w:hyperlink>
          </w:p>
        </w:tc>
        <w:tc>
          <w:tcPr>
            <w:tcW w:w="40" w:type="dxa"/>
            <w:vAlign w:val="bottom"/>
          </w:tcPr>
          <w:p>
            <w:pPr>
              <w:spacing w:after="0"/>
              <w:rPr>
                <w:sz w:val="24"/>
                <w:szCs w:val="24"/>
                <w:color w:val="auto"/>
              </w:rPr>
            </w:pPr>
          </w:p>
        </w:tc>
        <w:tc>
          <w:tcPr>
            <w:tcW w:w="500" w:type="dxa"/>
            <w:vAlign w:val="bottom"/>
          </w:tcPr>
          <w:p>
            <w:pPr>
              <w:spacing w:after="0"/>
              <w:rPr>
                <w:sz w:val="24"/>
                <w:szCs w:val="24"/>
                <w:color w:val="auto"/>
              </w:rPr>
            </w:pPr>
          </w:p>
        </w:tc>
      </w:tr>
      <w:tr>
        <w:trPr>
          <w:trHeight w:val="412"/>
        </w:trPr>
        <w:tc>
          <w:tcPr>
            <w:tcW w:w="6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20" w:type="dxa"/>
            <w:vAlign w:val="bottom"/>
            <w:gridSpan w:val="4"/>
          </w:tcPr>
          <w:p>
            <w:pPr>
              <w:spacing w:after="0"/>
              <w:rPr>
                <w:rFonts w:ascii="Arial" w:cs="Arial" w:eastAsia="Arial" w:hAnsi="Arial"/>
                <w:sz w:val="18"/>
                <w:szCs w:val="18"/>
                <w:color w:val="0000EE"/>
                <w:w w:val="86"/>
              </w:rPr>
            </w:pPr>
            <w:hyperlink w:anchor="page19">
              <w:r>
                <w:rPr>
                  <w:rFonts w:ascii="Arial" w:cs="Arial" w:eastAsia="Arial" w:hAnsi="Arial"/>
                  <w:sz w:val="18"/>
                  <w:szCs w:val="18"/>
                  <w:color w:val="0000EE"/>
                  <w:w w:val="86"/>
                </w:rPr>
                <w:t>Item 1B.</w:t>
              </w:r>
            </w:hyperlink>
          </w:p>
        </w:tc>
        <w:tc>
          <w:tcPr>
            <w:tcW w:w="200" w:type="dxa"/>
            <w:vAlign w:val="bottom"/>
          </w:tcPr>
          <w:p>
            <w:pPr>
              <w:spacing w:after="0"/>
              <w:rPr>
                <w:sz w:val="24"/>
                <w:szCs w:val="24"/>
                <w:color w:val="auto"/>
              </w:rPr>
            </w:pPr>
          </w:p>
        </w:tc>
        <w:tc>
          <w:tcPr>
            <w:tcW w:w="2040" w:type="dxa"/>
            <w:vAlign w:val="bottom"/>
            <w:gridSpan w:val="10"/>
          </w:tcPr>
          <w:p>
            <w:pPr>
              <w:spacing w:after="0"/>
              <w:rPr>
                <w:rFonts w:ascii="Arial" w:cs="Arial" w:eastAsia="Arial" w:hAnsi="Arial"/>
                <w:sz w:val="18"/>
                <w:szCs w:val="18"/>
                <w:color w:val="0000EE"/>
                <w:w w:val="89"/>
              </w:rPr>
            </w:pPr>
            <w:hyperlink w:anchor="page19">
              <w:r>
                <w:rPr>
                  <w:rFonts w:ascii="Arial" w:cs="Arial" w:eastAsia="Arial" w:hAnsi="Arial"/>
                  <w:sz w:val="18"/>
                  <w:szCs w:val="18"/>
                  <w:color w:val="0000EE"/>
                  <w:w w:val="89"/>
                </w:rPr>
                <w:t>Unresolved Staff Comments</w:t>
              </w:r>
            </w:hyperlink>
          </w:p>
        </w:tc>
        <w:tc>
          <w:tcPr>
            <w:tcW w:w="6420" w:type="dxa"/>
            <w:vAlign w:val="bottom"/>
            <w:gridSpan w:val="12"/>
          </w:tcPr>
          <w:p>
            <w:pPr>
              <w:spacing w:after="0"/>
              <w:rPr>
                <w:sz w:val="24"/>
                <w:szCs w:val="24"/>
                <w:color w:val="auto"/>
              </w:rPr>
            </w:pPr>
          </w:p>
        </w:tc>
        <w:tc>
          <w:tcPr>
            <w:tcW w:w="700" w:type="dxa"/>
            <w:vAlign w:val="bottom"/>
            <w:gridSpan w:val="4"/>
          </w:tcPr>
          <w:p>
            <w:pPr>
              <w:jc w:val="center"/>
              <w:ind w:left="430"/>
              <w:spacing w:after="0"/>
              <w:rPr>
                <w:rFonts w:ascii="Arial" w:cs="Arial" w:eastAsia="Arial" w:hAnsi="Arial"/>
                <w:sz w:val="18"/>
                <w:szCs w:val="18"/>
                <w:color w:val="0000EE"/>
                <w:w w:val="89"/>
              </w:rPr>
            </w:pPr>
            <w:hyperlink w:anchor="page19">
              <w:r>
                <w:rPr>
                  <w:rFonts w:ascii="Arial" w:cs="Arial" w:eastAsia="Arial" w:hAnsi="Arial"/>
                  <w:sz w:val="18"/>
                  <w:szCs w:val="18"/>
                  <w:color w:val="0000EE"/>
                  <w:w w:val="89"/>
                </w:rPr>
                <w:t>16</w:t>
              </w:r>
            </w:hyperlink>
          </w:p>
        </w:tc>
        <w:tc>
          <w:tcPr>
            <w:tcW w:w="500" w:type="dxa"/>
            <w:vAlign w:val="bottom"/>
          </w:tcPr>
          <w:p>
            <w:pPr>
              <w:spacing w:after="0"/>
              <w:rPr>
                <w:sz w:val="24"/>
                <w:szCs w:val="24"/>
                <w:color w:val="auto"/>
              </w:rPr>
            </w:pPr>
          </w:p>
        </w:tc>
      </w:tr>
      <w:tr>
        <w:trPr>
          <w:trHeight w:val="20"/>
        </w:trPr>
        <w:tc>
          <w:tcPr>
            <w:tcW w:w="6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0" w:type="dxa"/>
            <w:vAlign w:val="bottom"/>
            <w:gridSpan w:val="3"/>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720" w:type="dxa"/>
            <w:vAlign w:val="bottom"/>
            <w:gridSpan w:val="2"/>
            <w:shd w:val="clear" w:color="auto" w:fill="0000EE"/>
          </w:tcPr>
          <w:p>
            <w:pPr>
              <w:spacing w:after="0" w:line="20" w:lineRule="exact"/>
              <w:rPr>
                <w:sz w:val="1"/>
                <w:szCs w:val="1"/>
                <w:color w:val="auto"/>
              </w:rPr>
            </w:pPr>
          </w:p>
        </w:tc>
        <w:tc>
          <w:tcPr>
            <w:tcW w:w="60" w:type="dxa"/>
            <w:vAlign w:val="bottom"/>
            <w:tcBorders>
              <w:right w:val="single" w:sz="8" w:color="0000EE"/>
            </w:tcBorders>
            <w:shd w:val="clear" w:color="auto" w:fill="0000EE"/>
          </w:tcPr>
          <w:p>
            <w:pPr>
              <w:spacing w:after="0" w:line="20" w:lineRule="exact"/>
              <w:rPr>
                <w:sz w:val="1"/>
                <w:szCs w:val="1"/>
                <w:color w:val="auto"/>
              </w:rPr>
            </w:pPr>
          </w:p>
        </w:tc>
        <w:tc>
          <w:tcPr>
            <w:tcW w:w="200" w:type="dxa"/>
            <w:vAlign w:val="bottom"/>
            <w:gridSpan w:val="2"/>
            <w:shd w:val="clear" w:color="auto" w:fill="0000EE"/>
          </w:tcPr>
          <w:p>
            <w:pPr>
              <w:spacing w:after="0" w:line="20" w:lineRule="exact"/>
              <w:rPr>
                <w:sz w:val="1"/>
                <w:szCs w:val="1"/>
                <w:color w:val="auto"/>
              </w:rPr>
            </w:pPr>
          </w:p>
        </w:tc>
        <w:tc>
          <w:tcPr>
            <w:tcW w:w="320" w:type="dxa"/>
            <w:vAlign w:val="bottom"/>
            <w:shd w:val="clear" w:color="auto" w:fill="0000EE"/>
          </w:tcPr>
          <w:p>
            <w:pPr>
              <w:spacing w:after="0" w:line="20" w:lineRule="exact"/>
              <w:rPr>
                <w:sz w:val="1"/>
                <w:szCs w:val="1"/>
                <w:color w:val="auto"/>
              </w:rPr>
            </w:pPr>
          </w:p>
        </w:tc>
        <w:tc>
          <w:tcPr>
            <w:tcW w:w="220" w:type="dxa"/>
            <w:vAlign w:val="bottom"/>
            <w:tcBorders>
              <w:left w:val="single" w:sz="8" w:color="0000EE"/>
            </w:tcBorders>
            <w:shd w:val="clear" w:color="auto" w:fill="0000EE"/>
          </w:tcPr>
          <w:p>
            <w:pPr>
              <w:spacing w:after="0" w:line="20" w:lineRule="exact"/>
              <w:rPr>
                <w:sz w:val="1"/>
                <w:szCs w:val="1"/>
                <w:color w:val="auto"/>
              </w:rPr>
            </w:pPr>
          </w:p>
        </w:tc>
        <w:tc>
          <w:tcPr>
            <w:tcW w:w="24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240" w:type="dxa"/>
            <w:vAlign w:val="bottom"/>
            <w:shd w:val="clear" w:color="auto" w:fill="0000EE"/>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180" w:type="dxa"/>
            <w:vAlign w:val="bottom"/>
            <w:gridSpan w:val="3"/>
            <w:shd w:val="clear" w:color="auto" w:fill="0000EE"/>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r>
      <w:tr>
        <w:trPr>
          <w:trHeight w:val="412"/>
        </w:trPr>
        <w:tc>
          <w:tcPr>
            <w:tcW w:w="6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520" w:type="dxa"/>
            <w:vAlign w:val="bottom"/>
          </w:tcPr>
          <w:p>
            <w:pPr>
              <w:spacing w:after="0"/>
              <w:rPr>
                <w:rFonts w:ascii="Arial" w:cs="Arial" w:eastAsia="Arial" w:hAnsi="Arial"/>
                <w:sz w:val="18"/>
                <w:szCs w:val="18"/>
                <w:color w:val="0000EE"/>
                <w:w w:val="90"/>
              </w:rPr>
            </w:pPr>
            <w:hyperlink w:anchor="page19">
              <w:r>
                <w:rPr>
                  <w:rFonts w:ascii="Arial" w:cs="Arial" w:eastAsia="Arial" w:hAnsi="Arial"/>
                  <w:sz w:val="18"/>
                  <w:szCs w:val="18"/>
                  <w:color w:val="0000EE"/>
                  <w:w w:val="90"/>
                </w:rPr>
                <w:t>Item 2.</w:t>
              </w:r>
            </w:hyperlink>
          </w:p>
        </w:tc>
        <w:tc>
          <w:tcPr>
            <w:tcW w:w="100" w:type="dxa"/>
            <w:vAlign w:val="bottom"/>
            <w:gridSpan w:val="3"/>
          </w:tcPr>
          <w:p>
            <w:pPr>
              <w:spacing w:after="0"/>
              <w:rPr>
                <w:sz w:val="24"/>
                <w:szCs w:val="24"/>
                <w:color w:val="auto"/>
              </w:rPr>
            </w:pPr>
          </w:p>
        </w:tc>
        <w:tc>
          <w:tcPr>
            <w:tcW w:w="200" w:type="dxa"/>
            <w:vAlign w:val="bottom"/>
          </w:tcPr>
          <w:p>
            <w:pPr>
              <w:spacing w:after="0"/>
              <w:rPr>
                <w:sz w:val="24"/>
                <w:szCs w:val="24"/>
                <w:color w:val="auto"/>
              </w:rPr>
            </w:pPr>
          </w:p>
        </w:tc>
        <w:tc>
          <w:tcPr>
            <w:tcW w:w="2040" w:type="dxa"/>
            <w:vAlign w:val="bottom"/>
            <w:gridSpan w:val="10"/>
          </w:tcPr>
          <w:p>
            <w:pPr>
              <w:spacing w:after="0"/>
              <w:rPr>
                <w:rFonts w:ascii="Arial" w:cs="Arial" w:eastAsia="Arial" w:hAnsi="Arial"/>
                <w:sz w:val="18"/>
                <w:szCs w:val="18"/>
                <w:color w:val="0000EE"/>
              </w:rPr>
            </w:pPr>
            <w:hyperlink w:anchor="page19">
              <w:r>
                <w:rPr>
                  <w:rFonts w:ascii="Arial" w:cs="Arial" w:eastAsia="Arial" w:hAnsi="Arial"/>
                  <w:sz w:val="18"/>
                  <w:szCs w:val="18"/>
                  <w:color w:val="0000EE"/>
                </w:rPr>
                <w:t>Properties</w:t>
              </w:r>
            </w:hyperlink>
          </w:p>
        </w:tc>
        <w:tc>
          <w:tcPr>
            <w:tcW w:w="6420" w:type="dxa"/>
            <w:vAlign w:val="bottom"/>
            <w:gridSpan w:val="12"/>
          </w:tcPr>
          <w:p>
            <w:pPr>
              <w:spacing w:after="0"/>
              <w:rPr>
                <w:sz w:val="24"/>
                <w:szCs w:val="24"/>
                <w:color w:val="auto"/>
              </w:rPr>
            </w:pPr>
          </w:p>
        </w:tc>
        <w:tc>
          <w:tcPr>
            <w:tcW w:w="700" w:type="dxa"/>
            <w:vAlign w:val="bottom"/>
            <w:gridSpan w:val="4"/>
          </w:tcPr>
          <w:p>
            <w:pPr>
              <w:jc w:val="center"/>
              <w:ind w:left="430"/>
              <w:spacing w:after="0"/>
              <w:rPr>
                <w:rFonts w:ascii="Arial" w:cs="Arial" w:eastAsia="Arial" w:hAnsi="Arial"/>
                <w:sz w:val="18"/>
                <w:szCs w:val="18"/>
                <w:color w:val="0000EE"/>
                <w:w w:val="89"/>
              </w:rPr>
            </w:pPr>
            <w:hyperlink w:anchor="page19">
              <w:r>
                <w:rPr>
                  <w:rFonts w:ascii="Arial" w:cs="Arial" w:eastAsia="Arial" w:hAnsi="Arial"/>
                  <w:sz w:val="18"/>
                  <w:szCs w:val="18"/>
                  <w:color w:val="0000EE"/>
                  <w:w w:val="89"/>
                </w:rPr>
                <w:t>16</w:t>
              </w:r>
            </w:hyperlink>
          </w:p>
        </w:tc>
        <w:tc>
          <w:tcPr>
            <w:tcW w:w="500" w:type="dxa"/>
            <w:vAlign w:val="bottom"/>
          </w:tcPr>
          <w:p>
            <w:pPr>
              <w:spacing w:after="0"/>
              <w:rPr>
                <w:sz w:val="24"/>
                <w:szCs w:val="24"/>
                <w:color w:val="auto"/>
              </w:rPr>
            </w:pPr>
          </w:p>
        </w:tc>
      </w:tr>
      <w:tr>
        <w:trPr>
          <w:trHeight w:val="20"/>
        </w:trPr>
        <w:tc>
          <w:tcPr>
            <w:tcW w:w="6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20" w:type="dxa"/>
            <w:vAlign w:val="bottom"/>
            <w:shd w:val="clear" w:color="auto" w:fill="0000EE"/>
          </w:tcPr>
          <w:p>
            <w:pPr>
              <w:spacing w:after="0" w:line="20" w:lineRule="exact"/>
              <w:rPr>
                <w:sz w:val="1"/>
                <w:szCs w:val="1"/>
                <w:color w:val="auto"/>
              </w:rPr>
            </w:pPr>
          </w:p>
        </w:tc>
        <w:tc>
          <w:tcPr>
            <w:tcW w:w="8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720" w:type="dxa"/>
            <w:vAlign w:val="bottom"/>
            <w:gridSpan w:val="2"/>
            <w:shd w:val="clear" w:color="auto" w:fill="0000EE"/>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0" w:type="dxa"/>
            <w:vAlign w:val="bottom"/>
            <w:gridSpan w:val="2"/>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6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180" w:type="dxa"/>
            <w:vAlign w:val="bottom"/>
            <w:gridSpan w:val="3"/>
            <w:shd w:val="clear" w:color="auto" w:fill="0000EE"/>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r>
      <w:tr>
        <w:trPr>
          <w:trHeight w:val="412"/>
        </w:trPr>
        <w:tc>
          <w:tcPr>
            <w:tcW w:w="6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520" w:type="dxa"/>
            <w:vAlign w:val="bottom"/>
          </w:tcPr>
          <w:p>
            <w:pPr>
              <w:spacing w:after="0"/>
              <w:rPr>
                <w:rFonts w:ascii="Arial" w:cs="Arial" w:eastAsia="Arial" w:hAnsi="Arial"/>
                <w:sz w:val="18"/>
                <w:szCs w:val="18"/>
                <w:color w:val="0000EE"/>
                <w:w w:val="90"/>
              </w:rPr>
            </w:pPr>
            <w:hyperlink w:anchor="page19">
              <w:r>
                <w:rPr>
                  <w:rFonts w:ascii="Arial" w:cs="Arial" w:eastAsia="Arial" w:hAnsi="Arial"/>
                  <w:sz w:val="18"/>
                  <w:szCs w:val="18"/>
                  <w:color w:val="0000EE"/>
                  <w:w w:val="90"/>
                </w:rPr>
                <w:t>Item 3.</w:t>
              </w:r>
            </w:hyperlink>
          </w:p>
        </w:tc>
        <w:tc>
          <w:tcPr>
            <w:tcW w:w="300" w:type="dxa"/>
            <w:vAlign w:val="bottom"/>
            <w:gridSpan w:val="4"/>
          </w:tcPr>
          <w:p>
            <w:pPr>
              <w:spacing w:after="0"/>
              <w:rPr>
                <w:sz w:val="24"/>
                <w:szCs w:val="24"/>
                <w:color w:val="auto"/>
              </w:rPr>
            </w:pPr>
          </w:p>
        </w:tc>
        <w:tc>
          <w:tcPr>
            <w:tcW w:w="8460" w:type="dxa"/>
            <w:vAlign w:val="bottom"/>
            <w:gridSpan w:val="22"/>
          </w:tcPr>
          <w:p>
            <w:pPr>
              <w:spacing w:after="0"/>
              <w:rPr>
                <w:rFonts w:ascii="Arial" w:cs="Arial" w:eastAsia="Arial" w:hAnsi="Arial"/>
                <w:sz w:val="18"/>
                <w:szCs w:val="18"/>
                <w:color w:val="0000EE"/>
              </w:rPr>
            </w:pPr>
            <w:hyperlink w:anchor="page19">
              <w:r>
                <w:rPr>
                  <w:rFonts w:ascii="Arial" w:cs="Arial" w:eastAsia="Arial" w:hAnsi="Arial"/>
                  <w:sz w:val="18"/>
                  <w:szCs w:val="18"/>
                  <w:color w:val="0000EE"/>
                </w:rPr>
                <w:t>Legal Proceedings</w:t>
              </w:r>
            </w:hyperlink>
          </w:p>
        </w:tc>
        <w:tc>
          <w:tcPr>
            <w:tcW w:w="700" w:type="dxa"/>
            <w:vAlign w:val="bottom"/>
            <w:gridSpan w:val="4"/>
          </w:tcPr>
          <w:p>
            <w:pPr>
              <w:jc w:val="center"/>
              <w:ind w:left="430"/>
              <w:spacing w:after="0"/>
              <w:rPr>
                <w:rFonts w:ascii="Arial" w:cs="Arial" w:eastAsia="Arial" w:hAnsi="Arial"/>
                <w:sz w:val="18"/>
                <w:szCs w:val="18"/>
                <w:color w:val="0000EE"/>
                <w:w w:val="89"/>
              </w:rPr>
            </w:pPr>
            <w:hyperlink w:anchor="page19">
              <w:r>
                <w:rPr>
                  <w:rFonts w:ascii="Arial" w:cs="Arial" w:eastAsia="Arial" w:hAnsi="Arial"/>
                  <w:sz w:val="18"/>
                  <w:szCs w:val="18"/>
                  <w:color w:val="0000EE"/>
                  <w:w w:val="89"/>
                </w:rPr>
                <w:t>16</w:t>
              </w:r>
            </w:hyperlink>
          </w:p>
        </w:tc>
        <w:tc>
          <w:tcPr>
            <w:tcW w:w="500" w:type="dxa"/>
            <w:vAlign w:val="bottom"/>
          </w:tcPr>
          <w:p>
            <w:pPr>
              <w:spacing w:after="0"/>
              <w:rPr>
                <w:sz w:val="24"/>
                <w:szCs w:val="24"/>
                <w:color w:val="auto"/>
              </w:rPr>
            </w:pPr>
          </w:p>
        </w:tc>
      </w:tr>
      <w:tr>
        <w:trPr>
          <w:trHeight w:val="20"/>
        </w:trPr>
        <w:tc>
          <w:tcPr>
            <w:tcW w:w="6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20" w:type="dxa"/>
            <w:vAlign w:val="bottom"/>
            <w:shd w:val="clear" w:color="auto" w:fill="0000EE"/>
          </w:tcPr>
          <w:p>
            <w:pPr>
              <w:spacing w:after="0" w:line="20" w:lineRule="exact"/>
              <w:rPr>
                <w:sz w:val="1"/>
                <w:szCs w:val="1"/>
                <w:color w:val="auto"/>
              </w:rPr>
            </w:pPr>
          </w:p>
        </w:tc>
        <w:tc>
          <w:tcPr>
            <w:tcW w:w="8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780" w:type="dxa"/>
            <w:vAlign w:val="bottom"/>
            <w:tcBorders>
              <w:right w:val="single" w:sz="8" w:color="0000EE"/>
            </w:tcBorders>
            <w:gridSpan w:val="3"/>
            <w:shd w:val="clear" w:color="auto" w:fill="0000EE"/>
          </w:tcPr>
          <w:p>
            <w:pPr>
              <w:spacing w:after="0" w:line="20" w:lineRule="exact"/>
              <w:rPr>
                <w:sz w:val="1"/>
                <w:szCs w:val="1"/>
                <w:color w:val="auto"/>
              </w:rPr>
            </w:pPr>
          </w:p>
        </w:tc>
        <w:tc>
          <w:tcPr>
            <w:tcW w:w="200" w:type="dxa"/>
            <w:vAlign w:val="bottom"/>
            <w:gridSpan w:val="2"/>
            <w:shd w:val="clear" w:color="auto" w:fill="0000EE"/>
          </w:tcPr>
          <w:p>
            <w:pPr>
              <w:spacing w:after="0" w:line="20" w:lineRule="exact"/>
              <w:rPr>
                <w:sz w:val="1"/>
                <w:szCs w:val="1"/>
                <w:color w:val="auto"/>
              </w:rPr>
            </w:pPr>
          </w:p>
        </w:tc>
        <w:tc>
          <w:tcPr>
            <w:tcW w:w="320" w:type="dxa"/>
            <w:vAlign w:val="bottom"/>
            <w:shd w:val="clear" w:color="auto" w:fill="0000EE"/>
          </w:tcPr>
          <w:p>
            <w:pPr>
              <w:spacing w:after="0" w:line="20" w:lineRule="exact"/>
              <w:rPr>
                <w:sz w:val="1"/>
                <w:szCs w:val="1"/>
                <w:color w:val="auto"/>
              </w:rPr>
            </w:pPr>
          </w:p>
        </w:tc>
        <w:tc>
          <w:tcPr>
            <w:tcW w:w="220" w:type="dxa"/>
            <w:vAlign w:val="bottom"/>
            <w:tcBorders>
              <w:left w:val="single" w:sz="8" w:color="0000EE"/>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6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180" w:type="dxa"/>
            <w:vAlign w:val="bottom"/>
            <w:gridSpan w:val="3"/>
            <w:shd w:val="clear" w:color="auto" w:fill="0000EE"/>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r>
      <w:tr>
        <w:trPr>
          <w:trHeight w:val="412"/>
        </w:trPr>
        <w:tc>
          <w:tcPr>
            <w:tcW w:w="6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520" w:type="dxa"/>
            <w:vAlign w:val="bottom"/>
          </w:tcPr>
          <w:p>
            <w:pPr>
              <w:spacing w:after="0"/>
              <w:rPr>
                <w:rFonts w:ascii="Arial" w:cs="Arial" w:eastAsia="Arial" w:hAnsi="Arial"/>
                <w:sz w:val="18"/>
                <w:szCs w:val="18"/>
                <w:color w:val="0000EE"/>
                <w:w w:val="90"/>
              </w:rPr>
            </w:pPr>
            <w:hyperlink w:anchor="page19">
              <w:r>
                <w:rPr>
                  <w:rFonts w:ascii="Arial" w:cs="Arial" w:eastAsia="Arial" w:hAnsi="Arial"/>
                  <w:sz w:val="18"/>
                  <w:szCs w:val="18"/>
                  <w:color w:val="0000EE"/>
                  <w:w w:val="90"/>
                </w:rPr>
                <w:t>Item 4.</w:t>
              </w:r>
            </w:hyperlink>
          </w:p>
        </w:tc>
        <w:tc>
          <w:tcPr>
            <w:tcW w:w="300" w:type="dxa"/>
            <w:vAlign w:val="bottom"/>
            <w:gridSpan w:val="4"/>
          </w:tcPr>
          <w:p>
            <w:pPr>
              <w:spacing w:after="0"/>
              <w:rPr>
                <w:sz w:val="24"/>
                <w:szCs w:val="24"/>
                <w:color w:val="auto"/>
              </w:rPr>
            </w:pPr>
          </w:p>
        </w:tc>
        <w:tc>
          <w:tcPr>
            <w:tcW w:w="8460" w:type="dxa"/>
            <w:vAlign w:val="bottom"/>
            <w:gridSpan w:val="22"/>
          </w:tcPr>
          <w:p>
            <w:pPr>
              <w:spacing w:after="0"/>
              <w:rPr>
                <w:rFonts w:ascii="Arial" w:cs="Arial" w:eastAsia="Arial" w:hAnsi="Arial"/>
                <w:sz w:val="18"/>
                <w:szCs w:val="18"/>
                <w:color w:val="0000EE"/>
              </w:rPr>
            </w:pPr>
            <w:hyperlink w:anchor="page19">
              <w:r>
                <w:rPr>
                  <w:rFonts w:ascii="Arial" w:cs="Arial" w:eastAsia="Arial" w:hAnsi="Arial"/>
                  <w:sz w:val="18"/>
                  <w:szCs w:val="18"/>
                  <w:color w:val="0000EE"/>
                </w:rPr>
                <w:t>Mine Safety Disclosures</w:t>
              </w:r>
            </w:hyperlink>
          </w:p>
        </w:tc>
        <w:tc>
          <w:tcPr>
            <w:tcW w:w="700" w:type="dxa"/>
            <w:vAlign w:val="bottom"/>
            <w:gridSpan w:val="4"/>
          </w:tcPr>
          <w:p>
            <w:pPr>
              <w:jc w:val="center"/>
              <w:ind w:left="430"/>
              <w:spacing w:after="0"/>
              <w:rPr>
                <w:rFonts w:ascii="Arial" w:cs="Arial" w:eastAsia="Arial" w:hAnsi="Arial"/>
                <w:sz w:val="18"/>
                <w:szCs w:val="18"/>
                <w:color w:val="0000EE"/>
                <w:w w:val="89"/>
              </w:rPr>
            </w:pPr>
            <w:hyperlink w:anchor="page19">
              <w:r>
                <w:rPr>
                  <w:rFonts w:ascii="Arial" w:cs="Arial" w:eastAsia="Arial" w:hAnsi="Arial"/>
                  <w:sz w:val="18"/>
                  <w:szCs w:val="18"/>
                  <w:color w:val="0000EE"/>
                  <w:w w:val="89"/>
                </w:rPr>
                <w:t>16</w:t>
              </w:r>
            </w:hyperlink>
          </w:p>
        </w:tc>
        <w:tc>
          <w:tcPr>
            <w:tcW w:w="500" w:type="dxa"/>
            <w:vAlign w:val="bottom"/>
          </w:tcPr>
          <w:p>
            <w:pPr>
              <w:spacing w:after="0"/>
              <w:rPr>
                <w:sz w:val="24"/>
                <w:szCs w:val="24"/>
                <w:color w:val="auto"/>
              </w:rPr>
            </w:pPr>
          </w:p>
        </w:tc>
      </w:tr>
      <w:tr>
        <w:trPr>
          <w:trHeight w:val="20"/>
        </w:trPr>
        <w:tc>
          <w:tcPr>
            <w:tcW w:w="6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20" w:type="dxa"/>
            <w:vAlign w:val="bottom"/>
            <w:shd w:val="clear" w:color="auto" w:fill="0000EE"/>
          </w:tcPr>
          <w:p>
            <w:pPr>
              <w:spacing w:after="0" w:line="20" w:lineRule="exact"/>
              <w:rPr>
                <w:sz w:val="1"/>
                <w:szCs w:val="1"/>
                <w:color w:val="auto"/>
              </w:rPr>
            </w:pPr>
          </w:p>
        </w:tc>
        <w:tc>
          <w:tcPr>
            <w:tcW w:w="8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64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60" w:type="dxa"/>
            <w:vAlign w:val="bottom"/>
            <w:tcBorders>
              <w:right w:val="single" w:sz="8" w:color="0000EE"/>
            </w:tcBorders>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320" w:type="dxa"/>
            <w:vAlign w:val="bottom"/>
            <w:shd w:val="clear" w:color="auto" w:fill="0000EE"/>
          </w:tcPr>
          <w:p>
            <w:pPr>
              <w:spacing w:after="0" w:line="20" w:lineRule="exact"/>
              <w:rPr>
                <w:sz w:val="1"/>
                <w:szCs w:val="1"/>
                <w:color w:val="auto"/>
              </w:rPr>
            </w:pPr>
          </w:p>
        </w:tc>
        <w:tc>
          <w:tcPr>
            <w:tcW w:w="220" w:type="dxa"/>
            <w:vAlign w:val="bottom"/>
            <w:tcBorders>
              <w:left w:val="single" w:sz="8" w:color="0000EE"/>
            </w:tcBorders>
            <w:shd w:val="clear" w:color="auto" w:fill="0000EE"/>
          </w:tcPr>
          <w:p>
            <w:pPr>
              <w:spacing w:after="0" w:line="20" w:lineRule="exact"/>
              <w:rPr>
                <w:sz w:val="1"/>
                <w:szCs w:val="1"/>
                <w:color w:val="auto"/>
              </w:rPr>
            </w:pPr>
          </w:p>
        </w:tc>
        <w:tc>
          <w:tcPr>
            <w:tcW w:w="240" w:type="dxa"/>
            <w:vAlign w:val="bottom"/>
            <w:shd w:val="clear" w:color="auto" w:fill="0000EE"/>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180" w:type="dxa"/>
            <w:vAlign w:val="bottom"/>
            <w:gridSpan w:val="3"/>
            <w:shd w:val="clear" w:color="auto" w:fill="0000EE"/>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r>
      <w:tr>
        <w:trPr>
          <w:trHeight w:val="412"/>
        </w:trPr>
        <w:tc>
          <w:tcPr>
            <w:tcW w:w="760" w:type="dxa"/>
            <w:vAlign w:val="bottom"/>
            <w:gridSpan w:val="3"/>
          </w:tcPr>
          <w:p>
            <w:pPr>
              <w:spacing w:after="0"/>
              <w:rPr>
                <w:rFonts w:ascii="Arial" w:cs="Arial" w:eastAsia="Arial" w:hAnsi="Arial"/>
                <w:sz w:val="18"/>
                <w:szCs w:val="18"/>
                <w:color w:val="0000EE"/>
              </w:rPr>
            </w:pPr>
            <w:hyperlink w:anchor="page19">
              <w:r>
                <w:rPr>
                  <w:rFonts w:ascii="Arial" w:cs="Arial" w:eastAsia="Arial" w:hAnsi="Arial"/>
                  <w:sz w:val="18"/>
                  <w:szCs w:val="18"/>
                  <w:color w:val="0000EE"/>
                </w:rPr>
                <w:t>PART II</w:t>
              </w:r>
            </w:hyperlink>
          </w:p>
        </w:tc>
        <w:tc>
          <w:tcPr>
            <w:tcW w:w="520" w:type="dxa"/>
            <w:vAlign w:val="bottom"/>
          </w:tcPr>
          <w:p>
            <w:pPr>
              <w:spacing w:after="0"/>
              <w:rPr>
                <w:sz w:val="24"/>
                <w:szCs w:val="24"/>
                <w:color w:val="auto"/>
              </w:rPr>
            </w:pPr>
          </w:p>
        </w:tc>
        <w:tc>
          <w:tcPr>
            <w:tcW w:w="300" w:type="dxa"/>
            <w:vAlign w:val="bottom"/>
            <w:gridSpan w:val="4"/>
          </w:tcPr>
          <w:p>
            <w:pPr>
              <w:spacing w:after="0"/>
              <w:rPr>
                <w:sz w:val="24"/>
                <w:szCs w:val="24"/>
                <w:color w:val="auto"/>
              </w:rPr>
            </w:pPr>
          </w:p>
        </w:tc>
        <w:tc>
          <w:tcPr>
            <w:tcW w:w="6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700" w:type="dxa"/>
            <w:vAlign w:val="bottom"/>
            <w:gridSpan w:val="4"/>
          </w:tcPr>
          <w:p>
            <w:pPr>
              <w:jc w:val="center"/>
              <w:ind w:left="430"/>
              <w:spacing w:after="0"/>
              <w:rPr>
                <w:rFonts w:ascii="Arial" w:cs="Arial" w:eastAsia="Arial" w:hAnsi="Arial"/>
                <w:sz w:val="18"/>
                <w:szCs w:val="18"/>
                <w:color w:val="0000EE"/>
                <w:w w:val="89"/>
              </w:rPr>
            </w:pPr>
            <w:hyperlink w:anchor="page19">
              <w:r>
                <w:rPr>
                  <w:rFonts w:ascii="Arial" w:cs="Arial" w:eastAsia="Arial" w:hAnsi="Arial"/>
                  <w:sz w:val="18"/>
                  <w:szCs w:val="18"/>
                  <w:color w:val="0000EE"/>
                  <w:w w:val="89"/>
                </w:rPr>
                <w:t>16</w:t>
              </w:r>
            </w:hyperlink>
          </w:p>
        </w:tc>
        <w:tc>
          <w:tcPr>
            <w:tcW w:w="500" w:type="dxa"/>
            <w:vAlign w:val="bottom"/>
          </w:tcPr>
          <w:p>
            <w:pPr>
              <w:spacing w:after="0"/>
              <w:rPr>
                <w:sz w:val="24"/>
                <w:szCs w:val="24"/>
                <w:color w:val="auto"/>
              </w:rPr>
            </w:pPr>
          </w:p>
        </w:tc>
      </w:tr>
      <w:tr>
        <w:trPr>
          <w:trHeight w:val="20"/>
        </w:trPr>
        <w:tc>
          <w:tcPr>
            <w:tcW w:w="600" w:type="dxa"/>
            <w:vAlign w:val="bottom"/>
            <w:tcBorders>
              <w:right w:val="single" w:sz="8" w:color="0000EE"/>
            </w:tcBorders>
            <w:shd w:val="clear" w:color="auto" w:fill="0000EE"/>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780" w:type="dxa"/>
            <w:vAlign w:val="bottom"/>
            <w:gridSpan w:val="3"/>
          </w:tcPr>
          <w:p>
            <w:pPr>
              <w:spacing w:after="0" w:line="20" w:lineRule="exact"/>
              <w:rPr>
                <w:sz w:val="1"/>
                <w:szCs w:val="1"/>
                <w:color w:val="auto"/>
              </w:rPr>
            </w:pPr>
          </w:p>
        </w:tc>
        <w:tc>
          <w:tcPr>
            <w:tcW w:w="200" w:type="dxa"/>
            <w:vAlign w:val="bottom"/>
            <w:gridSpan w:val="2"/>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80" w:type="dxa"/>
            <w:vAlign w:val="bottom"/>
            <w:gridSpan w:val="2"/>
          </w:tcPr>
          <w:p>
            <w:pPr>
              <w:spacing w:after="0" w:line="20" w:lineRule="exact"/>
              <w:rPr>
                <w:sz w:val="1"/>
                <w:szCs w:val="1"/>
                <w:color w:val="auto"/>
              </w:rPr>
            </w:pPr>
          </w:p>
        </w:tc>
        <w:tc>
          <w:tcPr>
            <w:tcW w:w="106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180" w:type="dxa"/>
            <w:vAlign w:val="bottom"/>
            <w:gridSpan w:val="3"/>
            <w:shd w:val="clear" w:color="auto" w:fill="0000EE"/>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r>
      <w:tr>
        <w:trPr>
          <w:trHeight w:val="412"/>
        </w:trPr>
        <w:tc>
          <w:tcPr>
            <w:tcW w:w="6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520" w:type="dxa"/>
            <w:vAlign w:val="bottom"/>
          </w:tcPr>
          <w:p>
            <w:pPr>
              <w:spacing w:after="0"/>
              <w:rPr>
                <w:rFonts w:ascii="Arial" w:cs="Arial" w:eastAsia="Arial" w:hAnsi="Arial"/>
                <w:sz w:val="18"/>
                <w:szCs w:val="18"/>
                <w:color w:val="0000EE"/>
                <w:w w:val="90"/>
              </w:rPr>
            </w:pPr>
            <w:hyperlink w:anchor="page19">
              <w:r>
                <w:rPr>
                  <w:rFonts w:ascii="Arial" w:cs="Arial" w:eastAsia="Arial" w:hAnsi="Arial"/>
                  <w:sz w:val="18"/>
                  <w:szCs w:val="18"/>
                  <w:color w:val="0000EE"/>
                  <w:w w:val="90"/>
                </w:rPr>
                <w:t>Item 5.</w:t>
              </w:r>
            </w:hyperlink>
          </w:p>
        </w:tc>
        <w:tc>
          <w:tcPr>
            <w:tcW w:w="300" w:type="dxa"/>
            <w:vAlign w:val="bottom"/>
            <w:gridSpan w:val="4"/>
          </w:tcPr>
          <w:p>
            <w:pPr>
              <w:spacing w:after="0"/>
              <w:rPr>
                <w:sz w:val="24"/>
                <w:szCs w:val="24"/>
                <w:color w:val="auto"/>
              </w:rPr>
            </w:pPr>
          </w:p>
        </w:tc>
        <w:tc>
          <w:tcPr>
            <w:tcW w:w="8460" w:type="dxa"/>
            <w:vAlign w:val="bottom"/>
            <w:gridSpan w:val="22"/>
          </w:tcPr>
          <w:p>
            <w:pPr>
              <w:spacing w:after="0"/>
              <w:rPr>
                <w:rFonts w:ascii="Arial" w:cs="Arial" w:eastAsia="Arial" w:hAnsi="Arial"/>
                <w:sz w:val="18"/>
                <w:szCs w:val="18"/>
                <w:color w:val="0000EE"/>
                <w:w w:val="94"/>
              </w:rPr>
            </w:pPr>
            <w:hyperlink w:anchor="page19">
              <w:r>
                <w:rPr>
                  <w:rFonts w:ascii="Arial" w:cs="Arial" w:eastAsia="Arial" w:hAnsi="Arial"/>
                  <w:sz w:val="18"/>
                  <w:szCs w:val="18"/>
                  <w:color w:val="0000EE"/>
                  <w:w w:val="94"/>
                </w:rPr>
                <w:t>Market for Registrant's Common Equity, Related Stockholder Matters and Issuer Purchases of Equity Securities</w:t>
              </w:r>
            </w:hyperlink>
          </w:p>
        </w:tc>
        <w:tc>
          <w:tcPr>
            <w:tcW w:w="700" w:type="dxa"/>
            <w:vAlign w:val="bottom"/>
            <w:gridSpan w:val="4"/>
          </w:tcPr>
          <w:p>
            <w:pPr>
              <w:jc w:val="center"/>
              <w:ind w:left="430"/>
              <w:spacing w:after="0"/>
              <w:rPr>
                <w:rFonts w:ascii="Arial" w:cs="Arial" w:eastAsia="Arial" w:hAnsi="Arial"/>
                <w:sz w:val="18"/>
                <w:szCs w:val="18"/>
                <w:color w:val="0000EE"/>
                <w:w w:val="89"/>
              </w:rPr>
            </w:pPr>
            <w:hyperlink w:anchor="page19">
              <w:r>
                <w:rPr>
                  <w:rFonts w:ascii="Arial" w:cs="Arial" w:eastAsia="Arial" w:hAnsi="Arial"/>
                  <w:sz w:val="18"/>
                  <w:szCs w:val="18"/>
                  <w:color w:val="0000EE"/>
                  <w:w w:val="89"/>
                </w:rPr>
                <w:t>16</w:t>
              </w:r>
            </w:hyperlink>
          </w:p>
        </w:tc>
        <w:tc>
          <w:tcPr>
            <w:tcW w:w="500" w:type="dxa"/>
            <w:vAlign w:val="bottom"/>
          </w:tcPr>
          <w:p>
            <w:pPr>
              <w:spacing w:after="0"/>
              <w:rPr>
                <w:sz w:val="24"/>
                <w:szCs w:val="24"/>
                <w:color w:val="auto"/>
              </w:rPr>
            </w:pPr>
          </w:p>
        </w:tc>
      </w:tr>
      <w:tr>
        <w:trPr>
          <w:trHeight w:val="20"/>
        </w:trPr>
        <w:tc>
          <w:tcPr>
            <w:tcW w:w="6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20" w:type="dxa"/>
            <w:vAlign w:val="bottom"/>
            <w:shd w:val="clear" w:color="auto" w:fill="0000EE"/>
          </w:tcPr>
          <w:p>
            <w:pPr>
              <w:spacing w:after="0" w:line="20" w:lineRule="exact"/>
              <w:rPr>
                <w:sz w:val="1"/>
                <w:szCs w:val="1"/>
                <w:color w:val="auto"/>
              </w:rPr>
            </w:pPr>
          </w:p>
        </w:tc>
        <w:tc>
          <w:tcPr>
            <w:tcW w:w="8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780" w:type="dxa"/>
            <w:vAlign w:val="bottom"/>
            <w:tcBorders>
              <w:right w:val="single" w:sz="8" w:color="0000EE"/>
            </w:tcBorders>
            <w:gridSpan w:val="3"/>
            <w:shd w:val="clear" w:color="auto" w:fill="0000EE"/>
          </w:tcPr>
          <w:p>
            <w:pPr>
              <w:spacing w:after="0" w:line="20" w:lineRule="exact"/>
              <w:rPr>
                <w:sz w:val="1"/>
                <w:szCs w:val="1"/>
                <w:color w:val="auto"/>
              </w:rPr>
            </w:pPr>
          </w:p>
        </w:tc>
        <w:tc>
          <w:tcPr>
            <w:tcW w:w="200" w:type="dxa"/>
            <w:vAlign w:val="bottom"/>
            <w:gridSpan w:val="2"/>
            <w:shd w:val="clear" w:color="auto" w:fill="0000EE"/>
          </w:tcPr>
          <w:p>
            <w:pPr>
              <w:spacing w:after="0" w:line="20" w:lineRule="exact"/>
              <w:rPr>
                <w:sz w:val="1"/>
                <w:szCs w:val="1"/>
                <w:color w:val="auto"/>
              </w:rPr>
            </w:pPr>
          </w:p>
        </w:tc>
        <w:tc>
          <w:tcPr>
            <w:tcW w:w="320" w:type="dxa"/>
            <w:vAlign w:val="bottom"/>
            <w:shd w:val="clear" w:color="auto" w:fill="0000EE"/>
          </w:tcPr>
          <w:p>
            <w:pPr>
              <w:spacing w:after="0" w:line="20" w:lineRule="exact"/>
              <w:rPr>
                <w:sz w:val="1"/>
                <w:szCs w:val="1"/>
                <w:color w:val="auto"/>
              </w:rPr>
            </w:pPr>
          </w:p>
        </w:tc>
        <w:tc>
          <w:tcPr>
            <w:tcW w:w="220" w:type="dxa"/>
            <w:vAlign w:val="bottom"/>
            <w:tcBorders>
              <w:left w:val="single" w:sz="8" w:color="0000EE"/>
            </w:tcBorders>
            <w:shd w:val="clear" w:color="auto" w:fill="0000EE"/>
          </w:tcPr>
          <w:p>
            <w:pPr>
              <w:spacing w:after="0" w:line="20" w:lineRule="exact"/>
              <w:rPr>
                <w:sz w:val="1"/>
                <w:szCs w:val="1"/>
                <w:color w:val="auto"/>
              </w:rPr>
            </w:pPr>
          </w:p>
        </w:tc>
        <w:tc>
          <w:tcPr>
            <w:tcW w:w="280" w:type="dxa"/>
            <w:vAlign w:val="bottom"/>
            <w:gridSpan w:val="2"/>
            <w:shd w:val="clear" w:color="auto" w:fill="0000EE"/>
          </w:tcPr>
          <w:p>
            <w:pPr>
              <w:spacing w:after="0" w:line="20" w:lineRule="exact"/>
              <w:rPr>
                <w:sz w:val="1"/>
                <w:szCs w:val="1"/>
                <w:color w:val="auto"/>
              </w:rPr>
            </w:pPr>
          </w:p>
        </w:tc>
        <w:tc>
          <w:tcPr>
            <w:tcW w:w="1060" w:type="dxa"/>
            <w:vAlign w:val="bottom"/>
            <w:gridSpan w:val="2"/>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420" w:type="dxa"/>
            <w:vAlign w:val="bottom"/>
            <w:shd w:val="clear" w:color="auto" w:fill="0000EE"/>
          </w:tcPr>
          <w:p>
            <w:pPr>
              <w:spacing w:after="0" w:line="20" w:lineRule="exact"/>
              <w:rPr>
                <w:sz w:val="1"/>
                <w:szCs w:val="1"/>
                <w:color w:val="auto"/>
              </w:rPr>
            </w:pPr>
          </w:p>
        </w:tc>
        <w:tc>
          <w:tcPr>
            <w:tcW w:w="760" w:type="dxa"/>
            <w:vAlign w:val="bottom"/>
            <w:shd w:val="clear" w:color="auto" w:fill="0000EE"/>
          </w:tcPr>
          <w:p>
            <w:pPr>
              <w:spacing w:after="0" w:line="20" w:lineRule="exact"/>
              <w:rPr>
                <w:sz w:val="1"/>
                <w:szCs w:val="1"/>
                <w:color w:val="auto"/>
              </w:rPr>
            </w:pPr>
          </w:p>
        </w:tc>
        <w:tc>
          <w:tcPr>
            <w:tcW w:w="220" w:type="dxa"/>
            <w:vAlign w:val="bottom"/>
            <w:shd w:val="clear" w:color="auto" w:fill="0000EE"/>
          </w:tcPr>
          <w:p>
            <w:pPr>
              <w:spacing w:after="0" w:line="20" w:lineRule="exact"/>
              <w:rPr>
                <w:sz w:val="1"/>
                <w:szCs w:val="1"/>
                <w:color w:val="auto"/>
              </w:rPr>
            </w:pPr>
          </w:p>
        </w:tc>
        <w:tc>
          <w:tcPr>
            <w:tcW w:w="600" w:type="dxa"/>
            <w:vAlign w:val="bottom"/>
            <w:shd w:val="clear" w:color="auto" w:fill="0000EE"/>
          </w:tcPr>
          <w:p>
            <w:pPr>
              <w:spacing w:after="0" w:line="20" w:lineRule="exact"/>
              <w:rPr>
                <w:sz w:val="1"/>
                <w:szCs w:val="1"/>
                <w:color w:val="auto"/>
              </w:rPr>
            </w:pPr>
          </w:p>
        </w:tc>
        <w:tc>
          <w:tcPr>
            <w:tcW w:w="540" w:type="dxa"/>
            <w:vAlign w:val="bottom"/>
            <w:shd w:val="clear" w:color="auto" w:fill="0000EE"/>
          </w:tcPr>
          <w:p>
            <w:pPr>
              <w:spacing w:after="0" w:line="20" w:lineRule="exact"/>
              <w:rPr>
                <w:sz w:val="1"/>
                <w:szCs w:val="1"/>
                <w:color w:val="auto"/>
              </w:rPr>
            </w:pPr>
          </w:p>
        </w:tc>
        <w:tc>
          <w:tcPr>
            <w:tcW w:w="100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820" w:type="dxa"/>
            <w:vAlign w:val="bottom"/>
            <w:shd w:val="clear" w:color="auto" w:fill="0000EE"/>
          </w:tcPr>
          <w:p>
            <w:pPr>
              <w:spacing w:after="0" w:line="20" w:lineRule="exact"/>
              <w:rPr>
                <w:sz w:val="1"/>
                <w:szCs w:val="1"/>
                <w:color w:val="auto"/>
              </w:rPr>
            </w:pPr>
          </w:p>
        </w:tc>
        <w:tc>
          <w:tcPr>
            <w:tcW w:w="760" w:type="dxa"/>
            <w:vAlign w:val="bottom"/>
            <w:shd w:val="clear" w:color="auto" w:fill="0000EE"/>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180" w:type="dxa"/>
            <w:vAlign w:val="bottom"/>
            <w:gridSpan w:val="3"/>
            <w:shd w:val="clear" w:color="auto" w:fill="0000EE"/>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r>
      <w:tr>
        <w:trPr>
          <w:trHeight w:val="412"/>
        </w:trPr>
        <w:tc>
          <w:tcPr>
            <w:tcW w:w="6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520" w:type="dxa"/>
            <w:vAlign w:val="bottom"/>
          </w:tcPr>
          <w:p>
            <w:pPr>
              <w:spacing w:after="0"/>
              <w:rPr>
                <w:rFonts w:ascii="Arial" w:cs="Arial" w:eastAsia="Arial" w:hAnsi="Arial"/>
                <w:sz w:val="18"/>
                <w:szCs w:val="18"/>
                <w:color w:val="0000EE"/>
                <w:w w:val="90"/>
              </w:rPr>
            </w:pPr>
            <w:hyperlink w:anchor="page19">
              <w:r>
                <w:rPr>
                  <w:rFonts w:ascii="Arial" w:cs="Arial" w:eastAsia="Arial" w:hAnsi="Arial"/>
                  <w:sz w:val="18"/>
                  <w:szCs w:val="18"/>
                  <w:color w:val="0000EE"/>
                  <w:w w:val="90"/>
                </w:rPr>
                <w:t>Item 6.</w:t>
              </w:r>
            </w:hyperlink>
          </w:p>
        </w:tc>
        <w:tc>
          <w:tcPr>
            <w:tcW w:w="300" w:type="dxa"/>
            <w:vAlign w:val="bottom"/>
            <w:gridSpan w:val="4"/>
          </w:tcPr>
          <w:p>
            <w:pPr>
              <w:spacing w:after="0"/>
              <w:rPr>
                <w:sz w:val="24"/>
                <w:szCs w:val="24"/>
                <w:color w:val="auto"/>
              </w:rPr>
            </w:pPr>
          </w:p>
        </w:tc>
        <w:tc>
          <w:tcPr>
            <w:tcW w:w="8040" w:type="dxa"/>
            <w:vAlign w:val="bottom"/>
            <w:gridSpan w:val="21"/>
          </w:tcPr>
          <w:p>
            <w:pPr>
              <w:spacing w:after="0"/>
              <w:rPr>
                <w:rFonts w:ascii="Arial" w:cs="Arial" w:eastAsia="Arial" w:hAnsi="Arial"/>
                <w:sz w:val="18"/>
                <w:szCs w:val="18"/>
                <w:color w:val="0000EE"/>
              </w:rPr>
            </w:pPr>
            <w:hyperlink w:anchor="page19">
              <w:r>
                <w:rPr>
                  <w:rFonts w:ascii="Arial" w:cs="Arial" w:eastAsia="Arial" w:hAnsi="Arial"/>
                  <w:sz w:val="18"/>
                  <w:szCs w:val="18"/>
                  <w:color w:val="0000EE"/>
                </w:rPr>
                <w:t>[Reserved]</w:t>
              </w:r>
            </w:hyperlink>
          </w:p>
        </w:tc>
        <w:tc>
          <w:tcPr>
            <w:tcW w:w="420" w:type="dxa"/>
            <w:vAlign w:val="bottom"/>
          </w:tcPr>
          <w:p>
            <w:pPr>
              <w:spacing w:after="0"/>
              <w:rPr>
                <w:sz w:val="24"/>
                <w:szCs w:val="24"/>
                <w:color w:val="auto"/>
              </w:rPr>
            </w:pPr>
          </w:p>
        </w:tc>
        <w:tc>
          <w:tcPr>
            <w:tcW w:w="700" w:type="dxa"/>
            <w:vAlign w:val="bottom"/>
            <w:gridSpan w:val="4"/>
          </w:tcPr>
          <w:p>
            <w:pPr>
              <w:jc w:val="center"/>
              <w:ind w:left="430"/>
              <w:spacing w:after="0"/>
              <w:rPr>
                <w:rFonts w:ascii="Arial" w:cs="Arial" w:eastAsia="Arial" w:hAnsi="Arial"/>
                <w:sz w:val="18"/>
                <w:szCs w:val="18"/>
                <w:color w:val="0000EE"/>
                <w:w w:val="89"/>
              </w:rPr>
            </w:pPr>
            <w:hyperlink w:anchor="page19">
              <w:r>
                <w:rPr>
                  <w:rFonts w:ascii="Arial" w:cs="Arial" w:eastAsia="Arial" w:hAnsi="Arial"/>
                  <w:sz w:val="18"/>
                  <w:szCs w:val="18"/>
                  <w:color w:val="0000EE"/>
                  <w:w w:val="89"/>
                </w:rPr>
                <w:t>16</w:t>
              </w:r>
            </w:hyperlink>
          </w:p>
        </w:tc>
        <w:tc>
          <w:tcPr>
            <w:tcW w:w="500" w:type="dxa"/>
            <w:vAlign w:val="bottom"/>
          </w:tcPr>
          <w:p>
            <w:pPr>
              <w:spacing w:after="0"/>
              <w:rPr>
                <w:sz w:val="24"/>
                <w:szCs w:val="24"/>
                <w:color w:val="auto"/>
              </w:rPr>
            </w:pPr>
          </w:p>
        </w:tc>
      </w:tr>
      <w:tr>
        <w:trPr>
          <w:trHeight w:val="20"/>
        </w:trPr>
        <w:tc>
          <w:tcPr>
            <w:tcW w:w="6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20" w:type="dxa"/>
            <w:vAlign w:val="bottom"/>
            <w:shd w:val="clear" w:color="auto" w:fill="0000EE"/>
          </w:tcPr>
          <w:p>
            <w:pPr>
              <w:spacing w:after="0" w:line="20" w:lineRule="exact"/>
              <w:rPr>
                <w:sz w:val="1"/>
                <w:szCs w:val="1"/>
                <w:color w:val="auto"/>
              </w:rPr>
            </w:pPr>
          </w:p>
        </w:tc>
        <w:tc>
          <w:tcPr>
            <w:tcW w:w="8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780" w:type="dxa"/>
            <w:vAlign w:val="bottom"/>
            <w:tcBorders>
              <w:right w:val="single" w:sz="8" w:color="0000EE"/>
            </w:tcBorders>
            <w:gridSpan w:val="3"/>
            <w:shd w:val="clear" w:color="auto" w:fill="0000EE"/>
          </w:tcPr>
          <w:p>
            <w:pPr>
              <w:spacing w:after="0" w:line="20" w:lineRule="exact"/>
              <w:rPr>
                <w:sz w:val="1"/>
                <w:szCs w:val="1"/>
                <w:color w:val="auto"/>
              </w:rPr>
            </w:pPr>
          </w:p>
        </w:tc>
        <w:tc>
          <w:tcPr>
            <w:tcW w:w="200" w:type="dxa"/>
            <w:vAlign w:val="bottom"/>
            <w:gridSpan w:val="2"/>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80" w:type="dxa"/>
            <w:vAlign w:val="bottom"/>
            <w:gridSpan w:val="2"/>
          </w:tcPr>
          <w:p>
            <w:pPr>
              <w:spacing w:after="0" w:line="20" w:lineRule="exact"/>
              <w:rPr>
                <w:sz w:val="1"/>
                <w:szCs w:val="1"/>
                <w:color w:val="auto"/>
              </w:rPr>
            </w:pPr>
          </w:p>
        </w:tc>
        <w:tc>
          <w:tcPr>
            <w:tcW w:w="106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1180" w:type="dxa"/>
            <w:vAlign w:val="bottom"/>
            <w:gridSpan w:val="2"/>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180" w:type="dxa"/>
            <w:vAlign w:val="bottom"/>
            <w:gridSpan w:val="3"/>
            <w:shd w:val="clear" w:color="auto" w:fill="0000EE"/>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r>
      <w:tr>
        <w:trPr>
          <w:trHeight w:val="412"/>
        </w:trPr>
        <w:tc>
          <w:tcPr>
            <w:tcW w:w="6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520" w:type="dxa"/>
            <w:vAlign w:val="bottom"/>
          </w:tcPr>
          <w:p>
            <w:pPr>
              <w:spacing w:after="0"/>
              <w:rPr>
                <w:rFonts w:ascii="Arial" w:cs="Arial" w:eastAsia="Arial" w:hAnsi="Arial"/>
                <w:sz w:val="18"/>
                <w:szCs w:val="18"/>
                <w:color w:val="0000EE"/>
                <w:w w:val="90"/>
              </w:rPr>
            </w:pPr>
            <w:hyperlink w:anchor="page20">
              <w:r>
                <w:rPr>
                  <w:rFonts w:ascii="Arial" w:cs="Arial" w:eastAsia="Arial" w:hAnsi="Arial"/>
                  <w:sz w:val="18"/>
                  <w:szCs w:val="18"/>
                  <w:color w:val="0000EE"/>
                  <w:w w:val="90"/>
                </w:rPr>
                <w:t>Item 7.</w:t>
              </w:r>
            </w:hyperlink>
          </w:p>
        </w:tc>
        <w:tc>
          <w:tcPr>
            <w:tcW w:w="300" w:type="dxa"/>
            <w:vAlign w:val="bottom"/>
            <w:gridSpan w:val="4"/>
          </w:tcPr>
          <w:p>
            <w:pPr>
              <w:spacing w:after="0"/>
              <w:rPr>
                <w:sz w:val="24"/>
                <w:szCs w:val="24"/>
                <w:color w:val="auto"/>
              </w:rPr>
            </w:pPr>
          </w:p>
        </w:tc>
        <w:tc>
          <w:tcPr>
            <w:tcW w:w="6440" w:type="dxa"/>
            <w:vAlign w:val="bottom"/>
            <w:gridSpan w:val="18"/>
          </w:tcPr>
          <w:p>
            <w:pPr>
              <w:spacing w:after="0"/>
              <w:rPr>
                <w:rFonts w:ascii="Arial" w:cs="Arial" w:eastAsia="Arial" w:hAnsi="Arial"/>
                <w:sz w:val="18"/>
                <w:szCs w:val="18"/>
                <w:color w:val="0000EE"/>
                <w:w w:val="90"/>
              </w:rPr>
            </w:pPr>
            <w:hyperlink w:anchor="page20">
              <w:r>
                <w:rPr>
                  <w:rFonts w:ascii="Arial" w:cs="Arial" w:eastAsia="Arial" w:hAnsi="Arial"/>
                  <w:sz w:val="18"/>
                  <w:szCs w:val="18"/>
                  <w:color w:val="0000EE"/>
                  <w:w w:val="90"/>
                </w:rPr>
                <w:t>Management's Discussion and Analysis of Financial Condition and Results of Operations</w:t>
              </w:r>
            </w:hyperlink>
          </w:p>
        </w:tc>
        <w:tc>
          <w:tcPr>
            <w:tcW w:w="2020" w:type="dxa"/>
            <w:vAlign w:val="bottom"/>
            <w:gridSpan w:val="4"/>
          </w:tcPr>
          <w:p>
            <w:pPr>
              <w:spacing w:after="0"/>
              <w:rPr>
                <w:sz w:val="24"/>
                <w:szCs w:val="24"/>
                <w:color w:val="auto"/>
              </w:rPr>
            </w:pPr>
          </w:p>
        </w:tc>
        <w:tc>
          <w:tcPr>
            <w:tcW w:w="700" w:type="dxa"/>
            <w:vAlign w:val="bottom"/>
            <w:gridSpan w:val="4"/>
          </w:tcPr>
          <w:p>
            <w:pPr>
              <w:jc w:val="center"/>
              <w:ind w:left="430"/>
              <w:spacing w:after="0"/>
              <w:rPr>
                <w:rFonts w:ascii="Arial" w:cs="Arial" w:eastAsia="Arial" w:hAnsi="Arial"/>
                <w:sz w:val="18"/>
                <w:szCs w:val="18"/>
                <w:color w:val="0000EE"/>
                <w:w w:val="89"/>
              </w:rPr>
            </w:pPr>
            <w:hyperlink w:anchor="page20">
              <w:r>
                <w:rPr>
                  <w:rFonts w:ascii="Arial" w:cs="Arial" w:eastAsia="Arial" w:hAnsi="Arial"/>
                  <w:sz w:val="18"/>
                  <w:szCs w:val="18"/>
                  <w:color w:val="0000EE"/>
                  <w:w w:val="89"/>
                </w:rPr>
                <w:t>17</w:t>
              </w:r>
            </w:hyperlink>
          </w:p>
        </w:tc>
        <w:tc>
          <w:tcPr>
            <w:tcW w:w="500" w:type="dxa"/>
            <w:vAlign w:val="bottom"/>
          </w:tcPr>
          <w:p>
            <w:pPr>
              <w:spacing w:after="0"/>
              <w:rPr>
                <w:sz w:val="24"/>
                <w:szCs w:val="24"/>
                <w:color w:val="auto"/>
              </w:rPr>
            </w:pPr>
          </w:p>
        </w:tc>
      </w:tr>
      <w:tr>
        <w:trPr>
          <w:trHeight w:val="20"/>
        </w:trPr>
        <w:tc>
          <w:tcPr>
            <w:tcW w:w="6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20" w:type="dxa"/>
            <w:vAlign w:val="bottom"/>
            <w:shd w:val="clear" w:color="auto" w:fill="0000EE"/>
          </w:tcPr>
          <w:p>
            <w:pPr>
              <w:spacing w:after="0" w:line="20" w:lineRule="exact"/>
              <w:rPr>
                <w:sz w:val="1"/>
                <w:szCs w:val="1"/>
                <w:color w:val="auto"/>
              </w:rPr>
            </w:pPr>
          </w:p>
        </w:tc>
        <w:tc>
          <w:tcPr>
            <w:tcW w:w="8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780" w:type="dxa"/>
            <w:vAlign w:val="bottom"/>
            <w:tcBorders>
              <w:right w:val="single" w:sz="8" w:color="0000EE"/>
            </w:tcBorders>
            <w:gridSpan w:val="3"/>
            <w:shd w:val="clear" w:color="auto" w:fill="0000EE"/>
          </w:tcPr>
          <w:p>
            <w:pPr>
              <w:spacing w:after="0" w:line="20" w:lineRule="exact"/>
              <w:rPr>
                <w:sz w:val="1"/>
                <w:szCs w:val="1"/>
                <w:color w:val="auto"/>
              </w:rPr>
            </w:pPr>
          </w:p>
        </w:tc>
        <w:tc>
          <w:tcPr>
            <w:tcW w:w="200" w:type="dxa"/>
            <w:vAlign w:val="bottom"/>
            <w:gridSpan w:val="2"/>
            <w:shd w:val="clear" w:color="auto" w:fill="0000EE"/>
          </w:tcPr>
          <w:p>
            <w:pPr>
              <w:spacing w:after="0" w:line="20" w:lineRule="exact"/>
              <w:rPr>
                <w:sz w:val="1"/>
                <w:szCs w:val="1"/>
                <w:color w:val="auto"/>
              </w:rPr>
            </w:pPr>
          </w:p>
        </w:tc>
        <w:tc>
          <w:tcPr>
            <w:tcW w:w="320" w:type="dxa"/>
            <w:vAlign w:val="bottom"/>
            <w:shd w:val="clear" w:color="auto" w:fill="0000EE"/>
          </w:tcPr>
          <w:p>
            <w:pPr>
              <w:spacing w:after="0" w:line="20" w:lineRule="exact"/>
              <w:rPr>
                <w:sz w:val="1"/>
                <w:szCs w:val="1"/>
                <w:color w:val="auto"/>
              </w:rPr>
            </w:pPr>
          </w:p>
        </w:tc>
        <w:tc>
          <w:tcPr>
            <w:tcW w:w="220" w:type="dxa"/>
            <w:vAlign w:val="bottom"/>
            <w:tcBorders>
              <w:left w:val="single" w:sz="8" w:color="0000EE"/>
            </w:tcBorders>
            <w:shd w:val="clear" w:color="auto" w:fill="0000EE"/>
          </w:tcPr>
          <w:p>
            <w:pPr>
              <w:spacing w:after="0" w:line="20" w:lineRule="exact"/>
              <w:rPr>
                <w:sz w:val="1"/>
                <w:szCs w:val="1"/>
                <w:color w:val="auto"/>
              </w:rPr>
            </w:pPr>
          </w:p>
        </w:tc>
        <w:tc>
          <w:tcPr>
            <w:tcW w:w="280" w:type="dxa"/>
            <w:vAlign w:val="bottom"/>
            <w:gridSpan w:val="2"/>
            <w:shd w:val="clear" w:color="auto" w:fill="0000EE"/>
          </w:tcPr>
          <w:p>
            <w:pPr>
              <w:spacing w:after="0" w:line="20" w:lineRule="exact"/>
              <w:rPr>
                <w:sz w:val="1"/>
                <w:szCs w:val="1"/>
                <w:color w:val="auto"/>
              </w:rPr>
            </w:pPr>
          </w:p>
        </w:tc>
        <w:tc>
          <w:tcPr>
            <w:tcW w:w="1060" w:type="dxa"/>
            <w:vAlign w:val="bottom"/>
            <w:gridSpan w:val="2"/>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420" w:type="dxa"/>
            <w:vAlign w:val="bottom"/>
            <w:shd w:val="clear" w:color="auto" w:fill="0000EE"/>
          </w:tcPr>
          <w:p>
            <w:pPr>
              <w:spacing w:after="0" w:line="20" w:lineRule="exact"/>
              <w:rPr>
                <w:sz w:val="1"/>
                <w:szCs w:val="1"/>
                <w:color w:val="auto"/>
              </w:rPr>
            </w:pPr>
          </w:p>
        </w:tc>
        <w:tc>
          <w:tcPr>
            <w:tcW w:w="760" w:type="dxa"/>
            <w:vAlign w:val="bottom"/>
            <w:shd w:val="clear" w:color="auto" w:fill="0000EE"/>
          </w:tcPr>
          <w:p>
            <w:pPr>
              <w:spacing w:after="0" w:line="20" w:lineRule="exact"/>
              <w:rPr>
                <w:sz w:val="1"/>
                <w:szCs w:val="1"/>
                <w:color w:val="auto"/>
              </w:rPr>
            </w:pPr>
          </w:p>
        </w:tc>
        <w:tc>
          <w:tcPr>
            <w:tcW w:w="220" w:type="dxa"/>
            <w:vAlign w:val="bottom"/>
            <w:shd w:val="clear" w:color="auto" w:fill="0000EE"/>
          </w:tcPr>
          <w:p>
            <w:pPr>
              <w:spacing w:after="0" w:line="20" w:lineRule="exact"/>
              <w:rPr>
                <w:sz w:val="1"/>
                <w:szCs w:val="1"/>
                <w:color w:val="auto"/>
              </w:rPr>
            </w:pPr>
          </w:p>
        </w:tc>
        <w:tc>
          <w:tcPr>
            <w:tcW w:w="600" w:type="dxa"/>
            <w:vAlign w:val="bottom"/>
            <w:shd w:val="clear" w:color="auto" w:fill="0000EE"/>
          </w:tcPr>
          <w:p>
            <w:pPr>
              <w:spacing w:after="0" w:line="20" w:lineRule="exact"/>
              <w:rPr>
                <w:sz w:val="1"/>
                <w:szCs w:val="1"/>
                <w:color w:val="auto"/>
              </w:rPr>
            </w:pPr>
          </w:p>
        </w:tc>
        <w:tc>
          <w:tcPr>
            <w:tcW w:w="540" w:type="dxa"/>
            <w:vAlign w:val="bottom"/>
            <w:shd w:val="clear" w:color="auto" w:fill="0000EE"/>
          </w:tcPr>
          <w:p>
            <w:pPr>
              <w:spacing w:after="0" w:line="20" w:lineRule="exact"/>
              <w:rPr>
                <w:sz w:val="1"/>
                <w:szCs w:val="1"/>
                <w:color w:val="auto"/>
              </w:rPr>
            </w:pPr>
          </w:p>
        </w:tc>
        <w:tc>
          <w:tcPr>
            <w:tcW w:w="1000" w:type="dxa"/>
            <w:vAlign w:val="bottom"/>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1180" w:type="dxa"/>
            <w:vAlign w:val="bottom"/>
            <w:gridSpan w:val="2"/>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180" w:type="dxa"/>
            <w:vAlign w:val="bottom"/>
            <w:gridSpan w:val="3"/>
            <w:shd w:val="clear" w:color="auto" w:fill="0000EE"/>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r>
      <w:tr>
        <w:trPr>
          <w:trHeight w:val="412"/>
        </w:trPr>
        <w:tc>
          <w:tcPr>
            <w:tcW w:w="6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20" w:type="dxa"/>
            <w:vAlign w:val="bottom"/>
            <w:gridSpan w:val="4"/>
          </w:tcPr>
          <w:p>
            <w:pPr>
              <w:spacing w:after="0"/>
              <w:rPr>
                <w:rFonts w:ascii="Arial" w:cs="Arial" w:eastAsia="Arial" w:hAnsi="Arial"/>
                <w:sz w:val="18"/>
                <w:szCs w:val="18"/>
                <w:color w:val="0000EE"/>
                <w:w w:val="86"/>
              </w:rPr>
            </w:pPr>
            <w:hyperlink w:anchor="page26">
              <w:r>
                <w:rPr>
                  <w:rFonts w:ascii="Arial" w:cs="Arial" w:eastAsia="Arial" w:hAnsi="Arial"/>
                  <w:sz w:val="18"/>
                  <w:szCs w:val="18"/>
                  <w:color w:val="0000EE"/>
                  <w:w w:val="86"/>
                </w:rPr>
                <w:t>Item 7A.</w:t>
              </w:r>
            </w:hyperlink>
          </w:p>
        </w:tc>
        <w:tc>
          <w:tcPr>
            <w:tcW w:w="200" w:type="dxa"/>
            <w:vAlign w:val="bottom"/>
          </w:tcPr>
          <w:p>
            <w:pPr>
              <w:spacing w:after="0"/>
              <w:rPr>
                <w:sz w:val="24"/>
                <w:szCs w:val="24"/>
                <w:color w:val="auto"/>
              </w:rPr>
            </w:pPr>
          </w:p>
        </w:tc>
        <w:tc>
          <w:tcPr>
            <w:tcW w:w="8460" w:type="dxa"/>
            <w:vAlign w:val="bottom"/>
            <w:gridSpan w:val="22"/>
          </w:tcPr>
          <w:p>
            <w:pPr>
              <w:spacing w:after="0"/>
              <w:rPr>
                <w:rFonts w:ascii="Arial" w:cs="Arial" w:eastAsia="Arial" w:hAnsi="Arial"/>
                <w:sz w:val="18"/>
                <w:szCs w:val="18"/>
                <w:color w:val="0000EE"/>
              </w:rPr>
            </w:pPr>
            <w:hyperlink w:anchor="page26">
              <w:r>
                <w:rPr>
                  <w:rFonts w:ascii="Arial" w:cs="Arial" w:eastAsia="Arial" w:hAnsi="Arial"/>
                  <w:sz w:val="18"/>
                  <w:szCs w:val="18"/>
                  <w:color w:val="0000EE"/>
                </w:rPr>
                <w:t>Quantitative and Qualitative Disclosures about Market Risk</w:t>
              </w:r>
            </w:hyperlink>
          </w:p>
        </w:tc>
        <w:tc>
          <w:tcPr>
            <w:tcW w:w="700" w:type="dxa"/>
            <w:vAlign w:val="bottom"/>
            <w:gridSpan w:val="4"/>
          </w:tcPr>
          <w:p>
            <w:pPr>
              <w:jc w:val="center"/>
              <w:ind w:left="430"/>
              <w:spacing w:after="0"/>
              <w:rPr>
                <w:rFonts w:ascii="Arial" w:cs="Arial" w:eastAsia="Arial" w:hAnsi="Arial"/>
                <w:sz w:val="18"/>
                <w:szCs w:val="18"/>
                <w:color w:val="0000EE"/>
                <w:w w:val="89"/>
              </w:rPr>
            </w:pPr>
            <w:hyperlink w:anchor="page26">
              <w:r>
                <w:rPr>
                  <w:rFonts w:ascii="Arial" w:cs="Arial" w:eastAsia="Arial" w:hAnsi="Arial"/>
                  <w:sz w:val="18"/>
                  <w:szCs w:val="18"/>
                  <w:color w:val="0000EE"/>
                  <w:w w:val="89"/>
                </w:rPr>
                <w:t>23</w:t>
              </w:r>
            </w:hyperlink>
          </w:p>
        </w:tc>
        <w:tc>
          <w:tcPr>
            <w:tcW w:w="500" w:type="dxa"/>
            <w:vAlign w:val="bottom"/>
          </w:tcPr>
          <w:p>
            <w:pPr>
              <w:spacing w:after="0"/>
              <w:rPr>
                <w:sz w:val="24"/>
                <w:szCs w:val="24"/>
                <w:color w:val="auto"/>
              </w:rPr>
            </w:pPr>
          </w:p>
        </w:tc>
      </w:tr>
      <w:tr>
        <w:trPr>
          <w:trHeight w:val="20"/>
        </w:trPr>
        <w:tc>
          <w:tcPr>
            <w:tcW w:w="6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0" w:type="dxa"/>
            <w:vAlign w:val="bottom"/>
            <w:gridSpan w:val="3"/>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200" w:type="dxa"/>
            <w:vAlign w:val="bottom"/>
            <w:tcBorders>
              <w:left w:val="single" w:sz="8" w:color="0000EE"/>
            </w:tcBorders>
          </w:tcPr>
          <w:p>
            <w:pPr>
              <w:spacing w:after="0" w:line="20" w:lineRule="exact"/>
              <w:rPr>
                <w:sz w:val="1"/>
                <w:szCs w:val="1"/>
                <w:color w:val="auto"/>
              </w:rPr>
            </w:pPr>
          </w:p>
        </w:tc>
        <w:tc>
          <w:tcPr>
            <w:tcW w:w="780" w:type="dxa"/>
            <w:vAlign w:val="bottom"/>
            <w:tcBorders>
              <w:right w:val="single" w:sz="8" w:color="0000EE"/>
            </w:tcBorders>
            <w:gridSpan w:val="3"/>
            <w:shd w:val="clear" w:color="auto" w:fill="0000EE"/>
          </w:tcPr>
          <w:p>
            <w:pPr>
              <w:spacing w:after="0" w:line="20" w:lineRule="exact"/>
              <w:rPr>
                <w:sz w:val="1"/>
                <w:szCs w:val="1"/>
                <w:color w:val="auto"/>
              </w:rPr>
            </w:pPr>
          </w:p>
        </w:tc>
        <w:tc>
          <w:tcPr>
            <w:tcW w:w="200" w:type="dxa"/>
            <w:vAlign w:val="bottom"/>
            <w:gridSpan w:val="2"/>
            <w:shd w:val="clear" w:color="auto" w:fill="0000EE"/>
          </w:tcPr>
          <w:p>
            <w:pPr>
              <w:spacing w:after="0" w:line="20" w:lineRule="exact"/>
              <w:rPr>
                <w:sz w:val="1"/>
                <w:szCs w:val="1"/>
                <w:color w:val="auto"/>
              </w:rPr>
            </w:pPr>
          </w:p>
        </w:tc>
        <w:tc>
          <w:tcPr>
            <w:tcW w:w="320" w:type="dxa"/>
            <w:vAlign w:val="bottom"/>
            <w:shd w:val="clear" w:color="auto" w:fill="0000EE"/>
          </w:tcPr>
          <w:p>
            <w:pPr>
              <w:spacing w:after="0" w:line="20" w:lineRule="exact"/>
              <w:rPr>
                <w:sz w:val="1"/>
                <w:szCs w:val="1"/>
                <w:color w:val="auto"/>
              </w:rPr>
            </w:pPr>
          </w:p>
        </w:tc>
        <w:tc>
          <w:tcPr>
            <w:tcW w:w="220" w:type="dxa"/>
            <w:vAlign w:val="bottom"/>
            <w:tcBorders>
              <w:left w:val="single" w:sz="8" w:color="0000EE"/>
            </w:tcBorders>
            <w:shd w:val="clear" w:color="auto" w:fill="0000EE"/>
          </w:tcPr>
          <w:p>
            <w:pPr>
              <w:spacing w:after="0" w:line="20" w:lineRule="exact"/>
              <w:rPr>
                <w:sz w:val="1"/>
                <w:szCs w:val="1"/>
                <w:color w:val="auto"/>
              </w:rPr>
            </w:pPr>
          </w:p>
        </w:tc>
        <w:tc>
          <w:tcPr>
            <w:tcW w:w="280" w:type="dxa"/>
            <w:vAlign w:val="bottom"/>
            <w:gridSpan w:val="2"/>
            <w:shd w:val="clear" w:color="auto" w:fill="0000EE"/>
          </w:tcPr>
          <w:p>
            <w:pPr>
              <w:spacing w:after="0" w:line="20" w:lineRule="exact"/>
              <w:rPr>
                <w:sz w:val="1"/>
                <w:szCs w:val="1"/>
                <w:color w:val="auto"/>
              </w:rPr>
            </w:pPr>
          </w:p>
        </w:tc>
        <w:tc>
          <w:tcPr>
            <w:tcW w:w="1060" w:type="dxa"/>
            <w:vAlign w:val="bottom"/>
            <w:gridSpan w:val="2"/>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420" w:type="dxa"/>
            <w:vAlign w:val="bottom"/>
            <w:shd w:val="clear" w:color="auto" w:fill="0000EE"/>
          </w:tcPr>
          <w:p>
            <w:pPr>
              <w:spacing w:after="0" w:line="20" w:lineRule="exact"/>
              <w:rPr>
                <w:sz w:val="1"/>
                <w:szCs w:val="1"/>
                <w:color w:val="auto"/>
              </w:rPr>
            </w:pPr>
          </w:p>
        </w:tc>
        <w:tc>
          <w:tcPr>
            <w:tcW w:w="760" w:type="dxa"/>
            <w:vAlign w:val="bottom"/>
            <w:shd w:val="clear" w:color="auto" w:fill="0000EE"/>
          </w:tcPr>
          <w:p>
            <w:pPr>
              <w:spacing w:after="0" w:line="20" w:lineRule="exact"/>
              <w:rPr>
                <w:sz w:val="1"/>
                <w:szCs w:val="1"/>
                <w:color w:val="auto"/>
              </w:rPr>
            </w:pPr>
          </w:p>
        </w:tc>
        <w:tc>
          <w:tcPr>
            <w:tcW w:w="220" w:type="dxa"/>
            <w:vAlign w:val="bottom"/>
            <w:shd w:val="clear" w:color="auto" w:fill="0000EE"/>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020" w:type="dxa"/>
            <w:vAlign w:val="bottom"/>
            <w:gridSpan w:val="2"/>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1180" w:type="dxa"/>
            <w:vAlign w:val="bottom"/>
            <w:gridSpan w:val="2"/>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180" w:type="dxa"/>
            <w:vAlign w:val="bottom"/>
            <w:gridSpan w:val="3"/>
            <w:shd w:val="clear" w:color="auto" w:fill="0000EE"/>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r>
      <w:tr>
        <w:trPr>
          <w:trHeight w:val="412"/>
        </w:trPr>
        <w:tc>
          <w:tcPr>
            <w:tcW w:w="6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520" w:type="dxa"/>
            <w:vAlign w:val="bottom"/>
          </w:tcPr>
          <w:p>
            <w:pPr>
              <w:spacing w:after="0"/>
              <w:rPr>
                <w:rFonts w:ascii="Arial" w:cs="Arial" w:eastAsia="Arial" w:hAnsi="Arial"/>
                <w:sz w:val="18"/>
                <w:szCs w:val="18"/>
                <w:color w:val="0000EE"/>
                <w:w w:val="90"/>
              </w:rPr>
            </w:pPr>
            <w:hyperlink w:anchor="page26">
              <w:r>
                <w:rPr>
                  <w:rFonts w:ascii="Arial" w:cs="Arial" w:eastAsia="Arial" w:hAnsi="Arial"/>
                  <w:sz w:val="18"/>
                  <w:szCs w:val="18"/>
                  <w:color w:val="0000EE"/>
                  <w:w w:val="90"/>
                </w:rPr>
                <w:t>Item 8.</w:t>
              </w:r>
            </w:hyperlink>
          </w:p>
        </w:tc>
        <w:tc>
          <w:tcPr>
            <w:tcW w:w="100" w:type="dxa"/>
            <w:vAlign w:val="bottom"/>
            <w:gridSpan w:val="3"/>
          </w:tcPr>
          <w:p>
            <w:pPr>
              <w:spacing w:after="0"/>
              <w:rPr>
                <w:sz w:val="24"/>
                <w:szCs w:val="24"/>
                <w:color w:val="auto"/>
              </w:rPr>
            </w:pPr>
          </w:p>
        </w:tc>
        <w:tc>
          <w:tcPr>
            <w:tcW w:w="200" w:type="dxa"/>
            <w:vAlign w:val="bottom"/>
          </w:tcPr>
          <w:p>
            <w:pPr>
              <w:spacing w:after="0"/>
              <w:rPr>
                <w:sz w:val="24"/>
                <w:szCs w:val="24"/>
                <w:color w:val="auto"/>
              </w:rPr>
            </w:pPr>
          </w:p>
        </w:tc>
        <w:tc>
          <w:tcPr>
            <w:tcW w:w="4300" w:type="dxa"/>
            <w:vAlign w:val="bottom"/>
            <w:gridSpan w:val="15"/>
          </w:tcPr>
          <w:p>
            <w:pPr>
              <w:spacing w:after="0"/>
              <w:rPr>
                <w:rFonts w:ascii="Arial" w:cs="Arial" w:eastAsia="Arial" w:hAnsi="Arial"/>
                <w:sz w:val="18"/>
                <w:szCs w:val="18"/>
                <w:color w:val="0000EE"/>
              </w:rPr>
            </w:pPr>
            <w:hyperlink w:anchor="page26">
              <w:r>
                <w:rPr>
                  <w:rFonts w:ascii="Arial" w:cs="Arial" w:eastAsia="Arial" w:hAnsi="Arial"/>
                  <w:sz w:val="18"/>
                  <w:szCs w:val="18"/>
                  <w:color w:val="0000EE"/>
                </w:rPr>
                <w:t>Financial Statements and Supplementary Data</w:t>
              </w:r>
            </w:hyperlink>
          </w:p>
        </w:tc>
        <w:tc>
          <w:tcPr>
            <w:tcW w:w="4160" w:type="dxa"/>
            <w:vAlign w:val="bottom"/>
            <w:gridSpan w:val="7"/>
          </w:tcPr>
          <w:p>
            <w:pPr>
              <w:spacing w:after="0"/>
              <w:rPr>
                <w:sz w:val="24"/>
                <w:szCs w:val="24"/>
                <w:color w:val="auto"/>
              </w:rPr>
            </w:pPr>
          </w:p>
        </w:tc>
        <w:tc>
          <w:tcPr>
            <w:tcW w:w="700" w:type="dxa"/>
            <w:vAlign w:val="bottom"/>
            <w:gridSpan w:val="4"/>
          </w:tcPr>
          <w:p>
            <w:pPr>
              <w:jc w:val="center"/>
              <w:ind w:left="430"/>
              <w:spacing w:after="0"/>
              <w:rPr>
                <w:rFonts w:ascii="Arial" w:cs="Arial" w:eastAsia="Arial" w:hAnsi="Arial"/>
                <w:sz w:val="18"/>
                <w:szCs w:val="18"/>
                <w:color w:val="0000EE"/>
                <w:w w:val="89"/>
              </w:rPr>
            </w:pPr>
            <w:hyperlink w:anchor="page26">
              <w:r>
                <w:rPr>
                  <w:rFonts w:ascii="Arial" w:cs="Arial" w:eastAsia="Arial" w:hAnsi="Arial"/>
                  <w:sz w:val="18"/>
                  <w:szCs w:val="18"/>
                  <w:color w:val="0000EE"/>
                  <w:w w:val="89"/>
                </w:rPr>
                <w:t>23</w:t>
              </w:r>
            </w:hyperlink>
          </w:p>
        </w:tc>
        <w:tc>
          <w:tcPr>
            <w:tcW w:w="500" w:type="dxa"/>
            <w:vAlign w:val="bottom"/>
          </w:tcPr>
          <w:p>
            <w:pPr>
              <w:spacing w:after="0"/>
              <w:rPr>
                <w:sz w:val="24"/>
                <w:szCs w:val="24"/>
                <w:color w:val="auto"/>
              </w:rPr>
            </w:pPr>
          </w:p>
        </w:tc>
      </w:tr>
      <w:tr>
        <w:trPr>
          <w:trHeight w:val="20"/>
        </w:trPr>
        <w:tc>
          <w:tcPr>
            <w:tcW w:w="6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20" w:type="dxa"/>
            <w:vAlign w:val="bottom"/>
            <w:shd w:val="clear" w:color="auto" w:fill="0000EE"/>
          </w:tcPr>
          <w:p>
            <w:pPr>
              <w:spacing w:after="0" w:line="20" w:lineRule="exact"/>
              <w:rPr>
                <w:sz w:val="1"/>
                <w:szCs w:val="1"/>
                <w:color w:val="auto"/>
              </w:rPr>
            </w:pPr>
          </w:p>
        </w:tc>
        <w:tc>
          <w:tcPr>
            <w:tcW w:w="8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780" w:type="dxa"/>
            <w:vAlign w:val="bottom"/>
            <w:tcBorders>
              <w:right w:val="single" w:sz="8" w:color="0000EE"/>
            </w:tcBorders>
            <w:gridSpan w:val="3"/>
            <w:shd w:val="clear" w:color="auto" w:fill="0000EE"/>
          </w:tcPr>
          <w:p>
            <w:pPr>
              <w:spacing w:after="0" w:line="20" w:lineRule="exact"/>
              <w:rPr>
                <w:sz w:val="1"/>
                <w:szCs w:val="1"/>
                <w:color w:val="auto"/>
              </w:rPr>
            </w:pPr>
          </w:p>
        </w:tc>
        <w:tc>
          <w:tcPr>
            <w:tcW w:w="200" w:type="dxa"/>
            <w:vAlign w:val="bottom"/>
            <w:gridSpan w:val="2"/>
            <w:shd w:val="clear" w:color="auto" w:fill="0000EE"/>
          </w:tcPr>
          <w:p>
            <w:pPr>
              <w:spacing w:after="0" w:line="20" w:lineRule="exact"/>
              <w:rPr>
                <w:sz w:val="1"/>
                <w:szCs w:val="1"/>
                <w:color w:val="auto"/>
              </w:rPr>
            </w:pPr>
          </w:p>
        </w:tc>
        <w:tc>
          <w:tcPr>
            <w:tcW w:w="320" w:type="dxa"/>
            <w:vAlign w:val="bottom"/>
            <w:shd w:val="clear" w:color="auto" w:fill="0000EE"/>
          </w:tcPr>
          <w:p>
            <w:pPr>
              <w:spacing w:after="0" w:line="20" w:lineRule="exact"/>
              <w:rPr>
                <w:sz w:val="1"/>
                <w:szCs w:val="1"/>
                <w:color w:val="auto"/>
              </w:rPr>
            </w:pPr>
          </w:p>
        </w:tc>
        <w:tc>
          <w:tcPr>
            <w:tcW w:w="220" w:type="dxa"/>
            <w:vAlign w:val="bottom"/>
            <w:tcBorders>
              <w:left w:val="single" w:sz="8" w:color="0000EE"/>
            </w:tcBorders>
            <w:shd w:val="clear" w:color="auto" w:fill="0000EE"/>
          </w:tcPr>
          <w:p>
            <w:pPr>
              <w:spacing w:after="0" w:line="20" w:lineRule="exact"/>
              <w:rPr>
                <w:sz w:val="1"/>
                <w:szCs w:val="1"/>
                <w:color w:val="auto"/>
              </w:rPr>
            </w:pPr>
          </w:p>
        </w:tc>
        <w:tc>
          <w:tcPr>
            <w:tcW w:w="280" w:type="dxa"/>
            <w:vAlign w:val="bottom"/>
            <w:gridSpan w:val="2"/>
            <w:shd w:val="clear" w:color="auto" w:fill="0000EE"/>
          </w:tcPr>
          <w:p>
            <w:pPr>
              <w:spacing w:after="0" w:line="20" w:lineRule="exact"/>
              <w:rPr>
                <w:sz w:val="1"/>
                <w:szCs w:val="1"/>
                <w:color w:val="auto"/>
              </w:rPr>
            </w:pPr>
          </w:p>
        </w:tc>
        <w:tc>
          <w:tcPr>
            <w:tcW w:w="1060" w:type="dxa"/>
            <w:vAlign w:val="bottom"/>
            <w:gridSpan w:val="2"/>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420" w:type="dxa"/>
            <w:vAlign w:val="bottom"/>
            <w:shd w:val="clear" w:color="auto" w:fill="0000EE"/>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820" w:type="dxa"/>
            <w:vAlign w:val="bottom"/>
            <w:gridSpan w:val="2"/>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020" w:type="dxa"/>
            <w:vAlign w:val="bottom"/>
            <w:gridSpan w:val="2"/>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1180" w:type="dxa"/>
            <w:vAlign w:val="bottom"/>
            <w:gridSpan w:val="2"/>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180" w:type="dxa"/>
            <w:vAlign w:val="bottom"/>
            <w:gridSpan w:val="3"/>
            <w:shd w:val="clear" w:color="auto" w:fill="0000EE"/>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r>
      <w:tr>
        <w:trPr>
          <w:trHeight w:val="412"/>
        </w:trPr>
        <w:tc>
          <w:tcPr>
            <w:tcW w:w="6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520" w:type="dxa"/>
            <w:vAlign w:val="bottom"/>
          </w:tcPr>
          <w:p>
            <w:pPr>
              <w:spacing w:after="0"/>
              <w:rPr>
                <w:rFonts w:ascii="Arial" w:cs="Arial" w:eastAsia="Arial" w:hAnsi="Arial"/>
                <w:sz w:val="18"/>
                <w:szCs w:val="18"/>
                <w:color w:val="0000EE"/>
                <w:w w:val="90"/>
              </w:rPr>
            </w:pPr>
            <w:hyperlink w:anchor="page26">
              <w:r>
                <w:rPr>
                  <w:rFonts w:ascii="Arial" w:cs="Arial" w:eastAsia="Arial" w:hAnsi="Arial"/>
                  <w:sz w:val="18"/>
                  <w:szCs w:val="18"/>
                  <w:color w:val="0000EE"/>
                  <w:w w:val="90"/>
                </w:rPr>
                <w:t>Item 9.</w:t>
              </w:r>
            </w:hyperlink>
          </w:p>
        </w:tc>
        <w:tc>
          <w:tcPr>
            <w:tcW w:w="300" w:type="dxa"/>
            <w:vAlign w:val="bottom"/>
            <w:gridSpan w:val="4"/>
          </w:tcPr>
          <w:p>
            <w:pPr>
              <w:spacing w:after="0"/>
              <w:rPr>
                <w:sz w:val="24"/>
                <w:szCs w:val="24"/>
                <w:color w:val="auto"/>
              </w:rPr>
            </w:pPr>
          </w:p>
        </w:tc>
        <w:tc>
          <w:tcPr>
            <w:tcW w:w="8460" w:type="dxa"/>
            <w:vAlign w:val="bottom"/>
            <w:gridSpan w:val="22"/>
          </w:tcPr>
          <w:p>
            <w:pPr>
              <w:spacing w:after="0"/>
              <w:rPr>
                <w:rFonts w:ascii="Arial" w:cs="Arial" w:eastAsia="Arial" w:hAnsi="Arial"/>
                <w:sz w:val="18"/>
                <w:szCs w:val="18"/>
                <w:color w:val="0000EE"/>
              </w:rPr>
            </w:pPr>
            <w:hyperlink w:anchor="page26">
              <w:r>
                <w:rPr>
                  <w:rFonts w:ascii="Arial" w:cs="Arial" w:eastAsia="Arial" w:hAnsi="Arial"/>
                  <w:sz w:val="18"/>
                  <w:szCs w:val="18"/>
                  <w:color w:val="0000EE"/>
                </w:rPr>
                <w:t>Changes in and Disagreements with Accountants on Accounting and Financial Disclosure</w:t>
              </w:r>
            </w:hyperlink>
          </w:p>
        </w:tc>
        <w:tc>
          <w:tcPr>
            <w:tcW w:w="700" w:type="dxa"/>
            <w:vAlign w:val="bottom"/>
            <w:gridSpan w:val="4"/>
          </w:tcPr>
          <w:p>
            <w:pPr>
              <w:jc w:val="center"/>
              <w:ind w:left="430"/>
              <w:spacing w:after="0"/>
              <w:rPr>
                <w:rFonts w:ascii="Arial" w:cs="Arial" w:eastAsia="Arial" w:hAnsi="Arial"/>
                <w:sz w:val="18"/>
                <w:szCs w:val="18"/>
                <w:color w:val="0000EE"/>
                <w:w w:val="89"/>
              </w:rPr>
            </w:pPr>
            <w:hyperlink w:anchor="page26">
              <w:r>
                <w:rPr>
                  <w:rFonts w:ascii="Arial" w:cs="Arial" w:eastAsia="Arial" w:hAnsi="Arial"/>
                  <w:sz w:val="18"/>
                  <w:szCs w:val="18"/>
                  <w:color w:val="0000EE"/>
                  <w:w w:val="89"/>
                </w:rPr>
                <w:t>23</w:t>
              </w:r>
            </w:hyperlink>
          </w:p>
        </w:tc>
        <w:tc>
          <w:tcPr>
            <w:tcW w:w="500" w:type="dxa"/>
            <w:vAlign w:val="bottom"/>
          </w:tcPr>
          <w:p>
            <w:pPr>
              <w:spacing w:after="0"/>
              <w:rPr>
                <w:sz w:val="24"/>
                <w:szCs w:val="24"/>
                <w:color w:val="auto"/>
              </w:rPr>
            </w:pPr>
          </w:p>
        </w:tc>
      </w:tr>
      <w:tr>
        <w:trPr>
          <w:trHeight w:val="20"/>
        </w:trPr>
        <w:tc>
          <w:tcPr>
            <w:tcW w:w="6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20" w:type="dxa"/>
            <w:vAlign w:val="bottom"/>
            <w:shd w:val="clear" w:color="auto" w:fill="0000EE"/>
          </w:tcPr>
          <w:p>
            <w:pPr>
              <w:spacing w:after="0" w:line="20" w:lineRule="exact"/>
              <w:rPr>
                <w:sz w:val="1"/>
                <w:szCs w:val="1"/>
                <w:color w:val="auto"/>
              </w:rPr>
            </w:pPr>
          </w:p>
        </w:tc>
        <w:tc>
          <w:tcPr>
            <w:tcW w:w="8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780" w:type="dxa"/>
            <w:vAlign w:val="bottom"/>
            <w:tcBorders>
              <w:right w:val="single" w:sz="8" w:color="0000EE"/>
            </w:tcBorders>
            <w:gridSpan w:val="3"/>
            <w:shd w:val="clear" w:color="auto" w:fill="0000EE"/>
          </w:tcPr>
          <w:p>
            <w:pPr>
              <w:spacing w:after="0" w:line="20" w:lineRule="exact"/>
              <w:rPr>
                <w:sz w:val="1"/>
                <w:szCs w:val="1"/>
                <w:color w:val="auto"/>
              </w:rPr>
            </w:pPr>
          </w:p>
        </w:tc>
        <w:tc>
          <w:tcPr>
            <w:tcW w:w="200" w:type="dxa"/>
            <w:vAlign w:val="bottom"/>
            <w:gridSpan w:val="2"/>
            <w:shd w:val="clear" w:color="auto" w:fill="0000EE"/>
          </w:tcPr>
          <w:p>
            <w:pPr>
              <w:spacing w:after="0" w:line="20" w:lineRule="exact"/>
              <w:rPr>
                <w:sz w:val="1"/>
                <w:szCs w:val="1"/>
                <w:color w:val="auto"/>
              </w:rPr>
            </w:pPr>
          </w:p>
        </w:tc>
        <w:tc>
          <w:tcPr>
            <w:tcW w:w="320" w:type="dxa"/>
            <w:vAlign w:val="bottom"/>
            <w:shd w:val="clear" w:color="auto" w:fill="0000EE"/>
          </w:tcPr>
          <w:p>
            <w:pPr>
              <w:spacing w:after="0" w:line="20" w:lineRule="exact"/>
              <w:rPr>
                <w:sz w:val="1"/>
                <w:szCs w:val="1"/>
                <w:color w:val="auto"/>
              </w:rPr>
            </w:pPr>
          </w:p>
        </w:tc>
        <w:tc>
          <w:tcPr>
            <w:tcW w:w="220" w:type="dxa"/>
            <w:vAlign w:val="bottom"/>
            <w:tcBorders>
              <w:left w:val="single" w:sz="8" w:color="0000EE"/>
            </w:tcBorders>
            <w:shd w:val="clear" w:color="auto" w:fill="0000EE"/>
          </w:tcPr>
          <w:p>
            <w:pPr>
              <w:spacing w:after="0" w:line="20" w:lineRule="exact"/>
              <w:rPr>
                <w:sz w:val="1"/>
                <w:szCs w:val="1"/>
                <w:color w:val="auto"/>
              </w:rPr>
            </w:pPr>
          </w:p>
        </w:tc>
        <w:tc>
          <w:tcPr>
            <w:tcW w:w="280" w:type="dxa"/>
            <w:vAlign w:val="bottom"/>
            <w:gridSpan w:val="2"/>
            <w:shd w:val="clear" w:color="auto" w:fill="0000EE"/>
          </w:tcPr>
          <w:p>
            <w:pPr>
              <w:spacing w:after="0" w:line="20" w:lineRule="exact"/>
              <w:rPr>
                <w:sz w:val="1"/>
                <w:szCs w:val="1"/>
                <w:color w:val="auto"/>
              </w:rPr>
            </w:pPr>
          </w:p>
        </w:tc>
        <w:tc>
          <w:tcPr>
            <w:tcW w:w="1060" w:type="dxa"/>
            <w:vAlign w:val="bottom"/>
            <w:gridSpan w:val="2"/>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1180" w:type="dxa"/>
            <w:vAlign w:val="bottom"/>
            <w:gridSpan w:val="2"/>
            <w:shd w:val="clear" w:color="auto" w:fill="0000EE"/>
          </w:tcPr>
          <w:p>
            <w:pPr>
              <w:spacing w:after="0" w:line="20" w:lineRule="exact"/>
              <w:rPr>
                <w:sz w:val="1"/>
                <w:szCs w:val="1"/>
                <w:color w:val="auto"/>
              </w:rPr>
            </w:pPr>
          </w:p>
        </w:tc>
        <w:tc>
          <w:tcPr>
            <w:tcW w:w="820" w:type="dxa"/>
            <w:vAlign w:val="bottom"/>
            <w:gridSpan w:val="2"/>
            <w:shd w:val="clear" w:color="auto" w:fill="0000EE"/>
          </w:tcPr>
          <w:p>
            <w:pPr>
              <w:spacing w:after="0" w:line="20" w:lineRule="exact"/>
              <w:rPr>
                <w:sz w:val="1"/>
                <w:szCs w:val="1"/>
                <w:color w:val="auto"/>
              </w:rPr>
            </w:pPr>
          </w:p>
        </w:tc>
        <w:tc>
          <w:tcPr>
            <w:tcW w:w="540" w:type="dxa"/>
            <w:vAlign w:val="bottom"/>
            <w:shd w:val="clear" w:color="auto" w:fill="0000EE"/>
          </w:tcPr>
          <w:p>
            <w:pPr>
              <w:spacing w:after="0" w:line="20" w:lineRule="exact"/>
              <w:rPr>
                <w:sz w:val="1"/>
                <w:szCs w:val="1"/>
                <w:color w:val="auto"/>
              </w:rPr>
            </w:pPr>
          </w:p>
        </w:tc>
        <w:tc>
          <w:tcPr>
            <w:tcW w:w="1020" w:type="dxa"/>
            <w:vAlign w:val="bottom"/>
            <w:gridSpan w:val="2"/>
            <w:shd w:val="clear" w:color="auto" w:fill="0000EE"/>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1180" w:type="dxa"/>
            <w:vAlign w:val="bottom"/>
            <w:gridSpan w:val="2"/>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180" w:type="dxa"/>
            <w:vAlign w:val="bottom"/>
            <w:gridSpan w:val="3"/>
            <w:shd w:val="clear" w:color="auto" w:fill="0000EE"/>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r>
      <w:tr>
        <w:trPr>
          <w:trHeight w:val="412"/>
        </w:trPr>
        <w:tc>
          <w:tcPr>
            <w:tcW w:w="6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20" w:type="dxa"/>
            <w:vAlign w:val="bottom"/>
            <w:gridSpan w:val="4"/>
          </w:tcPr>
          <w:p>
            <w:pPr>
              <w:spacing w:after="0"/>
              <w:rPr>
                <w:rFonts w:ascii="Arial" w:cs="Arial" w:eastAsia="Arial" w:hAnsi="Arial"/>
                <w:sz w:val="18"/>
                <w:szCs w:val="18"/>
                <w:color w:val="0000EE"/>
                <w:w w:val="86"/>
              </w:rPr>
            </w:pPr>
            <w:hyperlink w:anchor="page26">
              <w:r>
                <w:rPr>
                  <w:rFonts w:ascii="Arial" w:cs="Arial" w:eastAsia="Arial" w:hAnsi="Arial"/>
                  <w:sz w:val="18"/>
                  <w:szCs w:val="18"/>
                  <w:color w:val="0000EE"/>
                  <w:w w:val="86"/>
                </w:rPr>
                <w:t>Item 9A.</w:t>
              </w:r>
            </w:hyperlink>
          </w:p>
        </w:tc>
        <w:tc>
          <w:tcPr>
            <w:tcW w:w="200" w:type="dxa"/>
            <w:vAlign w:val="bottom"/>
          </w:tcPr>
          <w:p>
            <w:pPr>
              <w:spacing w:after="0"/>
              <w:rPr>
                <w:sz w:val="24"/>
                <w:szCs w:val="24"/>
                <w:color w:val="auto"/>
              </w:rPr>
            </w:pPr>
          </w:p>
        </w:tc>
        <w:tc>
          <w:tcPr>
            <w:tcW w:w="8460" w:type="dxa"/>
            <w:vAlign w:val="bottom"/>
            <w:gridSpan w:val="22"/>
          </w:tcPr>
          <w:p>
            <w:pPr>
              <w:spacing w:after="0"/>
              <w:rPr>
                <w:rFonts w:ascii="Arial" w:cs="Arial" w:eastAsia="Arial" w:hAnsi="Arial"/>
                <w:sz w:val="18"/>
                <w:szCs w:val="18"/>
                <w:color w:val="0000EE"/>
              </w:rPr>
            </w:pPr>
            <w:hyperlink w:anchor="page26">
              <w:r>
                <w:rPr>
                  <w:rFonts w:ascii="Arial" w:cs="Arial" w:eastAsia="Arial" w:hAnsi="Arial"/>
                  <w:sz w:val="18"/>
                  <w:szCs w:val="18"/>
                  <w:color w:val="0000EE"/>
                </w:rPr>
                <w:t>Controls and Procedures</w:t>
              </w:r>
            </w:hyperlink>
          </w:p>
        </w:tc>
        <w:tc>
          <w:tcPr>
            <w:tcW w:w="700" w:type="dxa"/>
            <w:vAlign w:val="bottom"/>
            <w:gridSpan w:val="4"/>
          </w:tcPr>
          <w:p>
            <w:pPr>
              <w:jc w:val="center"/>
              <w:ind w:left="430"/>
              <w:spacing w:after="0"/>
              <w:rPr>
                <w:rFonts w:ascii="Arial" w:cs="Arial" w:eastAsia="Arial" w:hAnsi="Arial"/>
                <w:sz w:val="18"/>
                <w:szCs w:val="18"/>
                <w:color w:val="0000EE"/>
                <w:w w:val="89"/>
              </w:rPr>
            </w:pPr>
            <w:hyperlink w:anchor="page26">
              <w:r>
                <w:rPr>
                  <w:rFonts w:ascii="Arial" w:cs="Arial" w:eastAsia="Arial" w:hAnsi="Arial"/>
                  <w:sz w:val="18"/>
                  <w:szCs w:val="18"/>
                  <w:color w:val="0000EE"/>
                  <w:w w:val="89"/>
                </w:rPr>
                <w:t>23</w:t>
              </w:r>
            </w:hyperlink>
          </w:p>
        </w:tc>
        <w:tc>
          <w:tcPr>
            <w:tcW w:w="500" w:type="dxa"/>
            <w:vAlign w:val="bottom"/>
          </w:tcPr>
          <w:p>
            <w:pPr>
              <w:spacing w:after="0"/>
              <w:rPr>
                <w:sz w:val="24"/>
                <w:szCs w:val="24"/>
                <w:color w:val="auto"/>
              </w:rPr>
            </w:pPr>
          </w:p>
        </w:tc>
      </w:tr>
      <w:tr>
        <w:trPr>
          <w:trHeight w:val="20"/>
        </w:trPr>
        <w:tc>
          <w:tcPr>
            <w:tcW w:w="6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0" w:type="dxa"/>
            <w:vAlign w:val="bottom"/>
            <w:gridSpan w:val="3"/>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200" w:type="dxa"/>
            <w:vAlign w:val="bottom"/>
            <w:tcBorders>
              <w:left w:val="single" w:sz="8" w:color="0000EE"/>
            </w:tcBorders>
          </w:tcPr>
          <w:p>
            <w:pPr>
              <w:spacing w:after="0" w:line="20" w:lineRule="exact"/>
              <w:rPr>
                <w:sz w:val="1"/>
                <w:szCs w:val="1"/>
                <w:color w:val="auto"/>
              </w:rPr>
            </w:pPr>
          </w:p>
        </w:tc>
        <w:tc>
          <w:tcPr>
            <w:tcW w:w="780" w:type="dxa"/>
            <w:vAlign w:val="bottom"/>
            <w:tcBorders>
              <w:right w:val="single" w:sz="8" w:color="0000EE"/>
            </w:tcBorders>
            <w:gridSpan w:val="3"/>
            <w:shd w:val="clear" w:color="auto" w:fill="0000EE"/>
          </w:tcPr>
          <w:p>
            <w:pPr>
              <w:spacing w:after="0" w:line="20" w:lineRule="exact"/>
              <w:rPr>
                <w:sz w:val="1"/>
                <w:szCs w:val="1"/>
                <w:color w:val="auto"/>
              </w:rPr>
            </w:pPr>
          </w:p>
        </w:tc>
        <w:tc>
          <w:tcPr>
            <w:tcW w:w="200" w:type="dxa"/>
            <w:vAlign w:val="bottom"/>
            <w:gridSpan w:val="2"/>
            <w:shd w:val="clear" w:color="auto" w:fill="0000EE"/>
          </w:tcPr>
          <w:p>
            <w:pPr>
              <w:spacing w:after="0" w:line="20" w:lineRule="exact"/>
              <w:rPr>
                <w:sz w:val="1"/>
                <w:szCs w:val="1"/>
                <w:color w:val="auto"/>
              </w:rPr>
            </w:pPr>
          </w:p>
        </w:tc>
        <w:tc>
          <w:tcPr>
            <w:tcW w:w="320" w:type="dxa"/>
            <w:vAlign w:val="bottom"/>
            <w:shd w:val="clear" w:color="auto" w:fill="0000EE"/>
          </w:tcPr>
          <w:p>
            <w:pPr>
              <w:spacing w:after="0" w:line="20" w:lineRule="exact"/>
              <w:rPr>
                <w:sz w:val="1"/>
                <w:szCs w:val="1"/>
                <w:color w:val="auto"/>
              </w:rPr>
            </w:pPr>
          </w:p>
        </w:tc>
        <w:tc>
          <w:tcPr>
            <w:tcW w:w="220" w:type="dxa"/>
            <w:vAlign w:val="bottom"/>
            <w:tcBorders>
              <w:left w:val="single" w:sz="8" w:color="0000EE"/>
            </w:tcBorders>
            <w:shd w:val="clear" w:color="auto" w:fill="0000EE"/>
          </w:tcPr>
          <w:p>
            <w:pPr>
              <w:spacing w:after="0" w:line="20" w:lineRule="exact"/>
              <w:rPr>
                <w:sz w:val="1"/>
                <w:szCs w:val="1"/>
                <w:color w:val="auto"/>
              </w:rPr>
            </w:pPr>
          </w:p>
        </w:tc>
        <w:tc>
          <w:tcPr>
            <w:tcW w:w="240" w:type="dxa"/>
            <w:vAlign w:val="bottom"/>
            <w:shd w:val="clear" w:color="auto" w:fill="0000EE"/>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6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180" w:type="dxa"/>
            <w:vAlign w:val="bottom"/>
            <w:gridSpan w:val="2"/>
          </w:tcPr>
          <w:p>
            <w:pPr>
              <w:spacing w:after="0" w:line="20" w:lineRule="exact"/>
              <w:rPr>
                <w:sz w:val="1"/>
                <w:szCs w:val="1"/>
                <w:color w:val="auto"/>
              </w:rPr>
            </w:pPr>
          </w:p>
        </w:tc>
        <w:tc>
          <w:tcPr>
            <w:tcW w:w="820" w:type="dxa"/>
            <w:vAlign w:val="bottom"/>
            <w:gridSpan w:val="2"/>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840" w:type="dxa"/>
            <w:vAlign w:val="bottom"/>
            <w:gridSpan w:val="3"/>
          </w:tcPr>
          <w:p>
            <w:pPr>
              <w:spacing w:after="0" w:line="20" w:lineRule="exact"/>
              <w:rPr>
                <w:sz w:val="1"/>
                <w:szCs w:val="1"/>
                <w:color w:val="auto"/>
              </w:rPr>
            </w:pPr>
          </w:p>
        </w:tc>
        <w:tc>
          <w:tcPr>
            <w:tcW w:w="1180" w:type="dxa"/>
            <w:vAlign w:val="bottom"/>
            <w:gridSpan w:val="2"/>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180" w:type="dxa"/>
            <w:vAlign w:val="bottom"/>
            <w:gridSpan w:val="3"/>
            <w:shd w:val="clear" w:color="auto" w:fill="0000EE"/>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r>
      <w:tr>
        <w:trPr>
          <w:trHeight w:val="412"/>
        </w:trPr>
        <w:tc>
          <w:tcPr>
            <w:tcW w:w="6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20" w:type="dxa"/>
            <w:vAlign w:val="bottom"/>
            <w:gridSpan w:val="4"/>
          </w:tcPr>
          <w:p>
            <w:pPr>
              <w:spacing w:after="0"/>
              <w:rPr>
                <w:rFonts w:ascii="Arial" w:cs="Arial" w:eastAsia="Arial" w:hAnsi="Arial"/>
                <w:sz w:val="18"/>
                <w:szCs w:val="18"/>
                <w:color w:val="0000EE"/>
                <w:w w:val="86"/>
              </w:rPr>
            </w:pPr>
            <w:hyperlink w:anchor="page29">
              <w:r>
                <w:rPr>
                  <w:rFonts w:ascii="Arial" w:cs="Arial" w:eastAsia="Arial" w:hAnsi="Arial"/>
                  <w:sz w:val="18"/>
                  <w:szCs w:val="18"/>
                  <w:color w:val="0000EE"/>
                  <w:w w:val="86"/>
                </w:rPr>
                <w:t>Item 9B.</w:t>
              </w:r>
            </w:hyperlink>
          </w:p>
        </w:tc>
        <w:tc>
          <w:tcPr>
            <w:tcW w:w="200" w:type="dxa"/>
            <w:vAlign w:val="bottom"/>
          </w:tcPr>
          <w:p>
            <w:pPr>
              <w:spacing w:after="0"/>
              <w:rPr>
                <w:sz w:val="24"/>
                <w:szCs w:val="24"/>
                <w:color w:val="auto"/>
              </w:rPr>
            </w:pPr>
          </w:p>
        </w:tc>
        <w:tc>
          <w:tcPr>
            <w:tcW w:w="1760" w:type="dxa"/>
            <w:vAlign w:val="bottom"/>
            <w:gridSpan w:val="8"/>
          </w:tcPr>
          <w:p>
            <w:pPr>
              <w:spacing w:after="0"/>
              <w:rPr>
                <w:rFonts w:ascii="Arial" w:cs="Arial" w:eastAsia="Arial" w:hAnsi="Arial"/>
                <w:sz w:val="18"/>
                <w:szCs w:val="18"/>
                <w:color w:val="0000EE"/>
              </w:rPr>
            </w:pPr>
            <w:hyperlink w:anchor="page29">
              <w:r>
                <w:rPr>
                  <w:rFonts w:ascii="Arial" w:cs="Arial" w:eastAsia="Arial" w:hAnsi="Arial"/>
                  <w:sz w:val="18"/>
                  <w:szCs w:val="18"/>
                  <w:color w:val="0000EE"/>
                </w:rPr>
                <w:t>Other Information</w:t>
              </w:r>
            </w:hyperlink>
          </w:p>
        </w:tc>
        <w:tc>
          <w:tcPr>
            <w:tcW w:w="6700" w:type="dxa"/>
            <w:vAlign w:val="bottom"/>
            <w:gridSpan w:val="14"/>
          </w:tcPr>
          <w:p>
            <w:pPr>
              <w:spacing w:after="0"/>
              <w:rPr>
                <w:sz w:val="24"/>
                <w:szCs w:val="24"/>
                <w:color w:val="auto"/>
              </w:rPr>
            </w:pPr>
          </w:p>
        </w:tc>
        <w:tc>
          <w:tcPr>
            <w:tcW w:w="700" w:type="dxa"/>
            <w:vAlign w:val="bottom"/>
            <w:gridSpan w:val="4"/>
          </w:tcPr>
          <w:p>
            <w:pPr>
              <w:jc w:val="center"/>
              <w:ind w:left="430"/>
              <w:spacing w:after="0"/>
              <w:rPr>
                <w:rFonts w:ascii="Arial" w:cs="Arial" w:eastAsia="Arial" w:hAnsi="Arial"/>
                <w:sz w:val="18"/>
                <w:szCs w:val="18"/>
                <w:color w:val="0000EE"/>
                <w:w w:val="89"/>
              </w:rPr>
            </w:pPr>
            <w:hyperlink w:anchor="page29">
              <w:r>
                <w:rPr>
                  <w:rFonts w:ascii="Arial" w:cs="Arial" w:eastAsia="Arial" w:hAnsi="Arial"/>
                  <w:sz w:val="18"/>
                  <w:szCs w:val="18"/>
                  <w:color w:val="0000EE"/>
                  <w:w w:val="89"/>
                </w:rPr>
                <w:t>26</w:t>
              </w:r>
            </w:hyperlink>
          </w:p>
        </w:tc>
        <w:tc>
          <w:tcPr>
            <w:tcW w:w="500" w:type="dxa"/>
            <w:vAlign w:val="bottom"/>
          </w:tcPr>
          <w:p>
            <w:pPr>
              <w:spacing w:after="0"/>
              <w:rPr>
                <w:sz w:val="24"/>
                <w:szCs w:val="24"/>
                <w:color w:val="auto"/>
              </w:rPr>
            </w:pPr>
          </w:p>
        </w:tc>
      </w:tr>
      <w:tr>
        <w:trPr>
          <w:trHeight w:val="20"/>
        </w:trPr>
        <w:tc>
          <w:tcPr>
            <w:tcW w:w="6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0" w:type="dxa"/>
            <w:vAlign w:val="bottom"/>
            <w:gridSpan w:val="3"/>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780" w:type="dxa"/>
            <w:vAlign w:val="bottom"/>
            <w:tcBorders>
              <w:right w:val="single" w:sz="8" w:color="0000EE"/>
            </w:tcBorders>
            <w:gridSpan w:val="3"/>
            <w:shd w:val="clear" w:color="auto" w:fill="0000EE"/>
          </w:tcPr>
          <w:p>
            <w:pPr>
              <w:spacing w:after="0" w:line="20" w:lineRule="exact"/>
              <w:rPr>
                <w:sz w:val="1"/>
                <w:szCs w:val="1"/>
                <w:color w:val="auto"/>
              </w:rPr>
            </w:pPr>
          </w:p>
        </w:tc>
        <w:tc>
          <w:tcPr>
            <w:tcW w:w="200" w:type="dxa"/>
            <w:vAlign w:val="bottom"/>
            <w:gridSpan w:val="2"/>
            <w:shd w:val="clear" w:color="auto" w:fill="0000EE"/>
          </w:tcPr>
          <w:p>
            <w:pPr>
              <w:spacing w:after="0" w:line="20" w:lineRule="exact"/>
              <w:rPr>
                <w:sz w:val="1"/>
                <w:szCs w:val="1"/>
                <w:color w:val="auto"/>
              </w:rPr>
            </w:pPr>
          </w:p>
        </w:tc>
        <w:tc>
          <w:tcPr>
            <w:tcW w:w="320" w:type="dxa"/>
            <w:vAlign w:val="bottom"/>
            <w:shd w:val="clear" w:color="auto" w:fill="0000EE"/>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80" w:type="dxa"/>
            <w:vAlign w:val="bottom"/>
            <w:gridSpan w:val="2"/>
          </w:tcPr>
          <w:p>
            <w:pPr>
              <w:spacing w:after="0" w:line="20" w:lineRule="exact"/>
              <w:rPr>
                <w:sz w:val="1"/>
                <w:szCs w:val="1"/>
                <w:color w:val="auto"/>
              </w:rPr>
            </w:pPr>
          </w:p>
        </w:tc>
        <w:tc>
          <w:tcPr>
            <w:tcW w:w="106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180" w:type="dxa"/>
            <w:vAlign w:val="bottom"/>
            <w:gridSpan w:val="2"/>
          </w:tcPr>
          <w:p>
            <w:pPr>
              <w:spacing w:after="0" w:line="20" w:lineRule="exact"/>
              <w:rPr>
                <w:sz w:val="1"/>
                <w:szCs w:val="1"/>
                <w:color w:val="auto"/>
              </w:rPr>
            </w:pPr>
          </w:p>
        </w:tc>
        <w:tc>
          <w:tcPr>
            <w:tcW w:w="820" w:type="dxa"/>
            <w:vAlign w:val="bottom"/>
            <w:gridSpan w:val="2"/>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840" w:type="dxa"/>
            <w:vAlign w:val="bottom"/>
            <w:gridSpan w:val="3"/>
          </w:tcPr>
          <w:p>
            <w:pPr>
              <w:spacing w:after="0" w:line="20" w:lineRule="exact"/>
              <w:rPr>
                <w:sz w:val="1"/>
                <w:szCs w:val="1"/>
                <w:color w:val="auto"/>
              </w:rPr>
            </w:pPr>
          </w:p>
        </w:tc>
        <w:tc>
          <w:tcPr>
            <w:tcW w:w="1180" w:type="dxa"/>
            <w:vAlign w:val="bottom"/>
            <w:gridSpan w:val="2"/>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180" w:type="dxa"/>
            <w:vAlign w:val="bottom"/>
            <w:gridSpan w:val="3"/>
            <w:shd w:val="clear" w:color="auto" w:fill="0000EE"/>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r>
      <w:tr>
        <w:trPr>
          <w:trHeight w:val="412"/>
        </w:trPr>
        <w:tc>
          <w:tcPr>
            <w:tcW w:w="6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20" w:type="dxa"/>
            <w:vAlign w:val="bottom"/>
            <w:gridSpan w:val="4"/>
          </w:tcPr>
          <w:p>
            <w:pPr>
              <w:spacing w:after="0"/>
              <w:rPr>
                <w:rFonts w:ascii="Arial" w:cs="Arial" w:eastAsia="Arial" w:hAnsi="Arial"/>
                <w:sz w:val="18"/>
                <w:szCs w:val="18"/>
                <w:color w:val="0000EE"/>
                <w:w w:val="85"/>
              </w:rPr>
            </w:pPr>
            <w:hyperlink w:anchor="page29">
              <w:r>
                <w:rPr>
                  <w:rFonts w:ascii="Arial" w:cs="Arial" w:eastAsia="Arial" w:hAnsi="Arial"/>
                  <w:sz w:val="18"/>
                  <w:szCs w:val="18"/>
                  <w:color w:val="0000EE"/>
                  <w:w w:val="85"/>
                </w:rPr>
                <w:t>Item 9C.</w:t>
              </w:r>
            </w:hyperlink>
          </w:p>
        </w:tc>
        <w:tc>
          <w:tcPr>
            <w:tcW w:w="200" w:type="dxa"/>
            <w:vAlign w:val="bottom"/>
          </w:tcPr>
          <w:p>
            <w:pPr>
              <w:spacing w:after="0"/>
              <w:rPr>
                <w:sz w:val="24"/>
                <w:szCs w:val="24"/>
                <w:color w:val="auto"/>
              </w:rPr>
            </w:pPr>
          </w:p>
        </w:tc>
        <w:tc>
          <w:tcPr>
            <w:tcW w:w="4900" w:type="dxa"/>
            <w:vAlign w:val="bottom"/>
            <w:gridSpan w:val="16"/>
          </w:tcPr>
          <w:p>
            <w:pPr>
              <w:spacing w:after="0"/>
              <w:rPr>
                <w:rFonts w:ascii="Arial" w:cs="Arial" w:eastAsia="Arial" w:hAnsi="Arial"/>
                <w:sz w:val="18"/>
                <w:szCs w:val="18"/>
                <w:color w:val="0000EE"/>
                <w:w w:val="90"/>
              </w:rPr>
            </w:pPr>
            <w:hyperlink w:anchor="page29">
              <w:r>
                <w:rPr>
                  <w:rFonts w:ascii="Arial" w:cs="Arial" w:eastAsia="Arial" w:hAnsi="Arial"/>
                  <w:sz w:val="18"/>
                  <w:szCs w:val="18"/>
                  <w:color w:val="0000EE"/>
                  <w:w w:val="90"/>
                </w:rPr>
                <w:t>Disclosure Regarding Foreign Jurisdictions that Prevent Inspections</w:t>
              </w:r>
            </w:hyperlink>
          </w:p>
        </w:tc>
        <w:tc>
          <w:tcPr>
            <w:tcW w:w="3560" w:type="dxa"/>
            <w:vAlign w:val="bottom"/>
            <w:gridSpan w:val="6"/>
          </w:tcPr>
          <w:p>
            <w:pPr>
              <w:spacing w:after="0"/>
              <w:rPr>
                <w:sz w:val="24"/>
                <w:szCs w:val="24"/>
                <w:color w:val="auto"/>
              </w:rPr>
            </w:pPr>
          </w:p>
        </w:tc>
        <w:tc>
          <w:tcPr>
            <w:tcW w:w="700" w:type="dxa"/>
            <w:vAlign w:val="bottom"/>
            <w:gridSpan w:val="4"/>
          </w:tcPr>
          <w:p>
            <w:pPr>
              <w:jc w:val="center"/>
              <w:ind w:left="430"/>
              <w:spacing w:after="0"/>
              <w:rPr>
                <w:rFonts w:ascii="Arial" w:cs="Arial" w:eastAsia="Arial" w:hAnsi="Arial"/>
                <w:sz w:val="18"/>
                <w:szCs w:val="18"/>
                <w:color w:val="0000EE"/>
                <w:w w:val="89"/>
              </w:rPr>
            </w:pPr>
            <w:hyperlink w:anchor="page29">
              <w:r>
                <w:rPr>
                  <w:rFonts w:ascii="Arial" w:cs="Arial" w:eastAsia="Arial" w:hAnsi="Arial"/>
                  <w:sz w:val="18"/>
                  <w:szCs w:val="18"/>
                  <w:color w:val="0000EE"/>
                  <w:w w:val="89"/>
                </w:rPr>
                <w:t>26</w:t>
              </w:r>
            </w:hyperlink>
          </w:p>
        </w:tc>
        <w:tc>
          <w:tcPr>
            <w:tcW w:w="500" w:type="dxa"/>
            <w:vAlign w:val="bottom"/>
          </w:tcPr>
          <w:p>
            <w:pPr>
              <w:spacing w:after="0"/>
              <w:rPr>
                <w:sz w:val="24"/>
                <w:szCs w:val="24"/>
                <w:color w:val="auto"/>
              </w:rPr>
            </w:pPr>
          </w:p>
        </w:tc>
      </w:tr>
      <w:tr>
        <w:trPr>
          <w:trHeight w:val="20"/>
        </w:trPr>
        <w:tc>
          <w:tcPr>
            <w:tcW w:w="6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0" w:type="dxa"/>
            <w:vAlign w:val="bottom"/>
            <w:gridSpan w:val="3"/>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64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60" w:type="dxa"/>
            <w:vAlign w:val="bottom"/>
            <w:tcBorders>
              <w:right w:val="single" w:sz="8" w:color="0000EE"/>
            </w:tcBorders>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320" w:type="dxa"/>
            <w:vAlign w:val="bottom"/>
            <w:shd w:val="clear" w:color="auto" w:fill="0000EE"/>
          </w:tcPr>
          <w:p>
            <w:pPr>
              <w:spacing w:after="0" w:line="20" w:lineRule="exact"/>
              <w:rPr>
                <w:sz w:val="1"/>
                <w:szCs w:val="1"/>
                <w:color w:val="auto"/>
              </w:rPr>
            </w:pPr>
          </w:p>
        </w:tc>
        <w:tc>
          <w:tcPr>
            <w:tcW w:w="220" w:type="dxa"/>
            <w:vAlign w:val="bottom"/>
            <w:tcBorders>
              <w:left w:val="single" w:sz="8" w:color="0000EE"/>
            </w:tcBorders>
            <w:shd w:val="clear" w:color="auto" w:fill="0000EE"/>
          </w:tcPr>
          <w:p>
            <w:pPr>
              <w:spacing w:after="0" w:line="20" w:lineRule="exact"/>
              <w:rPr>
                <w:sz w:val="1"/>
                <w:szCs w:val="1"/>
                <w:color w:val="auto"/>
              </w:rPr>
            </w:pPr>
          </w:p>
        </w:tc>
        <w:tc>
          <w:tcPr>
            <w:tcW w:w="24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240" w:type="dxa"/>
            <w:vAlign w:val="bottom"/>
            <w:shd w:val="clear" w:color="auto" w:fill="0000EE"/>
          </w:tcPr>
          <w:p>
            <w:pPr>
              <w:spacing w:after="0" w:line="20" w:lineRule="exact"/>
              <w:rPr>
                <w:sz w:val="1"/>
                <w:szCs w:val="1"/>
                <w:color w:val="auto"/>
              </w:rPr>
            </w:pPr>
          </w:p>
        </w:tc>
        <w:tc>
          <w:tcPr>
            <w:tcW w:w="82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420" w:type="dxa"/>
            <w:vAlign w:val="bottom"/>
            <w:shd w:val="clear" w:color="auto" w:fill="0000EE"/>
          </w:tcPr>
          <w:p>
            <w:pPr>
              <w:spacing w:after="0" w:line="20" w:lineRule="exact"/>
              <w:rPr>
                <w:sz w:val="1"/>
                <w:szCs w:val="1"/>
                <w:color w:val="auto"/>
              </w:rPr>
            </w:pPr>
          </w:p>
        </w:tc>
        <w:tc>
          <w:tcPr>
            <w:tcW w:w="760" w:type="dxa"/>
            <w:vAlign w:val="bottom"/>
            <w:shd w:val="clear" w:color="auto" w:fill="0000EE"/>
          </w:tcPr>
          <w:p>
            <w:pPr>
              <w:spacing w:after="0" w:line="20" w:lineRule="exact"/>
              <w:rPr>
                <w:sz w:val="1"/>
                <w:szCs w:val="1"/>
                <w:color w:val="auto"/>
              </w:rPr>
            </w:pPr>
          </w:p>
        </w:tc>
        <w:tc>
          <w:tcPr>
            <w:tcW w:w="220" w:type="dxa"/>
            <w:vAlign w:val="bottom"/>
            <w:shd w:val="clear" w:color="auto" w:fill="0000EE"/>
          </w:tcPr>
          <w:p>
            <w:pPr>
              <w:spacing w:after="0" w:line="20" w:lineRule="exact"/>
              <w:rPr>
                <w:sz w:val="1"/>
                <w:szCs w:val="1"/>
                <w:color w:val="auto"/>
              </w:rPr>
            </w:pPr>
          </w:p>
        </w:tc>
        <w:tc>
          <w:tcPr>
            <w:tcW w:w="600" w:type="dxa"/>
            <w:vAlign w:val="bottom"/>
            <w:shd w:val="clear" w:color="auto" w:fill="0000EE"/>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180" w:type="dxa"/>
            <w:vAlign w:val="bottom"/>
            <w:gridSpan w:val="3"/>
            <w:shd w:val="clear" w:color="auto" w:fill="0000EE"/>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r>
      <w:tr>
        <w:trPr>
          <w:trHeight w:val="412"/>
        </w:trPr>
        <w:tc>
          <w:tcPr>
            <w:tcW w:w="760" w:type="dxa"/>
            <w:vAlign w:val="bottom"/>
            <w:gridSpan w:val="3"/>
          </w:tcPr>
          <w:p>
            <w:pPr>
              <w:spacing w:after="0"/>
              <w:rPr>
                <w:rFonts w:ascii="Arial" w:cs="Arial" w:eastAsia="Arial" w:hAnsi="Arial"/>
                <w:sz w:val="18"/>
                <w:szCs w:val="18"/>
                <w:color w:val="0000EE"/>
              </w:rPr>
            </w:pPr>
            <w:hyperlink w:anchor="page29">
              <w:r>
                <w:rPr>
                  <w:rFonts w:ascii="Arial" w:cs="Arial" w:eastAsia="Arial" w:hAnsi="Arial"/>
                  <w:sz w:val="18"/>
                  <w:szCs w:val="18"/>
                  <w:color w:val="0000EE"/>
                </w:rPr>
                <w:t>PART III</w:t>
              </w:r>
            </w:hyperlink>
          </w:p>
        </w:tc>
        <w:tc>
          <w:tcPr>
            <w:tcW w:w="620" w:type="dxa"/>
            <w:vAlign w:val="bottom"/>
            <w:gridSpan w:val="4"/>
          </w:tcPr>
          <w:p>
            <w:pPr>
              <w:spacing w:after="0"/>
              <w:rPr>
                <w:sz w:val="24"/>
                <w:szCs w:val="24"/>
                <w:color w:val="auto"/>
              </w:rPr>
            </w:pPr>
          </w:p>
        </w:tc>
        <w:tc>
          <w:tcPr>
            <w:tcW w:w="20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700" w:type="dxa"/>
            <w:vAlign w:val="bottom"/>
            <w:gridSpan w:val="4"/>
          </w:tcPr>
          <w:p>
            <w:pPr>
              <w:jc w:val="center"/>
              <w:ind w:left="430"/>
              <w:spacing w:after="0"/>
              <w:rPr>
                <w:rFonts w:ascii="Arial" w:cs="Arial" w:eastAsia="Arial" w:hAnsi="Arial"/>
                <w:sz w:val="18"/>
                <w:szCs w:val="18"/>
                <w:color w:val="0000EE"/>
                <w:w w:val="89"/>
              </w:rPr>
            </w:pPr>
            <w:hyperlink w:anchor="page29">
              <w:r>
                <w:rPr>
                  <w:rFonts w:ascii="Arial" w:cs="Arial" w:eastAsia="Arial" w:hAnsi="Arial"/>
                  <w:sz w:val="18"/>
                  <w:szCs w:val="18"/>
                  <w:color w:val="0000EE"/>
                  <w:w w:val="89"/>
                </w:rPr>
                <w:t>26</w:t>
              </w:r>
            </w:hyperlink>
          </w:p>
        </w:tc>
        <w:tc>
          <w:tcPr>
            <w:tcW w:w="500" w:type="dxa"/>
            <w:vAlign w:val="bottom"/>
          </w:tcPr>
          <w:p>
            <w:pPr>
              <w:spacing w:after="0"/>
              <w:rPr>
                <w:sz w:val="24"/>
                <w:szCs w:val="24"/>
                <w:color w:val="auto"/>
              </w:rPr>
            </w:pPr>
          </w:p>
        </w:tc>
      </w:tr>
      <w:tr>
        <w:trPr>
          <w:trHeight w:val="20"/>
        </w:trPr>
        <w:tc>
          <w:tcPr>
            <w:tcW w:w="600" w:type="dxa"/>
            <w:vAlign w:val="bottom"/>
            <w:tcBorders>
              <w:right w:val="single" w:sz="8" w:color="0000EE"/>
            </w:tcBorders>
            <w:shd w:val="clear" w:color="auto" w:fill="0000EE"/>
          </w:tcPr>
          <w:p>
            <w:pPr>
              <w:spacing w:after="0" w:line="20" w:lineRule="exact"/>
              <w:rPr>
                <w:sz w:val="1"/>
                <w:szCs w:val="1"/>
                <w:color w:val="auto"/>
              </w:rPr>
            </w:pPr>
          </w:p>
        </w:tc>
        <w:tc>
          <w:tcPr>
            <w:tcW w:w="80" w:type="dxa"/>
            <w:vAlign w:val="bottom"/>
            <w:tcBorders>
              <w:left w:val="single" w:sz="8" w:color="0000EE"/>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780" w:type="dxa"/>
            <w:vAlign w:val="bottom"/>
            <w:gridSpan w:val="3"/>
          </w:tcPr>
          <w:p>
            <w:pPr>
              <w:spacing w:after="0" w:line="20" w:lineRule="exact"/>
              <w:rPr>
                <w:sz w:val="1"/>
                <w:szCs w:val="1"/>
                <w:color w:val="auto"/>
              </w:rPr>
            </w:pPr>
          </w:p>
        </w:tc>
        <w:tc>
          <w:tcPr>
            <w:tcW w:w="200" w:type="dxa"/>
            <w:vAlign w:val="bottom"/>
            <w:gridSpan w:val="2"/>
          </w:tcPr>
          <w:p>
            <w:pPr>
              <w:spacing w:after="0" w:line="20" w:lineRule="exact"/>
              <w:rPr>
                <w:sz w:val="1"/>
                <w:szCs w:val="1"/>
                <w:color w:val="auto"/>
              </w:rPr>
            </w:pPr>
          </w:p>
        </w:tc>
        <w:tc>
          <w:tcPr>
            <w:tcW w:w="540" w:type="dxa"/>
            <w:vAlign w:val="bottom"/>
            <w:gridSpan w:val="2"/>
          </w:tcPr>
          <w:p>
            <w:pPr>
              <w:spacing w:after="0" w:line="20" w:lineRule="exact"/>
              <w:rPr>
                <w:sz w:val="1"/>
                <w:szCs w:val="1"/>
                <w:color w:val="auto"/>
              </w:rPr>
            </w:pPr>
          </w:p>
        </w:tc>
        <w:tc>
          <w:tcPr>
            <w:tcW w:w="280" w:type="dxa"/>
            <w:vAlign w:val="bottom"/>
            <w:gridSpan w:val="2"/>
          </w:tcPr>
          <w:p>
            <w:pPr>
              <w:spacing w:after="0" w:line="20" w:lineRule="exact"/>
              <w:rPr>
                <w:sz w:val="1"/>
                <w:szCs w:val="1"/>
                <w:color w:val="auto"/>
              </w:rPr>
            </w:pPr>
          </w:p>
        </w:tc>
        <w:tc>
          <w:tcPr>
            <w:tcW w:w="106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180" w:type="dxa"/>
            <w:vAlign w:val="bottom"/>
            <w:gridSpan w:val="2"/>
          </w:tcPr>
          <w:p>
            <w:pPr>
              <w:spacing w:after="0" w:line="20" w:lineRule="exact"/>
              <w:rPr>
                <w:sz w:val="1"/>
                <w:szCs w:val="1"/>
                <w:color w:val="auto"/>
              </w:rPr>
            </w:pPr>
          </w:p>
        </w:tc>
        <w:tc>
          <w:tcPr>
            <w:tcW w:w="1360" w:type="dxa"/>
            <w:vAlign w:val="bottom"/>
            <w:gridSpan w:val="3"/>
          </w:tcPr>
          <w:p>
            <w:pPr>
              <w:spacing w:after="0" w:line="20" w:lineRule="exact"/>
              <w:rPr>
                <w:sz w:val="1"/>
                <w:szCs w:val="1"/>
                <w:color w:val="auto"/>
              </w:rPr>
            </w:pPr>
          </w:p>
        </w:tc>
        <w:tc>
          <w:tcPr>
            <w:tcW w:w="1840" w:type="dxa"/>
            <w:vAlign w:val="bottom"/>
            <w:gridSpan w:val="3"/>
          </w:tcPr>
          <w:p>
            <w:pPr>
              <w:spacing w:after="0" w:line="20" w:lineRule="exact"/>
              <w:rPr>
                <w:sz w:val="1"/>
                <w:szCs w:val="1"/>
                <w:color w:val="auto"/>
              </w:rPr>
            </w:pPr>
          </w:p>
        </w:tc>
        <w:tc>
          <w:tcPr>
            <w:tcW w:w="1180" w:type="dxa"/>
            <w:vAlign w:val="bottom"/>
            <w:gridSpan w:val="2"/>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180" w:type="dxa"/>
            <w:vAlign w:val="bottom"/>
            <w:gridSpan w:val="3"/>
            <w:shd w:val="clear" w:color="auto" w:fill="0000EE"/>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r>
      <w:tr>
        <w:trPr>
          <w:trHeight w:val="412"/>
        </w:trPr>
        <w:tc>
          <w:tcPr>
            <w:tcW w:w="6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20" w:type="dxa"/>
            <w:vAlign w:val="bottom"/>
            <w:gridSpan w:val="5"/>
          </w:tcPr>
          <w:p>
            <w:pPr>
              <w:spacing w:after="0"/>
              <w:rPr>
                <w:rFonts w:ascii="Arial" w:cs="Arial" w:eastAsia="Arial" w:hAnsi="Arial"/>
                <w:sz w:val="18"/>
                <w:szCs w:val="18"/>
                <w:color w:val="0000EE"/>
              </w:rPr>
            </w:pPr>
            <w:hyperlink w:anchor="page29">
              <w:r>
                <w:rPr>
                  <w:rFonts w:ascii="Arial" w:cs="Arial" w:eastAsia="Arial" w:hAnsi="Arial"/>
                  <w:sz w:val="18"/>
                  <w:szCs w:val="18"/>
                  <w:color w:val="0000EE"/>
                </w:rPr>
                <w:t>Item 10.</w:t>
              </w:r>
            </w:hyperlink>
          </w:p>
        </w:tc>
        <w:tc>
          <w:tcPr>
            <w:tcW w:w="8460" w:type="dxa"/>
            <w:vAlign w:val="bottom"/>
            <w:gridSpan w:val="22"/>
          </w:tcPr>
          <w:p>
            <w:pPr>
              <w:spacing w:after="0"/>
              <w:rPr>
                <w:rFonts w:ascii="Arial" w:cs="Arial" w:eastAsia="Arial" w:hAnsi="Arial"/>
                <w:sz w:val="18"/>
                <w:szCs w:val="18"/>
                <w:color w:val="0000EE"/>
              </w:rPr>
            </w:pPr>
            <w:hyperlink w:anchor="page29">
              <w:r>
                <w:rPr>
                  <w:rFonts w:ascii="Arial" w:cs="Arial" w:eastAsia="Arial" w:hAnsi="Arial"/>
                  <w:sz w:val="18"/>
                  <w:szCs w:val="18"/>
                  <w:color w:val="0000EE"/>
                </w:rPr>
                <w:t>Directors, Executive Officers and Corporate Governance</w:t>
              </w:r>
            </w:hyperlink>
          </w:p>
        </w:tc>
        <w:tc>
          <w:tcPr>
            <w:tcW w:w="700" w:type="dxa"/>
            <w:vAlign w:val="bottom"/>
            <w:gridSpan w:val="4"/>
          </w:tcPr>
          <w:p>
            <w:pPr>
              <w:jc w:val="center"/>
              <w:ind w:left="430"/>
              <w:spacing w:after="0"/>
              <w:rPr>
                <w:rFonts w:ascii="Arial" w:cs="Arial" w:eastAsia="Arial" w:hAnsi="Arial"/>
                <w:sz w:val="18"/>
                <w:szCs w:val="18"/>
                <w:color w:val="0000EE"/>
                <w:w w:val="89"/>
              </w:rPr>
            </w:pPr>
            <w:hyperlink w:anchor="page29">
              <w:r>
                <w:rPr>
                  <w:rFonts w:ascii="Arial" w:cs="Arial" w:eastAsia="Arial" w:hAnsi="Arial"/>
                  <w:sz w:val="18"/>
                  <w:szCs w:val="18"/>
                  <w:color w:val="0000EE"/>
                  <w:w w:val="89"/>
                </w:rPr>
                <w:t>26</w:t>
              </w:r>
            </w:hyperlink>
          </w:p>
        </w:tc>
        <w:tc>
          <w:tcPr>
            <w:tcW w:w="500" w:type="dxa"/>
            <w:vAlign w:val="bottom"/>
          </w:tcPr>
          <w:p>
            <w:pPr>
              <w:spacing w:after="0"/>
              <w:rPr>
                <w:sz w:val="24"/>
                <w:szCs w:val="24"/>
                <w:color w:val="auto"/>
              </w:rPr>
            </w:pPr>
          </w:p>
        </w:tc>
      </w:tr>
      <w:tr>
        <w:trPr>
          <w:trHeight w:val="20"/>
        </w:trPr>
        <w:tc>
          <w:tcPr>
            <w:tcW w:w="6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0" w:type="dxa"/>
            <w:vAlign w:val="bottom"/>
            <w:gridSpan w:val="3"/>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780" w:type="dxa"/>
            <w:vAlign w:val="bottom"/>
            <w:tcBorders>
              <w:right w:val="single" w:sz="8" w:color="0000EE"/>
            </w:tcBorders>
            <w:gridSpan w:val="3"/>
            <w:shd w:val="clear" w:color="auto" w:fill="0000EE"/>
          </w:tcPr>
          <w:p>
            <w:pPr>
              <w:spacing w:after="0" w:line="20" w:lineRule="exact"/>
              <w:rPr>
                <w:sz w:val="1"/>
                <w:szCs w:val="1"/>
                <w:color w:val="auto"/>
              </w:rPr>
            </w:pPr>
          </w:p>
        </w:tc>
        <w:tc>
          <w:tcPr>
            <w:tcW w:w="200" w:type="dxa"/>
            <w:vAlign w:val="bottom"/>
            <w:gridSpan w:val="2"/>
            <w:shd w:val="clear" w:color="auto" w:fill="0000EE"/>
          </w:tcPr>
          <w:p>
            <w:pPr>
              <w:spacing w:after="0" w:line="20" w:lineRule="exact"/>
              <w:rPr>
                <w:sz w:val="1"/>
                <w:szCs w:val="1"/>
                <w:color w:val="auto"/>
              </w:rPr>
            </w:pPr>
          </w:p>
        </w:tc>
        <w:tc>
          <w:tcPr>
            <w:tcW w:w="540" w:type="dxa"/>
            <w:vAlign w:val="bottom"/>
            <w:gridSpan w:val="2"/>
            <w:shd w:val="clear" w:color="auto" w:fill="0000EE"/>
          </w:tcPr>
          <w:p>
            <w:pPr>
              <w:spacing w:after="0" w:line="20" w:lineRule="exact"/>
              <w:rPr>
                <w:sz w:val="1"/>
                <w:szCs w:val="1"/>
                <w:color w:val="auto"/>
              </w:rPr>
            </w:pPr>
          </w:p>
        </w:tc>
        <w:tc>
          <w:tcPr>
            <w:tcW w:w="280" w:type="dxa"/>
            <w:vAlign w:val="bottom"/>
            <w:gridSpan w:val="2"/>
            <w:shd w:val="clear" w:color="auto" w:fill="0000EE"/>
          </w:tcPr>
          <w:p>
            <w:pPr>
              <w:spacing w:after="0" w:line="20" w:lineRule="exact"/>
              <w:rPr>
                <w:sz w:val="1"/>
                <w:szCs w:val="1"/>
                <w:color w:val="auto"/>
              </w:rPr>
            </w:pPr>
          </w:p>
        </w:tc>
        <w:tc>
          <w:tcPr>
            <w:tcW w:w="1060" w:type="dxa"/>
            <w:vAlign w:val="bottom"/>
            <w:gridSpan w:val="2"/>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1180" w:type="dxa"/>
            <w:vAlign w:val="bottom"/>
            <w:gridSpan w:val="2"/>
            <w:shd w:val="clear" w:color="auto" w:fill="0000EE"/>
          </w:tcPr>
          <w:p>
            <w:pPr>
              <w:spacing w:after="0" w:line="20" w:lineRule="exact"/>
              <w:rPr>
                <w:sz w:val="1"/>
                <w:szCs w:val="1"/>
                <w:color w:val="auto"/>
              </w:rPr>
            </w:pPr>
          </w:p>
        </w:tc>
        <w:tc>
          <w:tcPr>
            <w:tcW w:w="1360" w:type="dxa"/>
            <w:vAlign w:val="bottom"/>
            <w:gridSpan w:val="3"/>
          </w:tcPr>
          <w:p>
            <w:pPr>
              <w:spacing w:after="0" w:line="20" w:lineRule="exact"/>
              <w:rPr>
                <w:sz w:val="1"/>
                <w:szCs w:val="1"/>
                <w:color w:val="auto"/>
              </w:rPr>
            </w:pPr>
          </w:p>
        </w:tc>
        <w:tc>
          <w:tcPr>
            <w:tcW w:w="1840" w:type="dxa"/>
            <w:vAlign w:val="bottom"/>
            <w:gridSpan w:val="3"/>
          </w:tcPr>
          <w:p>
            <w:pPr>
              <w:spacing w:after="0" w:line="20" w:lineRule="exact"/>
              <w:rPr>
                <w:sz w:val="1"/>
                <w:szCs w:val="1"/>
                <w:color w:val="auto"/>
              </w:rPr>
            </w:pPr>
          </w:p>
        </w:tc>
        <w:tc>
          <w:tcPr>
            <w:tcW w:w="1180" w:type="dxa"/>
            <w:vAlign w:val="bottom"/>
            <w:gridSpan w:val="2"/>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180" w:type="dxa"/>
            <w:vAlign w:val="bottom"/>
            <w:gridSpan w:val="3"/>
            <w:shd w:val="clear" w:color="auto" w:fill="0000EE"/>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r>
      <w:tr>
        <w:trPr>
          <w:trHeight w:val="412"/>
        </w:trPr>
        <w:tc>
          <w:tcPr>
            <w:tcW w:w="6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00" w:type="dxa"/>
            <w:vAlign w:val="bottom"/>
            <w:gridSpan w:val="3"/>
          </w:tcPr>
          <w:p>
            <w:pPr>
              <w:spacing w:after="0"/>
              <w:rPr>
                <w:rFonts w:ascii="Arial" w:cs="Arial" w:eastAsia="Arial" w:hAnsi="Arial"/>
                <w:sz w:val="18"/>
                <w:szCs w:val="18"/>
                <w:color w:val="0000EE"/>
                <w:w w:val="89"/>
              </w:rPr>
            </w:pPr>
            <w:hyperlink w:anchor="page29">
              <w:r>
                <w:rPr>
                  <w:rFonts w:ascii="Arial" w:cs="Arial" w:eastAsia="Arial" w:hAnsi="Arial"/>
                  <w:sz w:val="18"/>
                  <w:szCs w:val="18"/>
                  <w:color w:val="0000EE"/>
                  <w:w w:val="89"/>
                </w:rPr>
                <w:t>Item 11.</w:t>
              </w:r>
            </w:hyperlink>
          </w:p>
        </w:tc>
        <w:tc>
          <w:tcPr>
            <w:tcW w:w="220" w:type="dxa"/>
            <w:vAlign w:val="bottom"/>
            <w:gridSpan w:val="2"/>
          </w:tcPr>
          <w:p>
            <w:pPr>
              <w:spacing w:after="0"/>
              <w:rPr>
                <w:sz w:val="24"/>
                <w:szCs w:val="24"/>
                <w:color w:val="auto"/>
              </w:rPr>
            </w:pPr>
          </w:p>
        </w:tc>
        <w:tc>
          <w:tcPr>
            <w:tcW w:w="1800" w:type="dxa"/>
            <w:vAlign w:val="bottom"/>
            <w:gridSpan w:val="9"/>
          </w:tcPr>
          <w:p>
            <w:pPr>
              <w:spacing w:after="0"/>
              <w:rPr>
                <w:rFonts w:ascii="Arial" w:cs="Arial" w:eastAsia="Arial" w:hAnsi="Arial"/>
                <w:sz w:val="18"/>
                <w:szCs w:val="18"/>
                <w:color w:val="0000EE"/>
                <w:w w:val="89"/>
              </w:rPr>
            </w:pPr>
            <w:hyperlink w:anchor="page29">
              <w:r>
                <w:rPr>
                  <w:rFonts w:ascii="Arial" w:cs="Arial" w:eastAsia="Arial" w:hAnsi="Arial"/>
                  <w:sz w:val="18"/>
                  <w:szCs w:val="18"/>
                  <w:color w:val="0000EE"/>
                  <w:w w:val="89"/>
                </w:rPr>
                <w:t>Executive Compensation</w:t>
              </w:r>
            </w:hyperlink>
          </w:p>
        </w:tc>
        <w:tc>
          <w:tcPr>
            <w:tcW w:w="2280" w:type="dxa"/>
            <w:vAlign w:val="bottom"/>
            <w:gridSpan w:val="5"/>
          </w:tcPr>
          <w:p>
            <w:pPr>
              <w:spacing w:after="0"/>
              <w:rPr>
                <w:sz w:val="24"/>
                <w:szCs w:val="24"/>
                <w:color w:val="auto"/>
              </w:rPr>
            </w:pPr>
          </w:p>
        </w:tc>
        <w:tc>
          <w:tcPr>
            <w:tcW w:w="4380" w:type="dxa"/>
            <w:vAlign w:val="bottom"/>
            <w:gridSpan w:val="8"/>
          </w:tcPr>
          <w:p>
            <w:pPr>
              <w:spacing w:after="0"/>
              <w:rPr>
                <w:sz w:val="24"/>
                <w:szCs w:val="24"/>
                <w:color w:val="auto"/>
              </w:rPr>
            </w:pPr>
          </w:p>
        </w:tc>
        <w:tc>
          <w:tcPr>
            <w:tcW w:w="700" w:type="dxa"/>
            <w:vAlign w:val="bottom"/>
            <w:gridSpan w:val="4"/>
          </w:tcPr>
          <w:p>
            <w:pPr>
              <w:jc w:val="center"/>
              <w:ind w:left="430"/>
              <w:spacing w:after="0"/>
              <w:rPr>
                <w:rFonts w:ascii="Arial" w:cs="Arial" w:eastAsia="Arial" w:hAnsi="Arial"/>
                <w:sz w:val="18"/>
                <w:szCs w:val="18"/>
                <w:color w:val="0000EE"/>
                <w:w w:val="89"/>
              </w:rPr>
            </w:pPr>
            <w:hyperlink w:anchor="page29">
              <w:r>
                <w:rPr>
                  <w:rFonts w:ascii="Arial" w:cs="Arial" w:eastAsia="Arial" w:hAnsi="Arial"/>
                  <w:sz w:val="18"/>
                  <w:szCs w:val="18"/>
                  <w:color w:val="0000EE"/>
                  <w:w w:val="89"/>
                </w:rPr>
                <w:t>26</w:t>
              </w:r>
            </w:hyperlink>
          </w:p>
        </w:tc>
        <w:tc>
          <w:tcPr>
            <w:tcW w:w="500" w:type="dxa"/>
            <w:vAlign w:val="bottom"/>
          </w:tcPr>
          <w:p>
            <w:pPr>
              <w:spacing w:after="0"/>
              <w:rPr>
                <w:sz w:val="24"/>
                <w:szCs w:val="24"/>
                <w:color w:val="auto"/>
              </w:rPr>
            </w:pPr>
          </w:p>
        </w:tc>
      </w:tr>
      <w:tr>
        <w:trPr>
          <w:trHeight w:val="20"/>
        </w:trPr>
        <w:tc>
          <w:tcPr>
            <w:tcW w:w="6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0" w:type="dxa"/>
            <w:vAlign w:val="bottom"/>
            <w:gridSpan w:val="3"/>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780" w:type="dxa"/>
            <w:vAlign w:val="bottom"/>
            <w:tcBorders>
              <w:right w:val="single" w:sz="8" w:color="0000EE"/>
            </w:tcBorders>
            <w:gridSpan w:val="3"/>
            <w:shd w:val="clear" w:color="auto" w:fill="0000EE"/>
          </w:tcPr>
          <w:p>
            <w:pPr>
              <w:spacing w:after="0" w:line="20" w:lineRule="exact"/>
              <w:rPr>
                <w:sz w:val="1"/>
                <w:szCs w:val="1"/>
                <w:color w:val="auto"/>
              </w:rPr>
            </w:pPr>
          </w:p>
        </w:tc>
        <w:tc>
          <w:tcPr>
            <w:tcW w:w="200" w:type="dxa"/>
            <w:vAlign w:val="bottom"/>
            <w:gridSpan w:val="2"/>
            <w:shd w:val="clear" w:color="auto" w:fill="0000EE"/>
          </w:tcPr>
          <w:p>
            <w:pPr>
              <w:spacing w:after="0" w:line="20" w:lineRule="exact"/>
              <w:rPr>
                <w:sz w:val="1"/>
                <w:szCs w:val="1"/>
                <w:color w:val="auto"/>
              </w:rPr>
            </w:pPr>
          </w:p>
        </w:tc>
        <w:tc>
          <w:tcPr>
            <w:tcW w:w="540" w:type="dxa"/>
            <w:vAlign w:val="bottom"/>
            <w:gridSpan w:val="2"/>
            <w:shd w:val="clear" w:color="auto" w:fill="0000EE"/>
          </w:tcPr>
          <w:p>
            <w:pPr>
              <w:spacing w:after="0" w:line="20" w:lineRule="exact"/>
              <w:rPr>
                <w:sz w:val="1"/>
                <w:szCs w:val="1"/>
                <w:color w:val="auto"/>
              </w:rPr>
            </w:pPr>
          </w:p>
        </w:tc>
        <w:tc>
          <w:tcPr>
            <w:tcW w:w="280" w:type="dxa"/>
            <w:vAlign w:val="bottom"/>
            <w:gridSpan w:val="2"/>
            <w:shd w:val="clear" w:color="auto" w:fill="0000EE"/>
          </w:tcPr>
          <w:p>
            <w:pPr>
              <w:spacing w:after="0" w:line="20" w:lineRule="exact"/>
              <w:rPr>
                <w:sz w:val="1"/>
                <w:szCs w:val="1"/>
                <w:color w:val="auto"/>
              </w:rPr>
            </w:pPr>
          </w:p>
        </w:tc>
        <w:tc>
          <w:tcPr>
            <w:tcW w:w="106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540" w:type="dxa"/>
            <w:vAlign w:val="bottom"/>
            <w:gridSpan w:val="5"/>
          </w:tcPr>
          <w:p>
            <w:pPr>
              <w:spacing w:after="0" w:line="20" w:lineRule="exact"/>
              <w:rPr>
                <w:sz w:val="1"/>
                <w:szCs w:val="1"/>
                <w:color w:val="auto"/>
              </w:rPr>
            </w:pPr>
          </w:p>
        </w:tc>
        <w:tc>
          <w:tcPr>
            <w:tcW w:w="1840" w:type="dxa"/>
            <w:vAlign w:val="bottom"/>
            <w:gridSpan w:val="3"/>
          </w:tcPr>
          <w:p>
            <w:pPr>
              <w:spacing w:after="0" w:line="20" w:lineRule="exact"/>
              <w:rPr>
                <w:sz w:val="1"/>
                <w:szCs w:val="1"/>
                <w:color w:val="auto"/>
              </w:rPr>
            </w:pPr>
          </w:p>
        </w:tc>
        <w:tc>
          <w:tcPr>
            <w:tcW w:w="1180" w:type="dxa"/>
            <w:vAlign w:val="bottom"/>
            <w:gridSpan w:val="2"/>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180" w:type="dxa"/>
            <w:vAlign w:val="bottom"/>
            <w:gridSpan w:val="3"/>
            <w:shd w:val="clear" w:color="auto" w:fill="0000EE"/>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r>
      <w:tr>
        <w:trPr>
          <w:trHeight w:val="412"/>
        </w:trPr>
        <w:tc>
          <w:tcPr>
            <w:tcW w:w="6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20" w:type="dxa"/>
            <w:vAlign w:val="bottom"/>
            <w:gridSpan w:val="4"/>
          </w:tcPr>
          <w:p>
            <w:pPr>
              <w:spacing w:after="0"/>
              <w:rPr>
                <w:rFonts w:ascii="Arial" w:cs="Arial" w:eastAsia="Arial" w:hAnsi="Arial"/>
                <w:sz w:val="18"/>
                <w:szCs w:val="18"/>
                <w:color w:val="0000EE"/>
                <w:w w:val="89"/>
              </w:rPr>
            </w:pPr>
            <w:hyperlink w:anchor="page29">
              <w:r>
                <w:rPr>
                  <w:rFonts w:ascii="Arial" w:cs="Arial" w:eastAsia="Arial" w:hAnsi="Arial"/>
                  <w:sz w:val="18"/>
                  <w:szCs w:val="18"/>
                  <w:color w:val="0000EE"/>
                  <w:w w:val="89"/>
                </w:rPr>
                <w:t>Item 12.</w:t>
              </w:r>
            </w:hyperlink>
          </w:p>
        </w:tc>
        <w:tc>
          <w:tcPr>
            <w:tcW w:w="200" w:type="dxa"/>
            <w:vAlign w:val="bottom"/>
          </w:tcPr>
          <w:p>
            <w:pPr>
              <w:spacing w:after="0"/>
              <w:rPr>
                <w:sz w:val="24"/>
                <w:szCs w:val="24"/>
                <w:color w:val="auto"/>
              </w:rPr>
            </w:pPr>
          </w:p>
        </w:tc>
        <w:tc>
          <w:tcPr>
            <w:tcW w:w="8460" w:type="dxa"/>
            <w:vAlign w:val="bottom"/>
            <w:gridSpan w:val="22"/>
          </w:tcPr>
          <w:p>
            <w:pPr>
              <w:spacing w:after="0"/>
              <w:rPr>
                <w:rFonts w:ascii="Arial" w:cs="Arial" w:eastAsia="Arial" w:hAnsi="Arial"/>
                <w:sz w:val="18"/>
                <w:szCs w:val="18"/>
                <w:color w:val="0000EE"/>
              </w:rPr>
            </w:pPr>
            <w:hyperlink w:anchor="page29">
              <w:r>
                <w:rPr>
                  <w:rFonts w:ascii="Arial" w:cs="Arial" w:eastAsia="Arial" w:hAnsi="Arial"/>
                  <w:sz w:val="18"/>
                  <w:szCs w:val="18"/>
                  <w:color w:val="0000EE"/>
                </w:rPr>
                <w:t>Security Ownership of Certain Beneficial Owners and Management and Related Stockholder Matters</w:t>
              </w:r>
            </w:hyperlink>
          </w:p>
        </w:tc>
        <w:tc>
          <w:tcPr>
            <w:tcW w:w="700" w:type="dxa"/>
            <w:vAlign w:val="bottom"/>
            <w:gridSpan w:val="4"/>
          </w:tcPr>
          <w:p>
            <w:pPr>
              <w:jc w:val="center"/>
              <w:ind w:left="430"/>
              <w:spacing w:after="0"/>
              <w:rPr>
                <w:rFonts w:ascii="Arial" w:cs="Arial" w:eastAsia="Arial" w:hAnsi="Arial"/>
                <w:sz w:val="18"/>
                <w:szCs w:val="18"/>
                <w:color w:val="0000EE"/>
                <w:w w:val="89"/>
              </w:rPr>
            </w:pPr>
            <w:hyperlink w:anchor="page29">
              <w:r>
                <w:rPr>
                  <w:rFonts w:ascii="Arial" w:cs="Arial" w:eastAsia="Arial" w:hAnsi="Arial"/>
                  <w:sz w:val="18"/>
                  <w:szCs w:val="18"/>
                  <w:color w:val="0000EE"/>
                  <w:w w:val="89"/>
                </w:rPr>
                <w:t>26</w:t>
              </w:r>
            </w:hyperlink>
          </w:p>
        </w:tc>
        <w:tc>
          <w:tcPr>
            <w:tcW w:w="500" w:type="dxa"/>
            <w:vAlign w:val="bottom"/>
          </w:tcPr>
          <w:p>
            <w:pPr>
              <w:spacing w:after="0"/>
              <w:rPr>
                <w:sz w:val="24"/>
                <w:szCs w:val="24"/>
                <w:color w:val="auto"/>
              </w:rPr>
            </w:pPr>
          </w:p>
        </w:tc>
      </w:tr>
      <w:tr>
        <w:trPr>
          <w:trHeight w:val="20"/>
        </w:trPr>
        <w:tc>
          <w:tcPr>
            <w:tcW w:w="6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20" w:type="dxa"/>
            <w:vAlign w:val="bottom"/>
            <w:gridSpan w:val="4"/>
            <w:shd w:val="clear" w:color="auto" w:fill="0000EE"/>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780" w:type="dxa"/>
            <w:vAlign w:val="bottom"/>
            <w:tcBorders>
              <w:right w:val="single" w:sz="8" w:color="0000EE"/>
            </w:tcBorders>
            <w:gridSpan w:val="3"/>
            <w:shd w:val="clear" w:color="auto" w:fill="0000EE"/>
          </w:tcPr>
          <w:p>
            <w:pPr>
              <w:spacing w:after="0" w:line="20" w:lineRule="exact"/>
              <w:rPr>
                <w:sz w:val="1"/>
                <w:szCs w:val="1"/>
                <w:color w:val="auto"/>
              </w:rPr>
            </w:pPr>
          </w:p>
        </w:tc>
        <w:tc>
          <w:tcPr>
            <w:tcW w:w="200" w:type="dxa"/>
            <w:vAlign w:val="bottom"/>
            <w:gridSpan w:val="2"/>
            <w:shd w:val="clear" w:color="auto" w:fill="0000EE"/>
          </w:tcPr>
          <w:p>
            <w:pPr>
              <w:spacing w:after="0" w:line="20" w:lineRule="exact"/>
              <w:rPr>
                <w:sz w:val="1"/>
                <w:szCs w:val="1"/>
                <w:color w:val="auto"/>
              </w:rPr>
            </w:pPr>
          </w:p>
        </w:tc>
        <w:tc>
          <w:tcPr>
            <w:tcW w:w="540" w:type="dxa"/>
            <w:vAlign w:val="bottom"/>
            <w:gridSpan w:val="2"/>
            <w:shd w:val="clear" w:color="auto" w:fill="0000EE"/>
          </w:tcPr>
          <w:p>
            <w:pPr>
              <w:spacing w:after="0" w:line="20" w:lineRule="exact"/>
              <w:rPr>
                <w:sz w:val="1"/>
                <w:szCs w:val="1"/>
                <w:color w:val="auto"/>
              </w:rPr>
            </w:pPr>
          </w:p>
        </w:tc>
        <w:tc>
          <w:tcPr>
            <w:tcW w:w="1340" w:type="dxa"/>
            <w:vAlign w:val="bottom"/>
            <w:gridSpan w:val="4"/>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2540" w:type="dxa"/>
            <w:vAlign w:val="bottom"/>
            <w:gridSpan w:val="5"/>
            <w:shd w:val="clear" w:color="auto" w:fill="0000EE"/>
          </w:tcPr>
          <w:p>
            <w:pPr>
              <w:spacing w:after="0" w:line="20" w:lineRule="exact"/>
              <w:rPr>
                <w:sz w:val="1"/>
                <w:szCs w:val="1"/>
                <w:color w:val="auto"/>
              </w:rPr>
            </w:pPr>
          </w:p>
        </w:tc>
        <w:tc>
          <w:tcPr>
            <w:tcW w:w="1840" w:type="dxa"/>
            <w:vAlign w:val="bottom"/>
            <w:gridSpan w:val="3"/>
            <w:shd w:val="clear" w:color="auto" w:fill="0000EE"/>
          </w:tcPr>
          <w:p>
            <w:pPr>
              <w:spacing w:after="0" w:line="20" w:lineRule="exact"/>
              <w:rPr>
                <w:sz w:val="1"/>
                <w:szCs w:val="1"/>
                <w:color w:val="auto"/>
              </w:rPr>
            </w:pPr>
          </w:p>
        </w:tc>
        <w:tc>
          <w:tcPr>
            <w:tcW w:w="1180" w:type="dxa"/>
            <w:vAlign w:val="bottom"/>
            <w:gridSpan w:val="2"/>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180" w:type="dxa"/>
            <w:vAlign w:val="bottom"/>
            <w:gridSpan w:val="3"/>
            <w:shd w:val="clear" w:color="auto" w:fill="0000EE"/>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r>
      <w:tr>
        <w:trPr>
          <w:trHeight w:val="412"/>
        </w:trPr>
        <w:tc>
          <w:tcPr>
            <w:tcW w:w="6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20" w:type="dxa"/>
            <w:vAlign w:val="bottom"/>
            <w:gridSpan w:val="4"/>
          </w:tcPr>
          <w:p>
            <w:pPr>
              <w:spacing w:after="0"/>
              <w:rPr>
                <w:rFonts w:ascii="Arial" w:cs="Arial" w:eastAsia="Arial" w:hAnsi="Arial"/>
                <w:sz w:val="18"/>
                <w:szCs w:val="18"/>
                <w:color w:val="0000EE"/>
                <w:w w:val="89"/>
              </w:rPr>
            </w:pPr>
            <w:hyperlink w:anchor="page29">
              <w:r>
                <w:rPr>
                  <w:rFonts w:ascii="Arial" w:cs="Arial" w:eastAsia="Arial" w:hAnsi="Arial"/>
                  <w:sz w:val="18"/>
                  <w:szCs w:val="18"/>
                  <w:color w:val="0000EE"/>
                  <w:w w:val="89"/>
                </w:rPr>
                <w:t>Item 13.</w:t>
              </w:r>
            </w:hyperlink>
          </w:p>
        </w:tc>
        <w:tc>
          <w:tcPr>
            <w:tcW w:w="200" w:type="dxa"/>
            <w:vAlign w:val="bottom"/>
          </w:tcPr>
          <w:p>
            <w:pPr>
              <w:spacing w:after="0"/>
              <w:rPr>
                <w:sz w:val="24"/>
                <w:szCs w:val="24"/>
                <w:color w:val="auto"/>
              </w:rPr>
            </w:pPr>
          </w:p>
        </w:tc>
        <w:tc>
          <w:tcPr>
            <w:tcW w:w="7280" w:type="dxa"/>
            <w:vAlign w:val="bottom"/>
            <w:gridSpan w:val="20"/>
          </w:tcPr>
          <w:p>
            <w:pPr>
              <w:spacing w:after="0"/>
              <w:rPr>
                <w:rFonts w:ascii="Arial" w:cs="Arial" w:eastAsia="Arial" w:hAnsi="Arial"/>
                <w:sz w:val="18"/>
                <w:szCs w:val="18"/>
                <w:color w:val="0000EE"/>
              </w:rPr>
            </w:pPr>
            <w:hyperlink w:anchor="page29">
              <w:r>
                <w:rPr>
                  <w:rFonts w:ascii="Arial" w:cs="Arial" w:eastAsia="Arial" w:hAnsi="Arial"/>
                  <w:sz w:val="18"/>
                  <w:szCs w:val="18"/>
                  <w:color w:val="0000EE"/>
                </w:rPr>
                <w:t>Certain Relationships and Related Transactions, and Director Independence</w:t>
              </w:r>
            </w:hyperlink>
          </w:p>
        </w:tc>
        <w:tc>
          <w:tcPr>
            <w:tcW w:w="1180" w:type="dxa"/>
            <w:vAlign w:val="bottom"/>
            <w:gridSpan w:val="2"/>
          </w:tcPr>
          <w:p>
            <w:pPr>
              <w:spacing w:after="0"/>
              <w:rPr>
                <w:sz w:val="24"/>
                <w:szCs w:val="24"/>
                <w:color w:val="auto"/>
              </w:rPr>
            </w:pPr>
          </w:p>
        </w:tc>
        <w:tc>
          <w:tcPr>
            <w:tcW w:w="700" w:type="dxa"/>
            <w:vAlign w:val="bottom"/>
            <w:gridSpan w:val="4"/>
          </w:tcPr>
          <w:p>
            <w:pPr>
              <w:jc w:val="center"/>
              <w:ind w:left="430"/>
              <w:spacing w:after="0"/>
              <w:rPr>
                <w:rFonts w:ascii="Arial" w:cs="Arial" w:eastAsia="Arial" w:hAnsi="Arial"/>
                <w:sz w:val="18"/>
                <w:szCs w:val="18"/>
                <w:color w:val="0000EE"/>
                <w:w w:val="89"/>
              </w:rPr>
            </w:pPr>
            <w:hyperlink w:anchor="page29">
              <w:r>
                <w:rPr>
                  <w:rFonts w:ascii="Arial" w:cs="Arial" w:eastAsia="Arial" w:hAnsi="Arial"/>
                  <w:sz w:val="18"/>
                  <w:szCs w:val="18"/>
                  <w:color w:val="0000EE"/>
                  <w:w w:val="89"/>
                </w:rPr>
                <w:t>26</w:t>
              </w:r>
            </w:hyperlink>
          </w:p>
        </w:tc>
        <w:tc>
          <w:tcPr>
            <w:tcW w:w="500" w:type="dxa"/>
            <w:vAlign w:val="bottom"/>
          </w:tcPr>
          <w:p>
            <w:pPr>
              <w:spacing w:after="0"/>
              <w:rPr>
                <w:sz w:val="24"/>
                <w:szCs w:val="24"/>
                <w:color w:val="auto"/>
              </w:rPr>
            </w:pPr>
          </w:p>
        </w:tc>
      </w:tr>
      <w:tr>
        <w:trPr>
          <w:trHeight w:val="20"/>
        </w:trPr>
        <w:tc>
          <w:tcPr>
            <w:tcW w:w="6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20" w:type="dxa"/>
            <w:vAlign w:val="bottom"/>
            <w:gridSpan w:val="4"/>
            <w:shd w:val="clear" w:color="auto" w:fill="0000EE"/>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780" w:type="dxa"/>
            <w:vAlign w:val="bottom"/>
            <w:tcBorders>
              <w:right w:val="single" w:sz="8" w:color="0000EE"/>
            </w:tcBorders>
            <w:gridSpan w:val="3"/>
            <w:shd w:val="clear" w:color="auto" w:fill="0000EE"/>
          </w:tcPr>
          <w:p>
            <w:pPr>
              <w:spacing w:after="0" w:line="20" w:lineRule="exact"/>
              <w:rPr>
                <w:sz w:val="1"/>
                <w:szCs w:val="1"/>
                <w:color w:val="auto"/>
              </w:rPr>
            </w:pPr>
          </w:p>
        </w:tc>
        <w:tc>
          <w:tcPr>
            <w:tcW w:w="200" w:type="dxa"/>
            <w:vAlign w:val="bottom"/>
            <w:gridSpan w:val="2"/>
            <w:shd w:val="clear" w:color="auto" w:fill="0000EE"/>
          </w:tcPr>
          <w:p>
            <w:pPr>
              <w:spacing w:after="0" w:line="20" w:lineRule="exact"/>
              <w:rPr>
                <w:sz w:val="1"/>
                <w:szCs w:val="1"/>
                <w:color w:val="auto"/>
              </w:rPr>
            </w:pPr>
          </w:p>
        </w:tc>
        <w:tc>
          <w:tcPr>
            <w:tcW w:w="540" w:type="dxa"/>
            <w:vAlign w:val="bottom"/>
            <w:gridSpan w:val="2"/>
            <w:shd w:val="clear" w:color="auto" w:fill="0000EE"/>
          </w:tcPr>
          <w:p>
            <w:pPr>
              <w:spacing w:after="0" w:line="20" w:lineRule="exact"/>
              <w:rPr>
                <w:sz w:val="1"/>
                <w:szCs w:val="1"/>
                <w:color w:val="auto"/>
              </w:rPr>
            </w:pPr>
          </w:p>
        </w:tc>
        <w:tc>
          <w:tcPr>
            <w:tcW w:w="1340" w:type="dxa"/>
            <w:vAlign w:val="bottom"/>
            <w:gridSpan w:val="4"/>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2540" w:type="dxa"/>
            <w:vAlign w:val="bottom"/>
            <w:gridSpan w:val="5"/>
            <w:shd w:val="clear" w:color="auto" w:fill="0000EE"/>
          </w:tcPr>
          <w:p>
            <w:pPr>
              <w:spacing w:after="0" w:line="20" w:lineRule="exact"/>
              <w:rPr>
                <w:sz w:val="1"/>
                <w:szCs w:val="1"/>
                <w:color w:val="auto"/>
              </w:rPr>
            </w:pPr>
          </w:p>
        </w:tc>
        <w:tc>
          <w:tcPr>
            <w:tcW w:w="3020" w:type="dxa"/>
            <w:vAlign w:val="bottom"/>
            <w:gridSpan w:val="5"/>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180" w:type="dxa"/>
            <w:vAlign w:val="bottom"/>
            <w:gridSpan w:val="3"/>
            <w:shd w:val="clear" w:color="auto" w:fill="0000EE"/>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r>
      <w:tr>
        <w:trPr>
          <w:trHeight w:val="412"/>
        </w:trPr>
        <w:tc>
          <w:tcPr>
            <w:tcW w:w="6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20" w:type="dxa"/>
            <w:vAlign w:val="bottom"/>
            <w:gridSpan w:val="4"/>
          </w:tcPr>
          <w:p>
            <w:pPr>
              <w:spacing w:after="0"/>
              <w:rPr>
                <w:rFonts w:ascii="Arial" w:cs="Arial" w:eastAsia="Arial" w:hAnsi="Arial"/>
                <w:sz w:val="18"/>
                <w:szCs w:val="18"/>
                <w:color w:val="0000EE"/>
                <w:w w:val="89"/>
              </w:rPr>
            </w:pPr>
            <w:hyperlink w:anchor="page29">
              <w:r>
                <w:rPr>
                  <w:rFonts w:ascii="Arial" w:cs="Arial" w:eastAsia="Arial" w:hAnsi="Arial"/>
                  <w:sz w:val="18"/>
                  <w:szCs w:val="18"/>
                  <w:color w:val="0000EE"/>
                  <w:w w:val="89"/>
                </w:rPr>
                <w:t>Item 14.</w:t>
              </w:r>
            </w:hyperlink>
          </w:p>
        </w:tc>
        <w:tc>
          <w:tcPr>
            <w:tcW w:w="200" w:type="dxa"/>
            <w:vAlign w:val="bottom"/>
          </w:tcPr>
          <w:p>
            <w:pPr>
              <w:spacing w:after="0"/>
              <w:rPr>
                <w:sz w:val="24"/>
                <w:szCs w:val="24"/>
                <w:color w:val="auto"/>
              </w:rPr>
            </w:pPr>
          </w:p>
        </w:tc>
        <w:tc>
          <w:tcPr>
            <w:tcW w:w="5440" w:type="dxa"/>
            <w:vAlign w:val="bottom"/>
            <w:gridSpan w:val="17"/>
          </w:tcPr>
          <w:p>
            <w:pPr>
              <w:spacing w:after="0"/>
              <w:rPr>
                <w:rFonts w:ascii="Arial" w:cs="Arial" w:eastAsia="Arial" w:hAnsi="Arial"/>
                <w:sz w:val="18"/>
                <w:szCs w:val="18"/>
                <w:color w:val="0000EE"/>
              </w:rPr>
            </w:pPr>
            <w:hyperlink w:anchor="page29">
              <w:r>
                <w:rPr>
                  <w:rFonts w:ascii="Arial" w:cs="Arial" w:eastAsia="Arial" w:hAnsi="Arial"/>
                  <w:sz w:val="18"/>
                  <w:szCs w:val="18"/>
                  <w:color w:val="0000EE"/>
                </w:rPr>
                <w:t>Principal Accounting Fees and Services</w:t>
              </w:r>
            </w:hyperlink>
          </w:p>
        </w:tc>
        <w:tc>
          <w:tcPr>
            <w:tcW w:w="3020" w:type="dxa"/>
            <w:vAlign w:val="bottom"/>
            <w:gridSpan w:val="5"/>
          </w:tcPr>
          <w:p>
            <w:pPr>
              <w:spacing w:after="0"/>
              <w:rPr>
                <w:sz w:val="24"/>
                <w:szCs w:val="24"/>
                <w:color w:val="auto"/>
              </w:rPr>
            </w:pPr>
          </w:p>
        </w:tc>
        <w:tc>
          <w:tcPr>
            <w:tcW w:w="700" w:type="dxa"/>
            <w:vAlign w:val="bottom"/>
            <w:gridSpan w:val="4"/>
          </w:tcPr>
          <w:p>
            <w:pPr>
              <w:jc w:val="center"/>
              <w:ind w:left="430"/>
              <w:spacing w:after="0"/>
              <w:rPr>
                <w:rFonts w:ascii="Arial" w:cs="Arial" w:eastAsia="Arial" w:hAnsi="Arial"/>
                <w:sz w:val="18"/>
                <w:szCs w:val="18"/>
                <w:color w:val="0000EE"/>
                <w:w w:val="89"/>
              </w:rPr>
            </w:pPr>
            <w:hyperlink w:anchor="page29">
              <w:r>
                <w:rPr>
                  <w:rFonts w:ascii="Arial" w:cs="Arial" w:eastAsia="Arial" w:hAnsi="Arial"/>
                  <w:sz w:val="18"/>
                  <w:szCs w:val="18"/>
                  <w:color w:val="0000EE"/>
                  <w:w w:val="89"/>
                </w:rPr>
                <w:t>26</w:t>
              </w:r>
            </w:hyperlink>
          </w:p>
        </w:tc>
        <w:tc>
          <w:tcPr>
            <w:tcW w:w="500" w:type="dxa"/>
            <w:vAlign w:val="bottom"/>
          </w:tcPr>
          <w:p>
            <w:pPr>
              <w:spacing w:after="0"/>
              <w:rPr>
                <w:sz w:val="24"/>
                <w:szCs w:val="24"/>
                <w:color w:val="auto"/>
              </w:rPr>
            </w:pPr>
          </w:p>
        </w:tc>
      </w:tr>
      <w:tr>
        <w:trPr>
          <w:trHeight w:val="20"/>
        </w:trPr>
        <w:tc>
          <w:tcPr>
            <w:tcW w:w="680" w:type="dxa"/>
            <w:vAlign w:val="bottom"/>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0" w:type="dxa"/>
            <w:vAlign w:val="bottom"/>
            <w:gridSpan w:val="3"/>
            <w:shd w:val="clear" w:color="auto" w:fill="0000EE"/>
          </w:tcPr>
          <w:p>
            <w:pPr>
              <w:spacing w:after="0" w:line="20" w:lineRule="exact"/>
              <w:rPr>
                <w:sz w:val="1"/>
                <w:szCs w:val="1"/>
                <w:color w:val="auto"/>
              </w:rPr>
            </w:pPr>
          </w:p>
        </w:tc>
        <w:tc>
          <w:tcPr>
            <w:tcW w:w="220" w:type="dxa"/>
            <w:vAlign w:val="bottom"/>
            <w:gridSpan w:val="2"/>
          </w:tcPr>
          <w:p>
            <w:pPr>
              <w:spacing w:after="0" w:line="20" w:lineRule="exact"/>
              <w:rPr>
                <w:sz w:val="1"/>
                <w:szCs w:val="1"/>
                <w:color w:val="auto"/>
              </w:rPr>
            </w:pPr>
          </w:p>
        </w:tc>
        <w:tc>
          <w:tcPr>
            <w:tcW w:w="64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60" w:type="dxa"/>
            <w:vAlign w:val="bottom"/>
            <w:tcBorders>
              <w:right w:val="single" w:sz="8" w:color="0000EE"/>
            </w:tcBorders>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320" w:type="dxa"/>
            <w:vAlign w:val="bottom"/>
            <w:shd w:val="clear" w:color="auto" w:fill="0000EE"/>
          </w:tcPr>
          <w:p>
            <w:pPr>
              <w:spacing w:after="0" w:line="20" w:lineRule="exact"/>
              <w:rPr>
                <w:sz w:val="1"/>
                <w:szCs w:val="1"/>
                <w:color w:val="auto"/>
              </w:rPr>
            </w:pPr>
          </w:p>
        </w:tc>
        <w:tc>
          <w:tcPr>
            <w:tcW w:w="220" w:type="dxa"/>
            <w:vAlign w:val="bottom"/>
            <w:tcBorders>
              <w:left w:val="single" w:sz="8" w:color="0000EE"/>
            </w:tcBorders>
            <w:shd w:val="clear" w:color="auto" w:fill="0000EE"/>
          </w:tcPr>
          <w:p>
            <w:pPr>
              <w:spacing w:after="0" w:line="20" w:lineRule="exact"/>
              <w:rPr>
                <w:sz w:val="1"/>
                <w:szCs w:val="1"/>
                <w:color w:val="auto"/>
              </w:rPr>
            </w:pPr>
          </w:p>
        </w:tc>
        <w:tc>
          <w:tcPr>
            <w:tcW w:w="24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240" w:type="dxa"/>
            <w:vAlign w:val="bottom"/>
            <w:shd w:val="clear" w:color="auto" w:fill="0000EE"/>
          </w:tcPr>
          <w:p>
            <w:pPr>
              <w:spacing w:after="0" w:line="20" w:lineRule="exact"/>
              <w:rPr>
                <w:sz w:val="1"/>
                <w:szCs w:val="1"/>
                <w:color w:val="auto"/>
              </w:rPr>
            </w:pPr>
          </w:p>
        </w:tc>
        <w:tc>
          <w:tcPr>
            <w:tcW w:w="820" w:type="dxa"/>
            <w:vAlign w:val="bottom"/>
            <w:shd w:val="clear" w:color="auto" w:fill="0000EE"/>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180" w:type="dxa"/>
            <w:vAlign w:val="bottom"/>
            <w:gridSpan w:val="3"/>
            <w:shd w:val="clear" w:color="auto" w:fill="0000EE"/>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r>
      <w:tr>
        <w:trPr>
          <w:trHeight w:val="412"/>
        </w:trPr>
        <w:tc>
          <w:tcPr>
            <w:tcW w:w="680" w:type="dxa"/>
            <w:vAlign w:val="bottom"/>
            <w:gridSpan w:val="2"/>
          </w:tcPr>
          <w:p>
            <w:pPr>
              <w:spacing w:after="0"/>
              <w:rPr>
                <w:rFonts w:ascii="Arial" w:cs="Arial" w:eastAsia="Arial" w:hAnsi="Arial"/>
                <w:sz w:val="18"/>
                <w:szCs w:val="18"/>
                <w:color w:val="0000EE"/>
                <w:w w:val="94"/>
              </w:rPr>
            </w:pPr>
            <w:hyperlink w:anchor="page29">
              <w:r>
                <w:rPr>
                  <w:rFonts w:ascii="Arial" w:cs="Arial" w:eastAsia="Arial" w:hAnsi="Arial"/>
                  <w:sz w:val="18"/>
                  <w:szCs w:val="18"/>
                  <w:color w:val="0000EE"/>
                  <w:w w:val="94"/>
                </w:rPr>
                <w:t>PART IV</w:t>
              </w:r>
            </w:hyperlink>
          </w:p>
        </w:tc>
        <w:tc>
          <w:tcPr>
            <w:tcW w:w="80" w:type="dxa"/>
            <w:vAlign w:val="bottom"/>
          </w:tcPr>
          <w:p>
            <w:pPr>
              <w:spacing w:after="0"/>
              <w:rPr>
                <w:sz w:val="24"/>
                <w:szCs w:val="24"/>
                <w:color w:val="auto"/>
              </w:rPr>
            </w:pPr>
          </w:p>
        </w:tc>
        <w:tc>
          <w:tcPr>
            <w:tcW w:w="600" w:type="dxa"/>
            <w:vAlign w:val="bottom"/>
            <w:gridSpan w:val="3"/>
          </w:tcPr>
          <w:p>
            <w:pPr>
              <w:spacing w:after="0"/>
              <w:rPr>
                <w:sz w:val="24"/>
                <w:szCs w:val="24"/>
                <w:color w:val="auto"/>
              </w:rPr>
            </w:pPr>
          </w:p>
        </w:tc>
        <w:tc>
          <w:tcPr>
            <w:tcW w:w="220" w:type="dxa"/>
            <w:vAlign w:val="bottom"/>
            <w:gridSpan w:val="2"/>
          </w:tcPr>
          <w:p>
            <w:pPr>
              <w:spacing w:after="0"/>
              <w:rPr>
                <w:sz w:val="24"/>
                <w:szCs w:val="24"/>
                <w:color w:val="auto"/>
              </w:rPr>
            </w:pPr>
          </w:p>
        </w:tc>
        <w:tc>
          <w:tcPr>
            <w:tcW w:w="6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700" w:type="dxa"/>
            <w:vAlign w:val="bottom"/>
            <w:gridSpan w:val="4"/>
          </w:tcPr>
          <w:p>
            <w:pPr>
              <w:jc w:val="center"/>
              <w:ind w:left="430"/>
              <w:spacing w:after="0"/>
              <w:rPr>
                <w:rFonts w:ascii="Arial" w:cs="Arial" w:eastAsia="Arial" w:hAnsi="Arial"/>
                <w:sz w:val="18"/>
                <w:szCs w:val="18"/>
                <w:color w:val="0000EE"/>
                <w:w w:val="89"/>
              </w:rPr>
            </w:pPr>
            <w:hyperlink w:anchor="page29">
              <w:r>
                <w:rPr>
                  <w:rFonts w:ascii="Arial" w:cs="Arial" w:eastAsia="Arial" w:hAnsi="Arial"/>
                  <w:sz w:val="18"/>
                  <w:szCs w:val="18"/>
                  <w:color w:val="0000EE"/>
                  <w:w w:val="89"/>
                </w:rPr>
                <w:t>26</w:t>
              </w:r>
            </w:hyperlink>
          </w:p>
        </w:tc>
        <w:tc>
          <w:tcPr>
            <w:tcW w:w="500" w:type="dxa"/>
            <w:vAlign w:val="bottom"/>
          </w:tcPr>
          <w:p>
            <w:pPr>
              <w:spacing w:after="0"/>
              <w:rPr>
                <w:sz w:val="24"/>
                <w:szCs w:val="24"/>
                <w:color w:val="auto"/>
              </w:rPr>
            </w:pPr>
          </w:p>
        </w:tc>
      </w:tr>
      <w:tr>
        <w:trPr>
          <w:trHeight w:val="20"/>
        </w:trPr>
        <w:tc>
          <w:tcPr>
            <w:tcW w:w="600" w:type="dxa"/>
            <w:vAlign w:val="bottom"/>
            <w:tcBorders>
              <w:right w:val="single" w:sz="8" w:color="0000EE"/>
            </w:tcBorders>
            <w:shd w:val="clear" w:color="auto" w:fill="0000EE"/>
          </w:tcPr>
          <w:p>
            <w:pPr>
              <w:spacing w:after="0" w:line="20" w:lineRule="exact"/>
              <w:rPr>
                <w:sz w:val="1"/>
                <w:szCs w:val="1"/>
                <w:color w:val="auto"/>
              </w:rPr>
            </w:pPr>
          </w:p>
        </w:tc>
        <w:tc>
          <w:tcPr>
            <w:tcW w:w="80" w:type="dxa"/>
            <w:vAlign w:val="bottom"/>
            <w:tcBorders>
              <w:left w:val="single" w:sz="8" w:color="0000EE"/>
            </w:tcBorders>
            <w:shd w:val="clear" w:color="auto" w:fill="0000EE"/>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20" w:type="dxa"/>
            <w:vAlign w:val="bottom"/>
            <w:gridSpan w:val="5"/>
          </w:tcPr>
          <w:p>
            <w:pPr>
              <w:spacing w:after="0" w:line="20" w:lineRule="exact"/>
              <w:rPr>
                <w:sz w:val="1"/>
                <w:szCs w:val="1"/>
                <w:color w:val="auto"/>
              </w:rPr>
            </w:pPr>
          </w:p>
        </w:tc>
        <w:tc>
          <w:tcPr>
            <w:tcW w:w="780" w:type="dxa"/>
            <w:vAlign w:val="bottom"/>
            <w:gridSpan w:val="3"/>
          </w:tcPr>
          <w:p>
            <w:pPr>
              <w:spacing w:after="0" w:line="20" w:lineRule="exact"/>
              <w:rPr>
                <w:sz w:val="1"/>
                <w:szCs w:val="1"/>
                <w:color w:val="auto"/>
              </w:rPr>
            </w:pPr>
          </w:p>
        </w:tc>
        <w:tc>
          <w:tcPr>
            <w:tcW w:w="200" w:type="dxa"/>
            <w:vAlign w:val="bottom"/>
            <w:gridSpan w:val="2"/>
          </w:tcPr>
          <w:p>
            <w:pPr>
              <w:spacing w:after="0" w:line="20" w:lineRule="exact"/>
              <w:rPr>
                <w:sz w:val="1"/>
                <w:szCs w:val="1"/>
                <w:color w:val="auto"/>
              </w:rPr>
            </w:pPr>
          </w:p>
        </w:tc>
        <w:tc>
          <w:tcPr>
            <w:tcW w:w="540" w:type="dxa"/>
            <w:vAlign w:val="bottom"/>
            <w:gridSpan w:val="2"/>
          </w:tcPr>
          <w:p>
            <w:pPr>
              <w:spacing w:after="0" w:line="20" w:lineRule="exact"/>
              <w:rPr>
                <w:sz w:val="1"/>
                <w:szCs w:val="1"/>
                <w:color w:val="auto"/>
              </w:rPr>
            </w:pPr>
          </w:p>
        </w:tc>
        <w:tc>
          <w:tcPr>
            <w:tcW w:w="1380" w:type="dxa"/>
            <w:vAlign w:val="bottom"/>
            <w:gridSpan w:val="5"/>
          </w:tcPr>
          <w:p>
            <w:pPr>
              <w:spacing w:after="0" w:line="20" w:lineRule="exact"/>
              <w:rPr>
                <w:sz w:val="1"/>
                <w:szCs w:val="1"/>
                <w:color w:val="auto"/>
              </w:rPr>
            </w:pPr>
          </w:p>
        </w:tc>
        <w:tc>
          <w:tcPr>
            <w:tcW w:w="5560" w:type="dxa"/>
            <w:vAlign w:val="bottom"/>
            <w:gridSpan w:val="10"/>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180" w:type="dxa"/>
            <w:vAlign w:val="bottom"/>
            <w:gridSpan w:val="3"/>
            <w:shd w:val="clear" w:color="auto" w:fill="0000EE"/>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r>
      <w:tr>
        <w:trPr>
          <w:trHeight w:val="412"/>
        </w:trPr>
        <w:tc>
          <w:tcPr>
            <w:tcW w:w="6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20" w:type="dxa"/>
            <w:vAlign w:val="bottom"/>
            <w:gridSpan w:val="4"/>
          </w:tcPr>
          <w:p>
            <w:pPr>
              <w:spacing w:after="0"/>
              <w:rPr>
                <w:rFonts w:ascii="Arial" w:cs="Arial" w:eastAsia="Arial" w:hAnsi="Arial"/>
                <w:sz w:val="18"/>
                <w:szCs w:val="18"/>
                <w:color w:val="0000EE"/>
                <w:w w:val="89"/>
              </w:rPr>
            </w:pPr>
            <w:hyperlink w:anchor="page29">
              <w:r>
                <w:rPr>
                  <w:rFonts w:ascii="Arial" w:cs="Arial" w:eastAsia="Arial" w:hAnsi="Arial"/>
                  <w:sz w:val="18"/>
                  <w:szCs w:val="18"/>
                  <w:color w:val="0000EE"/>
                  <w:w w:val="89"/>
                </w:rPr>
                <w:t>Item 15.</w:t>
              </w:r>
            </w:hyperlink>
          </w:p>
        </w:tc>
        <w:tc>
          <w:tcPr>
            <w:tcW w:w="200" w:type="dxa"/>
            <w:vAlign w:val="bottom"/>
          </w:tcPr>
          <w:p>
            <w:pPr>
              <w:spacing w:after="0"/>
              <w:rPr>
                <w:sz w:val="24"/>
                <w:szCs w:val="24"/>
                <w:color w:val="auto"/>
              </w:rPr>
            </w:pPr>
          </w:p>
        </w:tc>
        <w:tc>
          <w:tcPr>
            <w:tcW w:w="2900" w:type="dxa"/>
            <w:vAlign w:val="bottom"/>
            <w:gridSpan w:val="12"/>
          </w:tcPr>
          <w:p>
            <w:pPr>
              <w:spacing w:after="0"/>
              <w:rPr>
                <w:rFonts w:ascii="Arial" w:cs="Arial" w:eastAsia="Arial" w:hAnsi="Arial"/>
                <w:sz w:val="18"/>
                <w:szCs w:val="18"/>
                <w:color w:val="0000EE"/>
                <w:w w:val="89"/>
              </w:rPr>
            </w:pPr>
            <w:hyperlink w:anchor="page29">
              <w:r>
                <w:rPr>
                  <w:rFonts w:ascii="Arial" w:cs="Arial" w:eastAsia="Arial" w:hAnsi="Arial"/>
                  <w:sz w:val="18"/>
                  <w:szCs w:val="18"/>
                  <w:color w:val="0000EE"/>
                  <w:w w:val="89"/>
                </w:rPr>
                <w:t>Exhibits, Financial Statement Schedules</w:t>
              </w:r>
            </w:hyperlink>
          </w:p>
        </w:tc>
        <w:tc>
          <w:tcPr>
            <w:tcW w:w="5560" w:type="dxa"/>
            <w:vAlign w:val="bottom"/>
            <w:gridSpan w:val="10"/>
          </w:tcPr>
          <w:p>
            <w:pPr>
              <w:spacing w:after="0"/>
              <w:rPr>
                <w:sz w:val="24"/>
                <w:szCs w:val="24"/>
                <w:color w:val="auto"/>
              </w:rPr>
            </w:pPr>
          </w:p>
        </w:tc>
        <w:tc>
          <w:tcPr>
            <w:tcW w:w="700" w:type="dxa"/>
            <w:vAlign w:val="bottom"/>
            <w:gridSpan w:val="4"/>
          </w:tcPr>
          <w:p>
            <w:pPr>
              <w:jc w:val="center"/>
              <w:ind w:left="430"/>
              <w:spacing w:after="0"/>
              <w:rPr>
                <w:rFonts w:ascii="Arial" w:cs="Arial" w:eastAsia="Arial" w:hAnsi="Arial"/>
                <w:sz w:val="18"/>
                <w:szCs w:val="18"/>
                <w:color w:val="0000EE"/>
                <w:w w:val="89"/>
              </w:rPr>
            </w:pPr>
            <w:hyperlink w:anchor="page29">
              <w:r>
                <w:rPr>
                  <w:rFonts w:ascii="Arial" w:cs="Arial" w:eastAsia="Arial" w:hAnsi="Arial"/>
                  <w:sz w:val="18"/>
                  <w:szCs w:val="18"/>
                  <w:color w:val="0000EE"/>
                  <w:w w:val="89"/>
                </w:rPr>
                <w:t>26</w:t>
              </w:r>
            </w:hyperlink>
          </w:p>
        </w:tc>
        <w:tc>
          <w:tcPr>
            <w:tcW w:w="500" w:type="dxa"/>
            <w:vAlign w:val="bottom"/>
          </w:tcPr>
          <w:p>
            <w:pPr>
              <w:spacing w:after="0"/>
              <w:rPr>
                <w:sz w:val="24"/>
                <w:szCs w:val="24"/>
                <w:color w:val="auto"/>
              </w:rPr>
            </w:pPr>
          </w:p>
        </w:tc>
      </w:tr>
      <w:tr>
        <w:trPr>
          <w:trHeight w:val="20"/>
        </w:trPr>
        <w:tc>
          <w:tcPr>
            <w:tcW w:w="6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20" w:type="dxa"/>
            <w:vAlign w:val="bottom"/>
            <w:gridSpan w:val="4"/>
            <w:shd w:val="clear" w:color="auto" w:fill="0000EE"/>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780" w:type="dxa"/>
            <w:vAlign w:val="bottom"/>
            <w:tcBorders>
              <w:right w:val="single" w:sz="8" w:color="0000EE"/>
            </w:tcBorders>
            <w:gridSpan w:val="3"/>
            <w:shd w:val="clear" w:color="auto" w:fill="0000EE"/>
          </w:tcPr>
          <w:p>
            <w:pPr>
              <w:spacing w:after="0" w:line="20" w:lineRule="exact"/>
              <w:rPr>
                <w:sz w:val="1"/>
                <w:szCs w:val="1"/>
                <w:color w:val="auto"/>
              </w:rPr>
            </w:pPr>
          </w:p>
        </w:tc>
        <w:tc>
          <w:tcPr>
            <w:tcW w:w="200" w:type="dxa"/>
            <w:vAlign w:val="bottom"/>
            <w:gridSpan w:val="2"/>
            <w:shd w:val="clear" w:color="auto" w:fill="0000EE"/>
          </w:tcPr>
          <w:p>
            <w:pPr>
              <w:spacing w:after="0" w:line="20" w:lineRule="exact"/>
              <w:rPr>
                <w:sz w:val="1"/>
                <w:szCs w:val="1"/>
                <w:color w:val="auto"/>
              </w:rPr>
            </w:pPr>
          </w:p>
        </w:tc>
        <w:tc>
          <w:tcPr>
            <w:tcW w:w="540" w:type="dxa"/>
            <w:vAlign w:val="bottom"/>
            <w:gridSpan w:val="2"/>
            <w:shd w:val="clear" w:color="auto" w:fill="0000EE"/>
          </w:tcPr>
          <w:p>
            <w:pPr>
              <w:spacing w:after="0" w:line="20" w:lineRule="exact"/>
              <w:rPr>
                <w:sz w:val="1"/>
                <w:szCs w:val="1"/>
                <w:color w:val="auto"/>
              </w:rPr>
            </w:pPr>
          </w:p>
        </w:tc>
        <w:tc>
          <w:tcPr>
            <w:tcW w:w="1380" w:type="dxa"/>
            <w:vAlign w:val="bottom"/>
            <w:gridSpan w:val="5"/>
            <w:shd w:val="clear" w:color="auto" w:fill="0000EE"/>
          </w:tcPr>
          <w:p>
            <w:pPr>
              <w:spacing w:after="0" w:line="20" w:lineRule="exact"/>
              <w:rPr>
                <w:sz w:val="1"/>
                <w:szCs w:val="1"/>
                <w:color w:val="auto"/>
              </w:rPr>
            </w:pPr>
          </w:p>
        </w:tc>
        <w:tc>
          <w:tcPr>
            <w:tcW w:w="5560" w:type="dxa"/>
            <w:vAlign w:val="bottom"/>
            <w:gridSpan w:val="10"/>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180" w:type="dxa"/>
            <w:vAlign w:val="bottom"/>
            <w:gridSpan w:val="3"/>
            <w:shd w:val="clear" w:color="auto" w:fill="0000EE"/>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r>
      <w:tr>
        <w:trPr>
          <w:trHeight w:val="412"/>
        </w:trPr>
        <w:tc>
          <w:tcPr>
            <w:tcW w:w="6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20" w:type="dxa"/>
            <w:vAlign w:val="bottom"/>
            <w:gridSpan w:val="4"/>
          </w:tcPr>
          <w:p>
            <w:pPr>
              <w:spacing w:after="0"/>
              <w:rPr>
                <w:rFonts w:ascii="Arial" w:cs="Arial" w:eastAsia="Arial" w:hAnsi="Arial"/>
                <w:sz w:val="18"/>
                <w:szCs w:val="18"/>
                <w:color w:val="0000EE"/>
                <w:w w:val="89"/>
              </w:rPr>
            </w:pPr>
            <w:hyperlink w:anchor="page29">
              <w:r>
                <w:rPr>
                  <w:rFonts w:ascii="Arial" w:cs="Arial" w:eastAsia="Arial" w:hAnsi="Arial"/>
                  <w:sz w:val="18"/>
                  <w:szCs w:val="18"/>
                  <w:color w:val="0000EE"/>
                  <w:w w:val="89"/>
                </w:rPr>
                <w:t>Item 16.</w:t>
              </w:r>
            </w:hyperlink>
          </w:p>
        </w:tc>
        <w:tc>
          <w:tcPr>
            <w:tcW w:w="200" w:type="dxa"/>
            <w:vAlign w:val="bottom"/>
          </w:tcPr>
          <w:p>
            <w:pPr>
              <w:spacing w:after="0"/>
              <w:rPr>
                <w:sz w:val="24"/>
                <w:szCs w:val="24"/>
                <w:color w:val="auto"/>
              </w:rPr>
            </w:pPr>
          </w:p>
        </w:tc>
        <w:tc>
          <w:tcPr>
            <w:tcW w:w="2900" w:type="dxa"/>
            <w:vAlign w:val="bottom"/>
            <w:gridSpan w:val="12"/>
          </w:tcPr>
          <w:p>
            <w:pPr>
              <w:spacing w:after="0"/>
              <w:rPr>
                <w:rFonts w:ascii="Arial" w:cs="Arial" w:eastAsia="Arial" w:hAnsi="Arial"/>
                <w:sz w:val="18"/>
                <w:szCs w:val="18"/>
                <w:color w:val="0000EE"/>
              </w:rPr>
            </w:pPr>
            <w:hyperlink w:anchor="page29">
              <w:r>
                <w:rPr>
                  <w:rFonts w:ascii="Arial" w:cs="Arial" w:eastAsia="Arial" w:hAnsi="Arial"/>
                  <w:sz w:val="18"/>
                  <w:szCs w:val="18"/>
                  <w:color w:val="0000EE"/>
                </w:rPr>
                <w:t>Form 10-K summary</w:t>
              </w:r>
            </w:hyperlink>
          </w:p>
        </w:tc>
        <w:tc>
          <w:tcPr>
            <w:tcW w:w="5560" w:type="dxa"/>
            <w:vAlign w:val="bottom"/>
            <w:gridSpan w:val="10"/>
          </w:tcPr>
          <w:p>
            <w:pPr>
              <w:spacing w:after="0"/>
              <w:rPr>
                <w:sz w:val="24"/>
                <w:szCs w:val="24"/>
                <w:color w:val="auto"/>
              </w:rPr>
            </w:pPr>
          </w:p>
        </w:tc>
        <w:tc>
          <w:tcPr>
            <w:tcW w:w="700" w:type="dxa"/>
            <w:vAlign w:val="bottom"/>
            <w:gridSpan w:val="4"/>
          </w:tcPr>
          <w:p>
            <w:pPr>
              <w:jc w:val="center"/>
              <w:ind w:left="430"/>
              <w:spacing w:after="0"/>
              <w:rPr>
                <w:rFonts w:ascii="Arial" w:cs="Arial" w:eastAsia="Arial" w:hAnsi="Arial"/>
                <w:sz w:val="18"/>
                <w:szCs w:val="18"/>
                <w:color w:val="0000EE"/>
                <w:w w:val="89"/>
              </w:rPr>
            </w:pPr>
            <w:hyperlink w:anchor="page29">
              <w:r>
                <w:rPr>
                  <w:rFonts w:ascii="Arial" w:cs="Arial" w:eastAsia="Arial" w:hAnsi="Arial"/>
                  <w:sz w:val="18"/>
                  <w:szCs w:val="18"/>
                  <w:color w:val="0000EE"/>
                  <w:w w:val="89"/>
                </w:rPr>
                <w:t>26</w:t>
              </w:r>
            </w:hyperlink>
          </w:p>
        </w:tc>
        <w:tc>
          <w:tcPr>
            <w:tcW w:w="500" w:type="dxa"/>
            <w:vAlign w:val="bottom"/>
          </w:tcPr>
          <w:p>
            <w:pPr>
              <w:spacing w:after="0"/>
              <w:rPr>
                <w:sz w:val="24"/>
                <w:szCs w:val="24"/>
                <w:color w:val="auto"/>
              </w:rPr>
            </w:pPr>
          </w:p>
        </w:tc>
      </w:tr>
      <w:tr>
        <w:trPr>
          <w:trHeight w:val="412"/>
        </w:trPr>
        <w:tc>
          <w:tcPr>
            <w:tcW w:w="6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520" w:type="dxa"/>
            <w:vAlign w:val="bottom"/>
            <w:tcBorders>
              <w:top w:val="single" w:sz="8" w:color="0000EE"/>
            </w:tcBorders>
          </w:tcPr>
          <w:p>
            <w:pPr>
              <w:spacing w:after="0"/>
              <w:rPr>
                <w:sz w:val="24"/>
                <w:szCs w:val="24"/>
                <w:color w:val="auto"/>
              </w:rPr>
            </w:pPr>
          </w:p>
        </w:tc>
        <w:tc>
          <w:tcPr>
            <w:tcW w:w="20" w:type="dxa"/>
            <w:vAlign w:val="bottom"/>
            <w:tcBorders>
              <w:top w:val="single" w:sz="8" w:color="0000EE"/>
            </w:tcBorders>
          </w:tcPr>
          <w:p>
            <w:pPr>
              <w:spacing w:after="0"/>
              <w:rPr>
                <w:sz w:val="24"/>
                <w:szCs w:val="24"/>
                <w:color w:val="auto"/>
              </w:rPr>
            </w:pPr>
          </w:p>
        </w:tc>
        <w:tc>
          <w:tcPr>
            <w:tcW w:w="60" w:type="dxa"/>
            <w:vAlign w:val="bottom"/>
            <w:tcBorders>
              <w:top w:val="single" w:sz="8" w:color="0000EE"/>
            </w:tcBorders>
          </w:tcPr>
          <w:p>
            <w:pPr>
              <w:spacing w:after="0"/>
              <w:rPr>
                <w:sz w:val="24"/>
                <w:szCs w:val="24"/>
                <w:color w:val="auto"/>
              </w:rPr>
            </w:pPr>
          </w:p>
        </w:tc>
        <w:tc>
          <w:tcPr>
            <w:tcW w:w="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780" w:type="dxa"/>
            <w:vAlign w:val="bottom"/>
            <w:tcBorders>
              <w:top w:val="single" w:sz="8" w:color="0000EE"/>
              <w:bottom w:val="single" w:sz="8" w:color="0000EE"/>
            </w:tcBorders>
            <w:gridSpan w:val="3"/>
          </w:tcPr>
          <w:p>
            <w:pPr>
              <w:spacing w:after="0"/>
              <w:rPr>
                <w:rFonts w:ascii="Arial" w:cs="Arial" w:eastAsia="Arial" w:hAnsi="Arial"/>
                <w:sz w:val="18"/>
                <w:szCs w:val="18"/>
                <w:color w:val="0000EE"/>
                <w:w w:val="85"/>
              </w:rPr>
            </w:pPr>
            <w:hyperlink w:anchor="page61">
              <w:r>
                <w:rPr>
                  <w:rFonts w:ascii="Arial" w:cs="Arial" w:eastAsia="Arial" w:hAnsi="Arial"/>
                  <w:sz w:val="18"/>
                  <w:szCs w:val="18"/>
                  <w:color w:val="0000EE"/>
                  <w:w w:val="85"/>
                </w:rPr>
                <w:t>Signatures</w:t>
              </w:r>
            </w:hyperlink>
          </w:p>
        </w:tc>
        <w:tc>
          <w:tcPr>
            <w:tcW w:w="740" w:type="dxa"/>
            <w:vAlign w:val="bottom"/>
            <w:tcBorders>
              <w:top w:val="single" w:sz="8" w:color="0000EE"/>
            </w:tcBorders>
            <w:gridSpan w:val="4"/>
          </w:tcPr>
          <w:p>
            <w:pPr>
              <w:spacing w:after="0"/>
              <w:rPr>
                <w:sz w:val="24"/>
                <w:szCs w:val="24"/>
                <w:color w:val="auto"/>
              </w:rPr>
            </w:pPr>
          </w:p>
        </w:tc>
        <w:tc>
          <w:tcPr>
            <w:tcW w:w="6940" w:type="dxa"/>
            <w:vAlign w:val="bottom"/>
            <w:gridSpan w:val="15"/>
          </w:tcPr>
          <w:p>
            <w:pPr>
              <w:spacing w:after="0"/>
              <w:rPr>
                <w:sz w:val="24"/>
                <w:szCs w:val="24"/>
                <w:color w:val="auto"/>
              </w:rPr>
            </w:pPr>
          </w:p>
        </w:tc>
        <w:tc>
          <w:tcPr>
            <w:tcW w:w="520" w:type="dxa"/>
            <w:vAlign w:val="bottom"/>
          </w:tcPr>
          <w:p>
            <w:pPr>
              <w:spacing w:after="0"/>
              <w:rPr>
                <w:sz w:val="24"/>
                <w:szCs w:val="24"/>
                <w:color w:val="auto"/>
              </w:rPr>
            </w:pPr>
          </w:p>
        </w:tc>
        <w:tc>
          <w:tcPr>
            <w:tcW w:w="40" w:type="dxa"/>
            <w:vAlign w:val="bottom"/>
            <w:tcBorders>
              <w:top w:val="single" w:sz="8" w:color="0000EE"/>
            </w:tcBorders>
          </w:tcPr>
          <w:p>
            <w:pPr>
              <w:spacing w:after="0"/>
              <w:rPr>
                <w:sz w:val="24"/>
                <w:szCs w:val="24"/>
                <w:color w:val="auto"/>
              </w:rPr>
            </w:pPr>
          </w:p>
        </w:tc>
        <w:tc>
          <w:tcPr>
            <w:tcW w:w="100" w:type="dxa"/>
            <w:vAlign w:val="bottom"/>
            <w:tcBorders>
              <w:top w:val="single" w:sz="8" w:color="0000EE"/>
            </w:tcBorders>
          </w:tcPr>
          <w:p>
            <w:pPr>
              <w:spacing w:after="0"/>
              <w:rPr>
                <w:sz w:val="24"/>
                <w:szCs w:val="24"/>
                <w:color w:val="auto"/>
              </w:rPr>
            </w:pPr>
          </w:p>
        </w:tc>
        <w:tc>
          <w:tcPr>
            <w:tcW w:w="40" w:type="dxa"/>
            <w:vAlign w:val="bottom"/>
            <w:tcBorders>
              <w:top w:val="single" w:sz="8" w:color="0000EE"/>
            </w:tcBorders>
          </w:tcPr>
          <w:p>
            <w:pPr>
              <w:spacing w:after="0"/>
              <w:rPr>
                <w:sz w:val="24"/>
                <w:szCs w:val="24"/>
                <w:color w:val="auto"/>
              </w:rPr>
            </w:pPr>
          </w:p>
        </w:tc>
        <w:tc>
          <w:tcPr>
            <w:tcW w:w="500" w:type="dxa"/>
            <w:vAlign w:val="bottom"/>
          </w:tcPr>
          <w:p>
            <w:pPr>
              <w:spacing w:after="0"/>
              <w:rPr>
                <w:sz w:val="24"/>
                <w:szCs w:val="24"/>
                <w:color w:val="auto"/>
              </w:rPr>
            </w:pPr>
          </w:p>
        </w:tc>
      </w:tr>
      <w:tr>
        <w:trPr>
          <w:trHeight w:val="412"/>
        </w:trPr>
        <w:tc>
          <w:tcPr>
            <w:tcW w:w="6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8460" w:type="dxa"/>
            <w:vAlign w:val="bottom"/>
            <w:gridSpan w:val="22"/>
          </w:tcPr>
          <w:p>
            <w:pPr>
              <w:spacing w:after="0"/>
              <w:rPr>
                <w:rFonts w:ascii="Arial" w:cs="Arial" w:eastAsia="Arial" w:hAnsi="Arial"/>
                <w:sz w:val="18"/>
                <w:szCs w:val="18"/>
                <w:color w:val="0000EE"/>
              </w:rPr>
            </w:pPr>
            <w:hyperlink w:anchor="page62">
              <w:r>
                <w:rPr>
                  <w:rFonts w:ascii="Arial" w:cs="Arial" w:eastAsia="Arial" w:hAnsi="Arial"/>
                  <w:sz w:val="18"/>
                  <w:szCs w:val="18"/>
                  <w:color w:val="0000EE"/>
                </w:rPr>
                <w:t>Exhibit Index</w:t>
              </w:r>
            </w:hyperlink>
          </w:p>
        </w:tc>
        <w:tc>
          <w:tcPr>
            <w:tcW w:w="5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500" w:type="dxa"/>
            <w:vAlign w:val="bottom"/>
          </w:tcPr>
          <w:p>
            <w:pPr>
              <w:spacing w:after="0"/>
              <w:rPr>
                <w:sz w:val="24"/>
                <w:szCs w:val="24"/>
                <w:color w:val="auto"/>
              </w:rPr>
            </w:pPr>
          </w:p>
        </w:tc>
      </w:tr>
      <w:tr>
        <w:trPr>
          <w:trHeight w:val="810"/>
        </w:trPr>
        <w:tc>
          <w:tcPr>
            <w:tcW w:w="60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52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6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640" w:type="dxa"/>
            <w:vAlign w:val="bottom"/>
            <w:tcBorders>
              <w:top w:val="single" w:sz="8" w:color="0000EE"/>
              <w:bottom w:val="single" w:sz="8" w:color="auto"/>
            </w:tcBorders>
          </w:tcPr>
          <w:p>
            <w:pPr>
              <w:spacing w:after="0"/>
              <w:rPr>
                <w:sz w:val="24"/>
                <w:szCs w:val="24"/>
                <w:color w:val="auto"/>
              </w:rPr>
            </w:pPr>
          </w:p>
        </w:tc>
        <w:tc>
          <w:tcPr>
            <w:tcW w:w="80" w:type="dxa"/>
            <w:vAlign w:val="bottom"/>
            <w:tcBorders>
              <w:top w:val="single" w:sz="8" w:color="0000EE"/>
              <w:bottom w:val="single" w:sz="8" w:color="auto"/>
            </w:tcBorders>
          </w:tcPr>
          <w:p>
            <w:pPr>
              <w:spacing w:after="0"/>
              <w:rPr>
                <w:sz w:val="24"/>
                <w:szCs w:val="24"/>
                <w:color w:val="auto"/>
              </w:rPr>
            </w:pPr>
          </w:p>
        </w:tc>
        <w:tc>
          <w:tcPr>
            <w:tcW w:w="60" w:type="dxa"/>
            <w:vAlign w:val="bottom"/>
            <w:tcBorders>
              <w:top w:val="single" w:sz="8" w:color="0000EE"/>
              <w:bottom w:val="single" w:sz="8" w:color="auto"/>
            </w:tcBorders>
          </w:tcPr>
          <w:p>
            <w:pPr>
              <w:spacing w:after="0"/>
              <w:rPr>
                <w:sz w:val="24"/>
                <w:szCs w:val="24"/>
                <w:color w:val="auto"/>
              </w:rPr>
            </w:pPr>
          </w:p>
        </w:tc>
        <w:tc>
          <w:tcPr>
            <w:tcW w:w="120" w:type="dxa"/>
            <w:vAlign w:val="bottom"/>
            <w:tcBorders>
              <w:top w:val="single" w:sz="8" w:color="0000EE"/>
              <w:bottom w:val="single" w:sz="8" w:color="auto"/>
            </w:tcBorders>
          </w:tcPr>
          <w:p>
            <w:pPr>
              <w:spacing w:after="0"/>
              <w:rPr>
                <w:sz w:val="24"/>
                <w:szCs w:val="24"/>
                <w:color w:val="auto"/>
              </w:rPr>
            </w:pPr>
          </w:p>
        </w:tc>
        <w:tc>
          <w:tcPr>
            <w:tcW w:w="80" w:type="dxa"/>
            <w:vAlign w:val="bottom"/>
            <w:tcBorders>
              <w:top w:val="single" w:sz="8" w:color="0000EE"/>
              <w:bottom w:val="single" w:sz="8" w:color="auto"/>
            </w:tcBorders>
          </w:tcPr>
          <w:p>
            <w:pPr>
              <w:spacing w:after="0"/>
              <w:rPr>
                <w:sz w:val="24"/>
                <w:szCs w:val="24"/>
                <w:color w:val="auto"/>
              </w:rPr>
            </w:pPr>
          </w:p>
        </w:tc>
        <w:tc>
          <w:tcPr>
            <w:tcW w:w="32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40" w:type="dxa"/>
            <w:vAlign w:val="bottom"/>
            <w:tcBorders>
              <w:bottom w:val="single" w:sz="8" w:color="auto"/>
            </w:tcBorders>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820" w:type="dxa"/>
            <w:vAlign w:val="bottom"/>
            <w:tcBorders>
              <w:bottom w:val="single" w:sz="8" w:color="auto"/>
            </w:tcBorders>
          </w:tcPr>
          <w:p>
            <w:pPr>
              <w:spacing w:after="0"/>
              <w:rPr>
                <w:sz w:val="24"/>
                <w:szCs w:val="24"/>
                <w:color w:val="auto"/>
              </w:rPr>
            </w:pPr>
          </w:p>
        </w:tc>
        <w:tc>
          <w:tcPr>
            <w:tcW w:w="40" w:type="dxa"/>
            <w:vAlign w:val="bottom"/>
            <w:tcBorders>
              <w:bottom w:val="single" w:sz="8" w:color="auto"/>
            </w:tcBorders>
          </w:tcPr>
          <w:p>
            <w:pPr>
              <w:spacing w:after="0"/>
              <w:rPr>
                <w:sz w:val="24"/>
                <w:szCs w:val="24"/>
                <w:color w:val="auto"/>
              </w:rPr>
            </w:pPr>
          </w:p>
        </w:tc>
        <w:tc>
          <w:tcPr>
            <w:tcW w:w="420" w:type="dxa"/>
            <w:vAlign w:val="bottom"/>
            <w:tcBorders>
              <w:bottom w:val="single" w:sz="8" w:color="auto"/>
            </w:tcBorders>
          </w:tcPr>
          <w:p>
            <w:pPr>
              <w:spacing w:after="0"/>
              <w:rPr>
                <w:sz w:val="24"/>
                <w:szCs w:val="24"/>
                <w:color w:val="auto"/>
              </w:rPr>
            </w:pPr>
          </w:p>
        </w:tc>
        <w:tc>
          <w:tcPr>
            <w:tcW w:w="76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600" w:type="dxa"/>
            <w:vAlign w:val="bottom"/>
            <w:tcBorders>
              <w:bottom w:val="single" w:sz="8" w:color="auto"/>
            </w:tcBorders>
          </w:tcPr>
          <w:p>
            <w:pPr>
              <w:spacing w:after="0"/>
              <w:rPr>
                <w:sz w:val="24"/>
                <w:szCs w:val="24"/>
                <w:color w:val="auto"/>
              </w:rPr>
            </w:pPr>
          </w:p>
        </w:tc>
        <w:tc>
          <w:tcPr>
            <w:tcW w:w="540" w:type="dxa"/>
            <w:vAlign w:val="bottom"/>
            <w:tcBorders>
              <w:bottom w:val="single" w:sz="8" w:color="auto"/>
            </w:tcBorders>
          </w:tcPr>
          <w:p>
            <w:pPr>
              <w:spacing w:after="0"/>
              <w:rPr>
                <w:sz w:val="24"/>
                <w:szCs w:val="24"/>
                <w:color w:val="auto"/>
              </w:rPr>
            </w:pPr>
          </w:p>
        </w:tc>
        <w:tc>
          <w:tcPr>
            <w:tcW w:w="100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820" w:type="dxa"/>
            <w:vAlign w:val="bottom"/>
            <w:tcBorders>
              <w:bottom w:val="single" w:sz="8" w:color="auto"/>
            </w:tcBorders>
          </w:tcPr>
          <w:p>
            <w:pPr>
              <w:spacing w:after="0"/>
              <w:rPr>
                <w:sz w:val="24"/>
                <w:szCs w:val="24"/>
                <w:color w:val="auto"/>
              </w:rPr>
            </w:pPr>
          </w:p>
        </w:tc>
        <w:tc>
          <w:tcPr>
            <w:tcW w:w="760" w:type="dxa"/>
            <w:vAlign w:val="bottom"/>
            <w:tcBorders>
              <w:bottom w:val="single" w:sz="8" w:color="auto"/>
            </w:tcBorders>
          </w:tcPr>
          <w:p>
            <w:pPr>
              <w:spacing w:after="0"/>
              <w:rPr>
                <w:sz w:val="24"/>
                <w:szCs w:val="24"/>
                <w:color w:val="auto"/>
              </w:rPr>
            </w:pPr>
          </w:p>
        </w:tc>
        <w:tc>
          <w:tcPr>
            <w:tcW w:w="420" w:type="dxa"/>
            <w:vAlign w:val="bottom"/>
            <w:tcBorders>
              <w:bottom w:val="single" w:sz="8" w:color="auto"/>
            </w:tcBorders>
          </w:tcPr>
          <w:p>
            <w:pPr>
              <w:spacing w:after="0"/>
              <w:rPr>
                <w:sz w:val="24"/>
                <w:szCs w:val="24"/>
                <w:color w:val="auto"/>
              </w:rPr>
            </w:pPr>
          </w:p>
        </w:tc>
        <w:tc>
          <w:tcPr>
            <w:tcW w:w="520" w:type="dxa"/>
            <w:vAlign w:val="bottom"/>
            <w:tcBorders>
              <w:bottom w:val="single" w:sz="8" w:color="auto"/>
            </w:tcBorders>
          </w:tcPr>
          <w:p>
            <w:pPr>
              <w:spacing w:after="0"/>
              <w:rPr>
                <w:sz w:val="24"/>
                <w:szCs w:val="24"/>
                <w:color w:val="auto"/>
              </w:rPr>
            </w:pPr>
          </w:p>
        </w:tc>
        <w:tc>
          <w:tcPr>
            <w:tcW w:w="4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40" w:type="dxa"/>
            <w:vAlign w:val="bottom"/>
            <w:tcBorders>
              <w:bottom w:val="single" w:sz="8" w:color="auto"/>
            </w:tcBorders>
          </w:tcPr>
          <w:p>
            <w:pPr>
              <w:spacing w:after="0"/>
              <w:rPr>
                <w:sz w:val="24"/>
                <w:szCs w:val="24"/>
                <w:color w:val="auto"/>
              </w:rPr>
            </w:pPr>
          </w:p>
        </w:tc>
        <w:tc>
          <w:tcPr>
            <w:tcW w:w="500" w:type="dxa"/>
            <w:vAlign w:val="bottom"/>
            <w:tcBorders>
              <w:bottom w:val="single" w:sz="8" w:color="auto"/>
            </w:tcBorders>
          </w:tcPr>
          <w:p>
            <w:pPr>
              <w:spacing w:after="0"/>
              <w:rPr>
                <w:sz w:val="24"/>
                <w:szCs w:val="24"/>
                <w:color w:val="auto"/>
              </w:rPr>
            </w:pPr>
          </w:p>
        </w:tc>
      </w:tr>
    </w:tbl>
    <w:p>
      <w:pPr>
        <w:sectPr>
          <w:pgSz w:w="11900" w:h="16838" w:orient="portrait"/>
          <w:cols w:equalWidth="0" w:num="1">
            <w:col w:w="11240"/>
          </w:cols>
          <w:pgMar w:left="320" w:top="108" w:right="339" w:bottom="1440" w:gutter="0" w:footer="0" w:header="0"/>
        </w:sectPr>
      </w:pPr>
    </w:p>
    <w:bookmarkStart w:id="3" w:name="page4"/>
    <w:bookmarkEnd w:id="3"/>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68" w:lineRule="exact"/>
        <w:rPr>
          <w:sz w:val="20"/>
          <w:szCs w:val="20"/>
          <w:color w:val="auto"/>
        </w:rPr>
      </w:pPr>
    </w:p>
    <w:p>
      <w:pPr>
        <w:jc w:val="both"/>
        <w:ind w:firstLine="648"/>
        <w:spacing w:after="0" w:line="267" w:lineRule="auto"/>
        <w:rPr>
          <w:sz w:val="20"/>
          <w:szCs w:val="20"/>
          <w:color w:val="auto"/>
        </w:rPr>
      </w:pPr>
      <w:r>
        <w:rPr>
          <w:rFonts w:ascii="Arial" w:cs="Arial" w:eastAsia="Arial" w:hAnsi="Arial"/>
          <w:sz w:val="17"/>
          <w:szCs w:val="17"/>
          <w:i w:val="1"/>
          <w:iCs w:val="1"/>
          <w:color w:val="auto"/>
        </w:rPr>
        <w:t xml:space="preserve">This Annual Report on Form 10-K contains statements that are not statements of historical fact and are forward-looking statements within the meaning of Section 27A of the Securities Act of 1933 and Section 21E of the Securities Exchange Act of 1934 (the </w:t>
      </w:r>
      <w:r>
        <w:rPr>
          <w:rFonts w:ascii="Arial" w:cs="Arial" w:eastAsia="Arial" w:hAnsi="Arial"/>
          <w:sz w:val="17"/>
          <w:szCs w:val="17"/>
          <w:color w:val="auto"/>
        </w:rPr>
        <w:t>“</w:t>
      </w:r>
      <w:r>
        <w:rPr>
          <w:rFonts w:ascii="Arial" w:cs="Arial" w:eastAsia="Arial" w:hAnsi="Arial"/>
          <w:sz w:val="17"/>
          <w:szCs w:val="17"/>
          <w:i w:val="1"/>
          <w:iCs w:val="1"/>
          <w:color w:val="auto"/>
        </w:rPr>
        <w:t>Exchange Act</w:t>
      </w:r>
      <w:r>
        <w:rPr>
          <w:rFonts w:ascii="Arial" w:cs="Arial" w:eastAsia="Arial" w:hAnsi="Arial"/>
          <w:sz w:val="17"/>
          <w:szCs w:val="17"/>
          <w:color w:val="auto"/>
        </w:rPr>
        <w:t>”</w:t>
      </w:r>
      <w:r>
        <w:rPr>
          <w:rFonts w:ascii="Arial" w:cs="Arial" w:eastAsia="Arial" w:hAnsi="Arial"/>
          <w:sz w:val="17"/>
          <w:szCs w:val="17"/>
          <w:i w:val="1"/>
          <w:iCs w:val="1"/>
          <w:color w:val="auto"/>
        </w:rPr>
        <w:t xml:space="preserve">), each as amended. The forward-looking statements are principally, but not exclusively, contained in </w:t>
      </w:r>
      <w:r>
        <w:rPr>
          <w:rFonts w:ascii="Arial" w:cs="Arial" w:eastAsia="Arial" w:hAnsi="Arial"/>
          <w:sz w:val="17"/>
          <w:szCs w:val="17"/>
          <w:color w:val="auto"/>
        </w:rPr>
        <w:t>“</w:t>
      </w:r>
      <w:r>
        <w:rPr>
          <w:rFonts w:ascii="Arial" w:cs="Arial" w:eastAsia="Arial" w:hAnsi="Arial"/>
          <w:sz w:val="17"/>
          <w:szCs w:val="17"/>
          <w:i w:val="1"/>
          <w:iCs w:val="1"/>
          <w:color w:val="auto"/>
        </w:rPr>
        <w:t>Item 1: Business</w:t>
      </w:r>
      <w:r>
        <w:rPr>
          <w:rFonts w:ascii="Arial" w:cs="Arial" w:eastAsia="Arial" w:hAnsi="Arial"/>
          <w:sz w:val="17"/>
          <w:szCs w:val="17"/>
          <w:color w:val="auto"/>
        </w:rPr>
        <w:t>”</w:t>
      </w:r>
      <w:r>
        <w:rPr>
          <w:rFonts w:ascii="Arial" w:cs="Arial" w:eastAsia="Arial" w:hAnsi="Arial"/>
          <w:sz w:val="17"/>
          <w:szCs w:val="17"/>
          <w:i w:val="1"/>
          <w:iCs w:val="1"/>
          <w:color w:val="auto"/>
        </w:rPr>
        <w:t xml:space="preserve"> and </w:t>
      </w:r>
      <w:r>
        <w:rPr>
          <w:rFonts w:ascii="Arial" w:cs="Arial" w:eastAsia="Arial" w:hAnsi="Arial"/>
          <w:sz w:val="17"/>
          <w:szCs w:val="17"/>
          <w:color w:val="auto"/>
        </w:rPr>
        <w:t>“</w:t>
      </w:r>
      <w:r>
        <w:rPr>
          <w:rFonts w:ascii="Arial" w:cs="Arial" w:eastAsia="Arial" w:hAnsi="Arial"/>
          <w:sz w:val="17"/>
          <w:szCs w:val="17"/>
          <w:i w:val="1"/>
          <w:iCs w:val="1"/>
          <w:color w:val="auto"/>
        </w:rPr>
        <w:t>Item 7: Management</w:t>
      </w:r>
      <w:r>
        <w:rPr>
          <w:rFonts w:ascii="Arial" w:cs="Arial" w:eastAsia="Arial" w:hAnsi="Arial"/>
          <w:sz w:val="17"/>
          <w:szCs w:val="17"/>
          <w:color w:val="auto"/>
        </w:rPr>
        <w:t>’</w:t>
      </w:r>
      <w:r>
        <w:rPr>
          <w:rFonts w:ascii="Arial" w:cs="Arial" w:eastAsia="Arial" w:hAnsi="Arial"/>
          <w:sz w:val="17"/>
          <w:szCs w:val="17"/>
          <w:i w:val="1"/>
          <w:iCs w:val="1"/>
          <w:color w:val="auto"/>
        </w:rPr>
        <w:t>s Discussion and Analysis of Financial Condition and Results of Operations.</w:t>
      </w:r>
      <w:r>
        <w:rPr>
          <w:rFonts w:ascii="Arial" w:cs="Arial" w:eastAsia="Arial" w:hAnsi="Arial"/>
          <w:sz w:val="17"/>
          <w:szCs w:val="17"/>
          <w:color w:val="auto"/>
        </w:rPr>
        <w:t>”</w:t>
      </w:r>
      <w:r>
        <w:rPr>
          <w:rFonts w:ascii="Arial" w:cs="Arial" w:eastAsia="Arial" w:hAnsi="Arial"/>
          <w:sz w:val="17"/>
          <w:szCs w:val="17"/>
          <w:i w:val="1"/>
          <w:iCs w:val="1"/>
          <w:color w:val="auto"/>
        </w:rPr>
        <w:t xml:space="preserve"> These statements involve known and unknown risks, uncertainties and other factors that may cause our actual results, performance or achievements to be materially different from any future results, performance or achievements expressed or implied by the forward-looking statements. Forward-looking statements include, but are not limited to, statements about management</w:t>
      </w:r>
      <w:r>
        <w:rPr>
          <w:rFonts w:ascii="Arial" w:cs="Arial" w:eastAsia="Arial" w:hAnsi="Arial"/>
          <w:sz w:val="17"/>
          <w:szCs w:val="17"/>
          <w:color w:val="auto"/>
        </w:rPr>
        <w:t>’</w:t>
      </w:r>
      <w:r>
        <w:rPr>
          <w:rFonts w:ascii="Arial" w:cs="Arial" w:eastAsia="Arial" w:hAnsi="Arial"/>
          <w:sz w:val="17"/>
          <w:szCs w:val="17"/>
          <w:i w:val="1"/>
          <w:iCs w:val="1"/>
          <w:color w:val="auto"/>
        </w:rPr>
        <w:t xml:space="preserve">s confidence or expectations, our business strategy, our ability to raise capital or borrow funds to consummate acquisitions and the availability of attractive acquisition candidates, our expectations regarding future costs of product revenues, our anticipated compliance with the covenants contained in our credit facility, the adequacy of our financial resources and our plans, objectives, expectations and intentions that are not historical facts. In some cases, you can identify forward-looking statements by terms such as </w:t>
      </w:r>
      <w:r>
        <w:rPr>
          <w:rFonts w:ascii="Arial" w:cs="Arial" w:eastAsia="Arial" w:hAnsi="Arial"/>
          <w:sz w:val="17"/>
          <w:szCs w:val="17"/>
          <w:color w:val="auto"/>
        </w:rPr>
        <w:t>“</w:t>
      </w:r>
      <w:r>
        <w:rPr>
          <w:rFonts w:ascii="Arial" w:cs="Arial" w:eastAsia="Arial" w:hAnsi="Arial"/>
          <w:sz w:val="17"/>
          <w:szCs w:val="17"/>
          <w:i w:val="1"/>
          <w:iCs w:val="1"/>
          <w:color w:val="auto"/>
        </w:rPr>
        <w:t>may,</w:t>
      </w:r>
      <w:r>
        <w:rPr>
          <w:rFonts w:ascii="Arial" w:cs="Arial" w:eastAsia="Arial" w:hAnsi="Arial"/>
          <w:sz w:val="17"/>
          <w:szCs w:val="17"/>
          <w:color w:val="auto"/>
        </w:rPr>
        <w:t>” “</w:t>
      </w:r>
      <w:r>
        <w:rPr>
          <w:rFonts w:ascii="Arial" w:cs="Arial" w:eastAsia="Arial" w:hAnsi="Arial"/>
          <w:sz w:val="17"/>
          <w:szCs w:val="17"/>
          <w:i w:val="1"/>
          <w:iCs w:val="1"/>
          <w:color w:val="auto"/>
        </w:rPr>
        <w:t>will,</w:t>
      </w:r>
      <w:r>
        <w:rPr>
          <w:rFonts w:ascii="Arial" w:cs="Arial" w:eastAsia="Arial" w:hAnsi="Arial"/>
          <w:sz w:val="17"/>
          <w:szCs w:val="17"/>
          <w:color w:val="auto"/>
        </w:rPr>
        <w:t>” “</w:t>
      </w:r>
      <w:r>
        <w:rPr>
          <w:rFonts w:ascii="Arial" w:cs="Arial" w:eastAsia="Arial" w:hAnsi="Arial"/>
          <w:sz w:val="17"/>
          <w:szCs w:val="17"/>
          <w:i w:val="1"/>
          <w:iCs w:val="1"/>
          <w:color w:val="auto"/>
        </w:rPr>
        <w:t>should,</w:t>
      </w:r>
      <w:r>
        <w:rPr>
          <w:rFonts w:ascii="Arial" w:cs="Arial" w:eastAsia="Arial" w:hAnsi="Arial"/>
          <w:sz w:val="17"/>
          <w:szCs w:val="17"/>
          <w:color w:val="auto"/>
        </w:rPr>
        <w:t>” “</w:t>
      </w:r>
      <w:r>
        <w:rPr>
          <w:rFonts w:ascii="Arial" w:cs="Arial" w:eastAsia="Arial" w:hAnsi="Arial"/>
          <w:sz w:val="17"/>
          <w:szCs w:val="17"/>
          <w:i w:val="1"/>
          <w:iCs w:val="1"/>
          <w:color w:val="auto"/>
        </w:rPr>
        <w:t>could,</w:t>
      </w:r>
      <w:r>
        <w:rPr>
          <w:rFonts w:ascii="Arial" w:cs="Arial" w:eastAsia="Arial" w:hAnsi="Arial"/>
          <w:sz w:val="17"/>
          <w:szCs w:val="17"/>
          <w:color w:val="auto"/>
        </w:rPr>
        <w:t>” “</w:t>
      </w:r>
      <w:r>
        <w:rPr>
          <w:rFonts w:ascii="Arial" w:cs="Arial" w:eastAsia="Arial" w:hAnsi="Arial"/>
          <w:sz w:val="17"/>
          <w:szCs w:val="17"/>
          <w:i w:val="1"/>
          <w:iCs w:val="1"/>
          <w:color w:val="auto"/>
        </w:rPr>
        <w:t>would,</w:t>
      </w:r>
      <w:r>
        <w:rPr>
          <w:rFonts w:ascii="Arial" w:cs="Arial" w:eastAsia="Arial" w:hAnsi="Arial"/>
          <w:sz w:val="17"/>
          <w:szCs w:val="17"/>
          <w:color w:val="auto"/>
        </w:rPr>
        <w:t>” “</w:t>
      </w:r>
      <w:r>
        <w:rPr>
          <w:rFonts w:ascii="Arial" w:cs="Arial" w:eastAsia="Arial" w:hAnsi="Arial"/>
          <w:sz w:val="17"/>
          <w:szCs w:val="17"/>
          <w:i w:val="1"/>
          <w:iCs w:val="1"/>
          <w:color w:val="auto"/>
        </w:rPr>
        <w:t>seek,</w:t>
      </w:r>
      <w:r>
        <w:rPr>
          <w:rFonts w:ascii="Arial" w:cs="Arial" w:eastAsia="Arial" w:hAnsi="Arial"/>
          <w:sz w:val="17"/>
          <w:szCs w:val="17"/>
          <w:color w:val="auto"/>
        </w:rPr>
        <w:t>” “</w:t>
      </w:r>
      <w:r>
        <w:rPr>
          <w:rFonts w:ascii="Arial" w:cs="Arial" w:eastAsia="Arial" w:hAnsi="Arial"/>
          <w:sz w:val="17"/>
          <w:szCs w:val="17"/>
          <w:i w:val="1"/>
          <w:iCs w:val="1"/>
          <w:color w:val="auto"/>
        </w:rPr>
        <w:t>expects,</w:t>
      </w:r>
      <w:r>
        <w:rPr>
          <w:rFonts w:ascii="Arial" w:cs="Arial" w:eastAsia="Arial" w:hAnsi="Arial"/>
          <w:sz w:val="17"/>
          <w:szCs w:val="17"/>
          <w:color w:val="auto"/>
        </w:rPr>
        <w:t>” “</w:t>
      </w:r>
      <w:r>
        <w:rPr>
          <w:rFonts w:ascii="Arial" w:cs="Arial" w:eastAsia="Arial" w:hAnsi="Arial"/>
          <w:sz w:val="17"/>
          <w:szCs w:val="17"/>
          <w:i w:val="1"/>
          <w:iCs w:val="1"/>
          <w:color w:val="auto"/>
        </w:rPr>
        <w:t>plans,</w:t>
      </w:r>
      <w:r>
        <w:rPr>
          <w:rFonts w:ascii="Arial" w:cs="Arial" w:eastAsia="Arial" w:hAnsi="Arial"/>
          <w:sz w:val="17"/>
          <w:szCs w:val="17"/>
          <w:color w:val="auto"/>
        </w:rPr>
        <w:t>” “</w:t>
      </w:r>
      <w:r>
        <w:rPr>
          <w:rFonts w:ascii="Arial" w:cs="Arial" w:eastAsia="Arial" w:hAnsi="Arial"/>
          <w:sz w:val="17"/>
          <w:szCs w:val="17"/>
          <w:i w:val="1"/>
          <w:iCs w:val="1"/>
          <w:color w:val="auto"/>
        </w:rPr>
        <w:t>aim,</w:t>
      </w:r>
      <w:r>
        <w:rPr>
          <w:rFonts w:ascii="Arial" w:cs="Arial" w:eastAsia="Arial" w:hAnsi="Arial"/>
          <w:sz w:val="17"/>
          <w:szCs w:val="17"/>
          <w:color w:val="auto"/>
        </w:rPr>
        <w:t>” “</w:t>
      </w:r>
      <w:r>
        <w:rPr>
          <w:rFonts w:ascii="Arial" w:cs="Arial" w:eastAsia="Arial" w:hAnsi="Arial"/>
          <w:sz w:val="17"/>
          <w:szCs w:val="17"/>
          <w:i w:val="1"/>
          <w:iCs w:val="1"/>
          <w:color w:val="auto"/>
        </w:rPr>
        <w:t>anticipates,</w:t>
      </w:r>
      <w:r>
        <w:rPr>
          <w:rFonts w:ascii="Arial" w:cs="Arial" w:eastAsia="Arial" w:hAnsi="Arial"/>
          <w:sz w:val="17"/>
          <w:szCs w:val="17"/>
          <w:color w:val="auto"/>
        </w:rPr>
        <w:t>” “</w:t>
      </w:r>
      <w:r>
        <w:rPr>
          <w:rFonts w:ascii="Arial" w:cs="Arial" w:eastAsia="Arial" w:hAnsi="Arial"/>
          <w:sz w:val="17"/>
          <w:szCs w:val="17"/>
          <w:i w:val="1"/>
          <w:iCs w:val="1"/>
          <w:color w:val="auto"/>
        </w:rPr>
        <w:t>believes,</w:t>
      </w:r>
      <w:r>
        <w:rPr>
          <w:rFonts w:ascii="Arial" w:cs="Arial" w:eastAsia="Arial" w:hAnsi="Arial"/>
          <w:sz w:val="17"/>
          <w:szCs w:val="17"/>
          <w:color w:val="auto"/>
        </w:rPr>
        <w:t>” “</w:t>
      </w:r>
      <w:r>
        <w:rPr>
          <w:rFonts w:ascii="Arial" w:cs="Arial" w:eastAsia="Arial" w:hAnsi="Arial"/>
          <w:sz w:val="17"/>
          <w:szCs w:val="17"/>
          <w:i w:val="1"/>
          <w:iCs w:val="1"/>
          <w:color w:val="auto"/>
        </w:rPr>
        <w:t>estimates,</w:t>
      </w:r>
      <w:r>
        <w:rPr>
          <w:rFonts w:ascii="Arial" w:cs="Arial" w:eastAsia="Arial" w:hAnsi="Arial"/>
          <w:sz w:val="17"/>
          <w:szCs w:val="17"/>
          <w:color w:val="auto"/>
        </w:rPr>
        <w:t>”</w:t>
      </w:r>
      <w:r>
        <w:rPr>
          <w:rFonts w:ascii="Arial" w:cs="Arial" w:eastAsia="Arial" w:hAnsi="Arial"/>
          <w:sz w:val="17"/>
          <w:szCs w:val="17"/>
          <w:i w:val="1"/>
          <w:iCs w:val="1"/>
          <w:color w:val="auto"/>
        </w:rPr>
        <w:t xml:space="preserve"> </w:t>
      </w:r>
      <w:r>
        <w:rPr>
          <w:rFonts w:ascii="Arial" w:cs="Arial" w:eastAsia="Arial" w:hAnsi="Arial"/>
          <w:sz w:val="17"/>
          <w:szCs w:val="17"/>
          <w:color w:val="auto"/>
        </w:rPr>
        <w:t>“</w:t>
      </w:r>
      <w:r>
        <w:rPr>
          <w:rFonts w:ascii="Arial" w:cs="Arial" w:eastAsia="Arial" w:hAnsi="Arial"/>
          <w:sz w:val="17"/>
          <w:szCs w:val="17"/>
          <w:i w:val="1"/>
          <w:iCs w:val="1"/>
          <w:color w:val="auto"/>
        </w:rPr>
        <w:t>projects,</w:t>
      </w:r>
      <w:r>
        <w:rPr>
          <w:rFonts w:ascii="Arial" w:cs="Arial" w:eastAsia="Arial" w:hAnsi="Arial"/>
          <w:sz w:val="17"/>
          <w:szCs w:val="17"/>
          <w:color w:val="auto"/>
        </w:rPr>
        <w:t>” “</w:t>
      </w:r>
      <w:r>
        <w:rPr>
          <w:rFonts w:ascii="Arial" w:cs="Arial" w:eastAsia="Arial" w:hAnsi="Arial"/>
          <w:sz w:val="17"/>
          <w:szCs w:val="17"/>
          <w:i w:val="1"/>
          <w:iCs w:val="1"/>
          <w:color w:val="auto"/>
        </w:rPr>
        <w:t>predicts,</w:t>
      </w:r>
      <w:r>
        <w:rPr>
          <w:rFonts w:ascii="Arial" w:cs="Arial" w:eastAsia="Arial" w:hAnsi="Arial"/>
          <w:sz w:val="17"/>
          <w:szCs w:val="17"/>
          <w:color w:val="auto"/>
        </w:rPr>
        <w:t>” “</w:t>
      </w:r>
      <w:r>
        <w:rPr>
          <w:rFonts w:ascii="Arial" w:cs="Arial" w:eastAsia="Arial" w:hAnsi="Arial"/>
          <w:sz w:val="17"/>
          <w:szCs w:val="17"/>
          <w:i w:val="1"/>
          <w:iCs w:val="1"/>
          <w:color w:val="auto"/>
        </w:rPr>
        <w:t>intends,</w:t>
      </w:r>
      <w:r>
        <w:rPr>
          <w:rFonts w:ascii="Arial" w:cs="Arial" w:eastAsia="Arial" w:hAnsi="Arial"/>
          <w:sz w:val="17"/>
          <w:szCs w:val="17"/>
          <w:color w:val="auto"/>
        </w:rPr>
        <w:t>” “</w:t>
      </w:r>
      <w:r>
        <w:rPr>
          <w:rFonts w:ascii="Arial" w:cs="Arial" w:eastAsia="Arial" w:hAnsi="Arial"/>
          <w:sz w:val="17"/>
          <w:szCs w:val="17"/>
          <w:i w:val="1"/>
          <w:iCs w:val="1"/>
          <w:color w:val="auto"/>
        </w:rPr>
        <w:t>think,</w:t>
      </w:r>
      <w:r>
        <w:rPr>
          <w:rFonts w:ascii="Arial" w:cs="Arial" w:eastAsia="Arial" w:hAnsi="Arial"/>
          <w:sz w:val="17"/>
          <w:szCs w:val="17"/>
          <w:color w:val="auto"/>
        </w:rPr>
        <w:t>” “</w:t>
      </w:r>
      <w:r>
        <w:rPr>
          <w:rFonts w:ascii="Arial" w:cs="Arial" w:eastAsia="Arial" w:hAnsi="Arial"/>
          <w:sz w:val="17"/>
          <w:szCs w:val="17"/>
          <w:i w:val="1"/>
          <w:iCs w:val="1"/>
          <w:color w:val="auto"/>
        </w:rPr>
        <w:t>strategy,</w:t>
      </w:r>
      <w:r>
        <w:rPr>
          <w:rFonts w:ascii="Arial" w:cs="Arial" w:eastAsia="Arial" w:hAnsi="Arial"/>
          <w:sz w:val="17"/>
          <w:szCs w:val="17"/>
          <w:color w:val="auto"/>
        </w:rPr>
        <w:t>” “</w:t>
      </w:r>
      <w:r>
        <w:rPr>
          <w:rFonts w:ascii="Arial" w:cs="Arial" w:eastAsia="Arial" w:hAnsi="Arial"/>
          <w:sz w:val="17"/>
          <w:szCs w:val="17"/>
          <w:i w:val="1"/>
          <w:iCs w:val="1"/>
          <w:color w:val="auto"/>
        </w:rPr>
        <w:t>potential,</w:t>
      </w:r>
      <w:r>
        <w:rPr>
          <w:rFonts w:ascii="Arial" w:cs="Arial" w:eastAsia="Arial" w:hAnsi="Arial"/>
          <w:sz w:val="17"/>
          <w:szCs w:val="17"/>
          <w:color w:val="auto"/>
        </w:rPr>
        <w:t>” “</w:t>
      </w:r>
      <w:r>
        <w:rPr>
          <w:rFonts w:ascii="Arial" w:cs="Arial" w:eastAsia="Arial" w:hAnsi="Arial"/>
          <w:sz w:val="17"/>
          <w:szCs w:val="17"/>
          <w:i w:val="1"/>
          <w:iCs w:val="1"/>
          <w:color w:val="auto"/>
        </w:rPr>
        <w:t>objectives,</w:t>
      </w:r>
      <w:r>
        <w:rPr>
          <w:rFonts w:ascii="Arial" w:cs="Arial" w:eastAsia="Arial" w:hAnsi="Arial"/>
          <w:sz w:val="17"/>
          <w:szCs w:val="17"/>
          <w:color w:val="auto"/>
        </w:rPr>
        <w:t>” “</w:t>
      </w:r>
      <w:r>
        <w:rPr>
          <w:rFonts w:ascii="Arial" w:cs="Arial" w:eastAsia="Arial" w:hAnsi="Arial"/>
          <w:sz w:val="17"/>
          <w:szCs w:val="17"/>
          <w:i w:val="1"/>
          <w:iCs w:val="1"/>
          <w:color w:val="auto"/>
        </w:rPr>
        <w:t>optimistic,</w:t>
      </w:r>
      <w:r>
        <w:rPr>
          <w:rFonts w:ascii="Arial" w:cs="Arial" w:eastAsia="Arial" w:hAnsi="Arial"/>
          <w:sz w:val="17"/>
          <w:szCs w:val="17"/>
          <w:color w:val="auto"/>
        </w:rPr>
        <w:t>” “</w:t>
      </w:r>
      <w:r>
        <w:rPr>
          <w:rFonts w:ascii="Arial" w:cs="Arial" w:eastAsia="Arial" w:hAnsi="Arial"/>
          <w:sz w:val="17"/>
          <w:szCs w:val="17"/>
          <w:i w:val="1"/>
          <w:iCs w:val="1"/>
          <w:color w:val="auto"/>
        </w:rPr>
        <w:t>new,</w:t>
      </w:r>
      <w:r>
        <w:rPr>
          <w:rFonts w:ascii="Arial" w:cs="Arial" w:eastAsia="Arial" w:hAnsi="Arial"/>
          <w:sz w:val="17"/>
          <w:szCs w:val="17"/>
          <w:color w:val="auto"/>
        </w:rPr>
        <w:t>” “</w:t>
      </w:r>
      <w:r>
        <w:rPr>
          <w:rFonts w:ascii="Arial" w:cs="Arial" w:eastAsia="Arial" w:hAnsi="Arial"/>
          <w:sz w:val="17"/>
          <w:szCs w:val="17"/>
          <w:i w:val="1"/>
          <w:iCs w:val="1"/>
          <w:color w:val="auto"/>
        </w:rPr>
        <w:t>goal</w:t>
      </w:r>
      <w:r>
        <w:rPr>
          <w:rFonts w:ascii="Arial" w:cs="Arial" w:eastAsia="Arial" w:hAnsi="Arial"/>
          <w:sz w:val="17"/>
          <w:szCs w:val="17"/>
          <w:color w:val="auto"/>
        </w:rPr>
        <w:t xml:space="preserve">” </w:t>
      </w:r>
      <w:r>
        <w:rPr>
          <w:rFonts w:ascii="Arial" w:cs="Arial" w:eastAsia="Arial" w:hAnsi="Arial"/>
          <w:sz w:val="17"/>
          <w:szCs w:val="17"/>
          <w:i w:val="1"/>
          <w:iCs w:val="1"/>
          <w:color w:val="auto"/>
        </w:rPr>
        <w:t>and similar expressions intended to identify</w:t>
      </w:r>
      <w:r>
        <w:rPr>
          <w:rFonts w:ascii="Arial" w:cs="Arial" w:eastAsia="Arial" w:hAnsi="Arial"/>
          <w:sz w:val="17"/>
          <w:szCs w:val="17"/>
          <w:color w:val="auto"/>
        </w:rPr>
        <w:t xml:space="preserve"> </w:t>
      </w:r>
      <w:r>
        <w:rPr>
          <w:rFonts w:ascii="Arial" w:cs="Arial" w:eastAsia="Arial" w:hAnsi="Arial"/>
          <w:sz w:val="17"/>
          <w:szCs w:val="17"/>
          <w:i w:val="1"/>
          <w:iCs w:val="1"/>
          <w:color w:val="auto"/>
        </w:rPr>
        <w:t xml:space="preserve">forward-looking statements. These statements reflect our current views with respect to future events and are based on assumptions and subject to risks and uncertainties. Given these uncertainties, you should not place undue reliance on these forward-looking statements. We discuss many of these risks in detail under the heading </w:t>
      </w:r>
      <w:r>
        <w:rPr>
          <w:rFonts w:ascii="Arial" w:cs="Arial" w:eastAsia="Arial" w:hAnsi="Arial"/>
          <w:sz w:val="17"/>
          <w:szCs w:val="17"/>
          <w:color w:val="auto"/>
        </w:rPr>
        <w:t>“</w:t>
      </w:r>
      <w:r>
        <w:rPr>
          <w:rFonts w:ascii="Arial" w:cs="Arial" w:eastAsia="Arial" w:hAnsi="Arial"/>
          <w:sz w:val="17"/>
          <w:szCs w:val="17"/>
          <w:i w:val="1"/>
          <w:iCs w:val="1"/>
          <w:color w:val="auto"/>
        </w:rPr>
        <w:t>Item 1A. Risk Factors</w:t>
      </w:r>
      <w:r>
        <w:rPr>
          <w:rFonts w:ascii="Arial" w:cs="Arial" w:eastAsia="Arial" w:hAnsi="Arial"/>
          <w:sz w:val="17"/>
          <w:szCs w:val="17"/>
          <w:color w:val="auto"/>
        </w:rPr>
        <w:t>”</w:t>
      </w:r>
      <w:r>
        <w:rPr>
          <w:rFonts w:ascii="Arial" w:cs="Arial" w:eastAsia="Arial" w:hAnsi="Arial"/>
          <w:sz w:val="17"/>
          <w:szCs w:val="17"/>
          <w:i w:val="1"/>
          <w:iCs w:val="1"/>
          <w:color w:val="auto"/>
        </w:rPr>
        <w:t xml:space="preserve"> beginning on page 7 of this Annual Report on Form 10-K. You should carefully review all of these factors, as well as other risks described in our public filings, and you should be aware that there may be other factors, including factors of which we are not currently aware, that could cause these differences. Also, these forward-looking statements represent our estimates and assumptions only as of the date of this report. We may not update these forward-looking statements, even though our situation may change in the future, unless we have obligations under the federal securities laws to update and disclose material developments related to previously disclosed information. Harvard Bioscience, Inc. is referred to herein as </w:t>
      </w:r>
      <w:r>
        <w:rPr>
          <w:rFonts w:ascii="Arial" w:cs="Arial" w:eastAsia="Arial" w:hAnsi="Arial"/>
          <w:sz w:val="17"/>
          <w:szCs w:val="17"/>
          <w:color w:val="auto"/>
        </w:rPr>
        <w:t>“</w:t>
      </w:r>
      <w:r>
        <w:rPr>
          <w:rFonts w:ascii="Arial" w:cs="Arial" w:eastAsia="Arial" w:hAnsi="Arial"/>
          <w:sz w:val="17"/>
          <w:szCs w:val="17"/>
          <w:i w:val="1"/>
          <w:iCs w:val="1"/>
          <w:color w:val="auto"/>
        </w:rPr>
        <w:t>we,</w:t>
      </w:r>
      <w:r>
        <w:rPr>
          <w:rFonts w:ascii="Arial" w:cs="Arial" w:eastAsia="Arial" w:hAnsi="Arial"/>
          <w:sz w:val="17"/>
          <w:szCs w:val="17"/>
          <w:color w:val="auto"/>
        </w:rPr>
        <w:t>” “</w:t>
      </w:r>
      <w:r>
        <w:rPr>
          <w:rFonts w:ascii="Arial" w:cs="Arial" w:eastAsia="Arial" w:hAnsi="Arial"/>
          <w:sz w:val="17"/>
          <w:szCs w:val="17"/>
          <w:i w:val="1"/>
          <w:iCs w:val="1"/>
          <w:color w:val="auto"/>
        </w:rPr>
        <w:t>our,</w:t>
      </w:r>
      <w:r>
        <w:rPr>
          <w:rFonts w:ascii="Arial" w:cs="Arial" w:eastAsia="Arial" w:hAnsi="Arial"/>
          <w:sz w:val="17"/>
          <w:szCs w:val="17"/>
          <w:color w:val="auto"/>
        </w:rPr>
        <w:t>” “</w:t>
      </w:r>
      <w:r>
        <w:rPr>
          <w:rFonts w:ascii="Arial" w:cs="Arial" w:eastAsia="Arial" w:hAnsi="Arial"/>
          <w:sz w:val="17"/>
          <w:szCs w:val="17"/>
          <w:i w:val="1"/>
          <w:iCs w:val="1"/>
          <w:color w:val="auto"/>
        </w:rPr>
        <w:t>us,</w:t>
      </w:r>
      <w:r>
        <w:rPr>
          <w:rFonts w:ascii="Arial" w:cs="Arial" w:eastAsia="Arial" w:hAnsi="Arial"/>
          <w:sz w:val="17"/>
          <w:szCs w:val="17"/>
          <w:color w:val="auto"/>
        </w:rPr>
        <w:t xml:space="preserve">” </w:t>
      </w:r>
      <w:r>
        <w:rPr>
          <w:rFonts w:ascii="Arial" w:cs="Arial" w:eastAsia="Arial" w:hAnsi="Arial"/>
          <w:sz w:val="17"/>
          <w:szCs w:val="17"/>
          <w:i w:val="1"/>
          <w:iCs w:val="1"/>
          <w:color w:val="auto"/>
        </w:rPr>
        <w:t>and</w:t>
      </w:r>
      <w:r>
        <w:rPr>
          <w:rFonts w:ascii="Arial" w:cs="Arial" w:eastAsia="Arial" w:hAnsi="Arial"/>
          <w:sz w:val="17"/>
          <w:szCs w:val="17"/>
          <w:color w:val="auto"/>
        </w:rPr>
        <w:t xml:space="preserve"> “</w:t>
      </w:r>
      <w:r>
        <w:rPr>
          <w:rFonts w:ascii="Arial" w:cs="Arial" w:eastAsia="Arial" w:hAnsi="Arial"/>
          <w:sz w:val="17"/>
          <w:szCs w:val="17"/>
          <w:i w:val="1"/>
          <w:iCs w:val="1"/>
          <w:color w:val="auto"/>
        </w:rPr>
        <w:t>the Company.</w:t>
      </w:r>
      <w:r>
        <w:rPr>
          <w:rFonts w:ascii="Arial" w:cs="Arial" w:eastAsia="Arial" w:hAnsi="Arial"/>
          <w:sz w:val="17"/>
          <w:szCs w:val="17"/>
          <w:color w:val="auto"/>
        </w:rPr>
        <w:t>”</w:t>
      </w:r>
    </w:p>
    <w:p>
      <w:pPr>
        <w:spacing w:after="0" w:line="184" w:lineRule="exact"/>
        <w:rPr>
          <w:sz w:val="20"/>
          <w:szCs w:val="20"/>
          <w:color w:val="auto"/>
        </w:rPr>
      </w:pPr>
    </w:p>
    <w:p>
      <w:pPr>
        <w:jc w:val="center"/>
        <w:ind w:right="-299"/>
        <w:spacing w:after="0"/>
        <w:rPr>
          <w:sz w:val="20"/>
          <w:szCs w:val="20"/>
          <w:color w:val="auto"/>
        </w:rPr>
      </w:pPr>
      <w:r>
        <w:rPr>
          <w:rFonts w:ascii="Arial" w:cs="Arial" w:eastAsia="Arial" w:hAnsi="Arial"/>
          <w:sz w:val="18"/>
          <w:szCs w:val="18"/>
          <w:b w:val="1"/>
          <w:bCs w:val="1"/>
          <w:color w:val="auto"/>
        </w:rPr>
        <w:t>PART I</w:t>
      </w:r>
    </w:p>
    <w:p>
      <w:pPr>
        <w:spacing w:after="0" w:line="225" w:lineRule="exact"/>
        <w:rPr>
          <w:sz w:val="20"/>
          <w:szCs w:val="20"/>
          <w:color w:val="auto"/>
        </w:rPr>
      </w:pPr>
    </w:p>
    <w:p>
      <w:pPr>
        <w:spacing w:after="0"/>
        <w:tabs>
          <w:tab w:leader="none" w:pos="960" w:val="left"/>
        </w:tabs>
        <w:rPr>
          <w:sz w:val="20"/>
          <w:szCs w:val="20"/>
          <w:color w:val="auto"/>
        </w:rPr>
      </w:pPr>
      <w:r>
        <w:rPr>
          <w:rFonts w:ascii="Arial" w:cs="Arial" w:eastAsia="Arial" w:hAnsi="Arial"/>
          <w:sz w:val="18"/>
          <w:szCs w:val="18"/>
          <w:b w:val="1"/>
          <w:bCs w:val="1"/>
          <w:color w:val="auto"/>
        </w:rPr>
        <w:t>Item 1.</w:t>
      </w:r>
      <w:r>
        <w:rPr>
          <w:sz w:val="20"/>
          <w:szCs w:val="20"/>
          <w:color w:val="auto"/>
        </w:rPr>
        <w:tab/>
      </w:r>
      <w:r>
        <w:rPr>
          <w:rFonts w:ascii="Arial" w:cs="Arial" w:eastAsia="Arial" w:hAnsi="Arial"/>
          <w:sz w:val="13"/>
          <w:szCs w:val="13"/>
          <w:b w:val="1"/>
          <w:bCs w:val="1"/>
          <w:i w:val="1"/>
          <w:iCs w:val="1"/>
          <w:color w:val="auto"/>
        </w:rPr>
        <w:t>Business.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Overview</w:t>
      </w:r>
    </w:p>
    <w:p>
      <w:pPr>
        <w:spacing w:after="0" w:line="229" w:lineRule="exact"/>
        <w:rPr>
          <w:sz w:val="20"/>
          <w:szCs w:val="20"/>
          <w:color w:val="auto"/>
        </w:rPr>
      </w:pPr>
    </w:p>
    <w:p>
      <w:pPr>
        <w:jc w:val="both"/>
        <w:ind w:firstLine="648"/>
        <w:spacing w:after="0" w:line="279" w:lineRule="auto"/>
        <w:rPr>
          <w:sz w:val="20"/>
          <w:szCs w:val="20"/>
          <w:color w:val="auto"/>
        </w:rPr>
      </w:pPr>
      <w:r>
        <w:rPr>
          <w:rFonts w:ascii="Arial" w:cs="Arial" w:eastAsia="Arial" w:hAnsi="Arial"/>
          <w:sz w:val="17"/>
          <w:szCs w:val="17"/>
          <w:color w:val="auto"/>
        </w:rPr>
        <w:t>Harvard Bioscience, Inc., a Delaware corporation, is a leading developer, manufacturer and seller of technologies, products and services that enable fundamental research, discovery, and preclinical testing for drug development. Our customers range from renowned academic institutions and government laboratories, to the world’s leading pharmaceutical, biotechnology and contract research organizations. With operations in North America, Europe, and China, we sell through a combination of direct and distribution channels to customers around the world.</w:t>
      </w:r>
    </w:p>
    <w:p>
      <w:pPr>
        <w:spacing w:after="0" w:line="16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Recent Developments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COVID-19</w:t>
      </w:r>
    </w:p>
    <w:p>
      <w:pPr>
        <w:spacing w:after="0" w:line="225" w:lineRule="exact"/>
        <w:rPr>
          <w:sz w:val="20"/>
          <w:szCs w:val="20"/>
          <w:color w:val="auto"/>
        </w:rPr>
      </w:pPr>
    </w:p>
    <w:p>
      <w:pPr>
        <w:jc w:val="both"/>
        <w:ind w:firstLine="648"/>
        <w:spacing w:after="0" w:line="288" w:lineRule="auto"/>
        <w:rPr>
          <w:sz w:val="20"/>
          <w:szCs w:val="20"/>
          <w:color w:val="auto"/>
        </w:rPr>
      </w:pPr>
      <w:r>
        <w:rPr>
          <w:rFonts w:ascii="Arial" w:cs="Arial" w:eastAsia="Arial" w:hAnsi="Arial"/>
          <w:sz w:val="16"/>
          <w:szCs w:val="16"/>
          <w:color w:val="auto"/>
        </w:rPr>
        <w:t>The COVID-19 pandemic has had a negative impact on our operations since its onset in March 2020. While the Company has improved revenues and operations during 2021, a higher degree of volatility and uncertainty in the global economy has been observed during this period, and with it uncertainty around economic impacts. Since the global outbreak of COVID-19, many customers, particularly academic research institutions, have reduced laboratory work which has negatively impacted, and will continue to negatively impact, the Company’s sales. While many of the Company's customers, including academic labs, have reopened, a significant number of them remained closed or at significantly lower capacity levels during 2021. Additionally, to ensure business continuity while maintaining a safe environment for employees aligned with guidance from government and health organizations, the Company transitioned a significant portion of its workforce to work-from-home while implementing social distancing requirements and other measures to allow manufacturing and other personnel essential to production to continue work within the Company’s facilities. Business travel was significantly reduced during this period. While a portion of the workforce has returned to in-office work and travel is less restricted, the Company continues to have restrictions which represent disruptions which can impact productivity including sales and marketing activities.</w:t>
      </w:r>
    </w:p>
    <w:p>
      <w:pPr>
        <w:spacing w:after="0" w:line="168"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The global supply chain experienced significant disruptions during 2021 due to electronic component and labor shortages and other macroeconomic factors which have emerged since the onset of the COVID-19 pandemic, leading to increased cost of freight, purchased materials and manufacturing labor, while also delaying customer shipments. Accordingly, these conditions in addition to the overall impact on the global economy have negatively impacted our results of operations and cash flows.</w:t>
      </w:r>
    </w:p>
    <w:p>
      <w:pPr>
        <w:spacing w:after="0" w:line="200" w:lineRule="exact"/>
        <w:rPr>
          <w:sz w:val="20"/>
          <w:szCs w:val="20"/>
          <w:color w:val="auto"/>
        </w:rPr>
      </w:pPr>
    </w:p>
    <w:p>
      <w:pPr>
        <w:spacing w:after="0" w:line="200" w:lineRule="exact"/>
        <w:rPr>
          <w:sz w:val="20"/>
          <w:szCs w:val="20"/>
          <w:color w:val="auto"/>
        </w:rPr>
      </w:pPr>
    </w:p>
    <w:p>
      <w:pPr>
        <w:spacing w:after="0" w:line="24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4" w:name="page5"/>
    <w:bookmarkEnd w:id="4"/>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Our History and Strategy</w:t>
      </w:r>
    </w:p>
    <w:p>
      <w:pPr>
        <w:spacing w:after="0" w:line="229"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Our business began in 1901 under the name Harvard Apparatus. It was founded by Dr. William T. Porter, a Professor of Physiology at Harvard Medical School and a pioneer of physiology education. We have grown over the years with the development and evolution of modern life science research and education. Our early inventions included ventilators based on Dr. Porter’s design, the mechanical syringe pump for drug infusion in the 1950s, and the microprocessor-controlled syringe pump in the 1980s.</w:t>
      </w:r>
    </w:p>
    <w:p>
      <w:pPr>
        <w:spacing w:after="0" w:line="187" w:lineRule="exact"/>
        <w:rPr>
          <w:sz w:val="20"/>
          <w:szCs w:val="20"/>
          <w:color w:val="auto"/>
        </w:rPr>
      </w:pPr>
    </w:p>
    <w:p>
      <w:pPr>
        <w:jc w:val="both"/>
        <w:ind w:firstLine="648"/>
        <w:spacing w:after="0" w:line="257" w:lineRule="auto"/>
        <w:rPr>
          <w:sz w:val="20"/>
          <w:szCs w:val="20"/>
          <w:color w:val="auto"/>
        </w:rPr>
      </w:pPr>
      <w:r>
        <w:rPr>
          <w:rFonts w:ascii="Arial" w:cs="Arial" w:eastAsia="Arial" w:hAnsi="Arial"/>
          <w:sz w:val="18"/>
          <w:szCs w:val="18"/>
          <w:color w:val="auto"/>
        </w:rPr>
        <w:t>In March of 1996, a group of investors acquired a majority of the then existing business of our predecessor, Harvard Apparatus, Inc. Following this acquisition, our focus was redirected to acquiring complementary companies with innovative technologies while continuing to grow the existing business through internal product development. Since 1996, we have completed multiple business or product line acquisitions related to our continuing operations. Harvard Bioscience, Inc. was incorporated in the State of Delaware in September 2000 and became the successor entity to Harvard Apparatus, Inc. by merger in November 2000.</w:t>
      </w:r>
    </w:p>
    <w:p>
      <w:pPr>
        <w:spacing w:after="0" w:line="188" w:lineRule="exact"/>
        <w:rPr>
          <w:sz w:val="20"/>
          <w:szCs w:val="20"/>
          <w:color w:val="auto"/>
        </w:rPr>
      </w:pPr>
    </w:p>
    <w:p>
      <w:pPr>
        <w:jc w:val="both"/>
        <w:ind w:firstLine="648"/>
        <w:spacing w:after="0" w:line="279" w:lineRule="auto"/>
        <w:rPr>
          <w:sz w:val="20"/>
          <w:szCs w:val="20"/>
          <w:color w:val="auto"/>
        </w:rPr>
      </w:pPr>
      <w:r>
        <w:rPr>
          <w:rFonts w:ascii="Arial" w:cs="Arial" w:eastAsia="Arial" w:hAnsi="Arial"/>
          <w:sz w:val="17"/>
          <w:szCs w:val="17"/>
          <w:color w:val="auto"/>
        </w:rPr>
        <w:t>In December 2019, we implemented a restructuring plan (the “Restructuring Plan”) to deliver significant cost savings beginning in 2020 and to support delivery of the strategic action plan we announced in September 2019. The Restructuring Plan included consolidation of our Connecticut manufacturing plant to our existing Massachusetts site, downsizing of operations in the United Kingdom and a reduction in force across the business equal to approximately 10% of our headcount. The initial initiatives under the Restructuring Plan were completed in the second half of 2020.</w:t>
      </w:r>
    </w:p>
    <w:p>
      <w:pPr>
        <w:spacing w:after="0" w:line="171"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We continued to execute the Restructuring Plan during the COVID-19 pandemic and expanded the scope of the restructuring by realigning our organizational structure to reduce management layers and accelerated our efforts to move to a leaner organization and operation. As a result of this expanded scope, we eliminated additional headcount during 2020, and in the first quarter of 2021, communicated to employees our plan to consolidate certain engineering operations and eliminate two small facilities in Europe.</w:t>
      </w:r>
    </w:p>
    <w:p>
      <w:pPr>
        <w:spacing w:after="0" w:line="187" w:lineRule="exact"/>
        <w:rPr>
          <w:sz w:val="20"/>
          <w:szCs w:val="20"/>
          <w:color w:val="auto"/>
        </w:rPr>
      </w:pPr>
    </w:p>
    <w:p>
      <w:pPr>
        <w:jc w:val="both"/>
        <w:ind w:firstLine="648"/>
        <w:spacing w:after="0" w:line="263" w:lineRule="auto"/>
        <w:rPr>
          <w:sz w:val="20"/>
          <w:szCs w:val="20"/>
          <w:color w:val="auto"/>
        </w:rPr>
      </w:pPr>
      <w:r>
        <w:rPr>
          <w:rFonts w:ascii="Arial" w:cs="Arial" w:eastAsia="Arial" w:hAnsi="Arial"/>
          <w:sz w:val="18"/>
          <w:szCs w:val="18"/>
          <w:color w:val="auto"/>
        </w:rPr>
        <w:t>In 2021 we completed cost savings initiatives and related actions related to the Restructuring Plan, and we increased our focus on effectiveness of sales and product management to deliver organic sales growth. A portion of the savings generated from the Restructuring Plan has been reinvested to support these growth initiatives.</w:t>
      </w:r>
    </w:p>
    <w:p>
      <w:pPr>
        <w:spacing w:after="0" w:line="180" w:lineRule="exact"/>
        <w:rPr>
          <w:sz w:val="20"/>
          <w:szCs w:val="20"/>
          <w:color w:val="auto"/>
        </w:rPr>
      </w:pPr>
    </w:p>
    <w:p>
      <w:pPr>
        <w:ind w:left="160"/>
        <w:spacing w:after="0"/>
        <w:rPr>
          <w:sz w:val="20"/>
          <w:szCs w:val="20"/>
          <w:color w:val="auto"/>
        </w:rPr>
      </w:pPr>
      <w:r>
        <w:rPr>
          <w:rFonts w:ascii="Arial" w:cs="Arial" w:eastAsia="Arial" w:hAnsi="Arial"/>
          <w:sz w:val="18"/>
          <w:szCs w:val="18"/>
          <w:b w:val="1"/>
          <w:bCs w:val="1"/>
          <w:color w:val="auto"/>
        </w:rPr>
        <w:t>Our Products</w:t>
      </w:r>
    </w:p>
    <w:p>
      <w:pPr>
        <w:spacing w:after="0" w:line="229" w:lineRule="exact"/>
        <w:rPr>
          <w:sz w:val="20"/>
          <w:szCs w:val="20"/>
          <w:color w:val="auto"/>
        </w:rPr>
      </w:pPr>
    </w:p>
    <w:p>
      <w:pPr>
        <w:jc w:val="both"/>
        <w:ind w:firstLine="648"/>
        <w:spacing w:after="0" w:line="342" w:lineRule="auto"/>
        <w:rPr>
          <w:sz w:val="20"/>
          <w:szCs w:val="20"/>
          <w:color w:val="auto"/>
        </w:rPr>
      </w:pPr>
      <w:r>
        <w:rPr>
          <w:rFonts w:ascii="Arial" w:cs="Arial" w:eastAsia="Arial" w:hAnsi="Arial"/>
          <w:sz w:val="16"/>
          <w:szCs w:val="16"/>
          <w:color w:val="auto"/>
        </w:rPr>
        <w:t>Our products support research in 6 different classes of laboratory use: (1) molecular, (2) cellular, (3) tissue, (4) organ, (5) organisms or preclinical and (6) clinical. We have organized our product line activities into two product families, Cellular and Molecular Technologies (CMT) and Preclinical.</w:t>
      </w:r>
    </w:p>
    <w:p>
      <w:pPr>
        <w:spacing w:after="0" w:line="124"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Products in classes (1), (2), (3), (4) and some products in class (5) are part of CMT, which includes 14 individual business lines supporting new drug discovery and development. Our Preclinical product family includes 4 individual business lines included in class (5) which support the preclinical research phase for drug development. CMT products are primarily sold to academic and government labs and institutions. Preclinical products are primarily sold to pharmaceutical, biotechnology and contract research organizations.</w:t>
      </w:r>
    </w:p>
    <w:p>
      <w:pPr>
        <w:spacing w:after="0" w:line="200" w:lineRule="exact"/>
        <w:rPr>
          <w:sz w:val="20"/>
          <w:szCs w:val="20"/>
          <w:color w:val="auto"/>
        </w:rPr>
      </w:pPr>
    </w:p>
    <w:p>
      <w:pPr>
        <w:spacing w:after="0" w:line="20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5" w:name="page6"/>
    <w:bookmarkEnd w:id="5"/>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ind w:left="660"/>
        <w:spacing w:after="0"/>
        <w:rPr>
          <w:sz w:val="20"/>
          <w:szCs w:val="20"/>
          <w:color w:val="auto"/>
        </w:rPr>
      </w:pPr>
      <w:r>
        <w:rPr>
          <w:rFonts w:ascii="Arial" w:cs="Arial" w:eastAsia="Arial" w:hAnsi="Arial"/>
          <w:sz w:val="17"/>
          <w:szCs w:val="17"/>
          <w:color w:val="auto"/>
        </w:rPr>
        <w:t>We primarily sell our products under several brand names, including Harvard Apparatus, DSI, Ponemah, Buxco, Biochrom, BTX, MCS.</w:t>
      </w:r>
    </w:p>
    <w:p>
      <w:pPr>
        <w:spacing w:after="0" w:line="237" w:lineRule="exact"/>
        <w:rPr>
          <w:sz w:val="20"/>
          <w:szCs w:val="20"/>
          <w:color w:val="auto"/>
        </w:rPr>
      </w:pPr>
    </w:p>
    <w:p>
      <w:pPr>
        <w:jc w:val="both"/>
        <w:ind w:firstLine="648"/>
        <w:spacing w:after="0" w:line="273" w:lineRule="auto"/>
        <w:rPr>
          <w:sz w:val="20"/>
          <w:szCs w:val="20"/>
          <w:color w:val="auto"/>
        </w:rPr>
      </w:pPr>
      <w:r>
        <w:rPr>
          <w:rFonts w:ascii="Arial" w:cs="Arial" w:eastAsia="Arial" w:hAnsi="Arial"/>
          <w:sz w:val="17"/>
          <w:szCs w:val="17"/>
          <w:color w:val="auto"/>
        </w:rPr>
        <w:t>Our solutions range from simple to complex, and generally consist of hardware/firmware/ and software products, augmented with consumables, options, upgrades and post-sales (scientific) services. Sales prices of these products and services range from under $100 to over $100,000. Our products include spectrophotometers that analyze light to detect and quantify a wide range of molecules as well as cell analysis and electroporation and electrofusion systems to influence and/or analyze cellular processes. Other products and services focus on tissue and organ responses to new drugs and encompass wireless monitors, and signal acquisition and analysis functionality. We also feature products that monitor physiology processes in living organisms to study behavior. Many of our proprietary products are leaders in their field.</w:t>
      </w:r>
    </w:p>
    <w:p>
      <w:pPr>
        <w:spacing w:after="0" w:line="178" w:lineRule="exact"/>
        <w:rPr>
          <w:sz w:val="20"/>
          <w:szCs w:val="20"/>
          <w:color w:val="auto"/>
        </w:rPr>
      </w:pPr>
    </w:p>
    <w:p>
      <w:pPr>
        <w:jc w:val="both"/>
        <w:ind w:firstLine="648"/>
        <w:spacing w:after="0" w:line="257" w:lineRule="auto"/>
        <w:rPr>
          <w:sz w:val="20"/>
          <w:szCs w:val="20"/>
          <w:color w:val="auto"/>
        </w:rPr>
      </w:pPr>
      <w:r>
        <w:rPr>
          <w:rFonts w:ascii="Arial" w:cs="Arial" w:eastAsia="Arial" w:hAnsi="Arial"/>
          <w:sz w:val="18"/>
          <w:szCs w:val="18"/>
          <w:color w:val="auto"/>
        </w:rPr>
        <w:t>In addition to our proprietarily manufactured products, we sell factored products from other manufacturers. These distributed products accounted for approximately 14% and 15% of our revenues for the years ended December 31, 2021 and 2020, respectively. Resale of factored products enable us to act as a single source for our customers’ research needs. They consist of a large variety of complementing instruments or accessories as well as consumables used in experiments involving fluid handling, molecular and cell analysis and tissue, organ and animal research. Following is a description of each product family.</w:t>
      </w:r>
    </w:p>
    <w:p>
      <w:pPr>
        <w:spacing w:after="0" w:line="188" w:lineRule="exact"/>
        <w:rPr>
          <w:sz w:val="20"/>
          <w:szCs w:val="20"/>
          <w:color w:val="auto"/>
        </w:rPr>
      </w:pPr>
    </w:p>
    <w:p>
      <w:pPr>
        <w:ind w:left="160"/>
        <w:spacing w:after="0"/>
        <w:rPr>
          <w:sz w:val="20"/>
          <w:szCs w:val="20"/>
          <w:color w:val="auto"/>
        </w:rPr>
      </w:pPr>
      <w:r>
        <w:rPr>
          <w:rFonts w:ascii="Arial" w:cs="Arial" w:eastAsia="Arial" w:hAnsi="Arial"/>
          <w:sz w:val="18"/>
          <w:szCs w:val="18"/>
          <w:b w:val="1"/>
          <w:bCs w:val="1"/>
          <w:i w:val="1"/>
          <w:iCs w:val="1"/>
          <w:color w:val="auto"/>
        </w:rPr>
        <w:t>Cellular and Molecular Technologies Product Family</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6"/>
          <w:szCs w:val="16"/>
          <w:color w:val="auto"/>
        </w:rPr>
        <w:t>Our CMT product family includes products designed primarily to support the discovery phase of new drug development. CMT products include:</w:t>
      </w:r>
    </w:p>
    <w:p>
      <w:pPr>
        <w:spacing w:after="0" w:line="248" w:lineRule="exact"/>
        <w:rPr>
          <w:sz w:val="20"/>
          <w:szCs w:val="20"/>
          <w:color w:val="auto"/>
        </w:rPr>
      </w:pPr>
    </w:p>
    <w:p>
      <w:pPr>
        <w:ind w:left="1620" w:right="600" w:hanging="640"/>
        <w:spacing w:after="0" w:line="277" w:lineRule="auto"/>
        <w:tabs>
          <w:tab w:leader="none" w:pos="1620" w:val="left"/>
        </w:tabs>
        <w:numPr>
          <w:ilvl w:val="0"/>
          <w:numId w:val="3"/>
        </w:numPr>
        <w:rPr>
          <w:rFonts w:ascii="Arial" w:cs="Arial" w:eastAsia="Arial" w:hAnsi="Arial"/>
          <w:sz w:val="18"/>
          <w:szCs w:val="18"/>
          <w:color w:val="auto"/>
        </w:rPr>
      </w:pPr>
      <w:r>
        <w:rPr>
          <w:rFonts w:ascii="Arial" w:cs="Arial" w:eastAsia="Arial" w:hAnsi="Arial"/>
          <w:sz w:val="18"/>
          <w:szCs w:val="18"/>
          <w:color w:val="auto"/>
        </w:rPr>
        <w:t>syringe and peristaltic pump product lines, as well as a broad range of instruments and accessories for tissue, organ-based lab research, including surgical products, infusion systems, and behavior research systems;</w:t>
      </w:r>
    </w:p>
    <w:p>
      <w:pPr>
        <w:spacing w:after="0" w:line="170" w:lineRule="exact"/>
        <w:rPr>
          <w:rFonts w:ascii="Arial" w:cs="Arial" w:eastAsia="Arial" w:hAnsi="Arial"/>
          <w:sz w:val="18"/>
          <w:szCs w:val="18"/>
          <w:color w:val="auto"/>
        </w:rPr>
      </w:pPr>
    </w:p>
    <w:p>
      <w:pPr>
        <w:ind w:left="1620" w:right="480" w:hanging="640"/>
        <w:spacing w:after="0" w:line="277" w:lineRule="auto"/>
        <w:tabs>
          <w:tab w:leader="none" w:pos="1620" w:val="left"/>
        </w:tabs>
        <w:numPr>
          <w:ilvl w:val="0"/>
          <w:numId w:val="3"/>
        </w:numPr>
        <w:rPr>
          <w:rFonts w:ascii="Arial" w:cs="Arial" w:eastAsia="Arial" w:hAnsi="Arial"/>
          <w:sz w:val="18"/>
          <w:szCs w:val="18"/>
          <w:color w:val="auto"/>
        </w:rPr>
      </w:pPr>
      <w:r>
        <w:rPr>
          <w:rFonts w:ascii="Arial" w:cs="Arial" w:eastAsia="Arial" w:hAnsi="Arial"/>
          <w:sz w:val="18"/>
          <w:szCs w:val="18"/>
          <w:color w:val="auto"/>
        </w:rPr>
        <w:t>electroporation and electrofusion instruments, amino acid analyzers, spectrophotometers, and other equipment which primarily support molecular level testing and research; and</w:t>
      </w:r>
    </w:p>
    <w:p>
      <w:pPr>
        <w:spacing w:after="0" w:line="170" w:lineRule="exact"/>
        <w:rPr>
          <w:rFonts w:ascii="Arial" w:cs="Arial" w:eastAsia="Arial" w:hAnsi="Arial"/>
          <w:sz w:val="18"/>
          <w:szCs w:val="18"/>
          <w:color w:val="auto"/>
        </w:rPr>
      </w:pPr>
    </w:p>
    <w:p>
      <w:pPr>
        <w:ind w:left="1620" w:right="40" w:hanging="640"/>
        <w:spacing w:after="0" w:line="263" w:lineRule="auto"/>
        <w:tabs>
          <w:tab w:leader="none" w:pos="1620" w:val="left"/>
        </w:tabs>
        <w:numPr>
          <w:ilvl w:val="0"/>
          <w:numId w:val="3"/>
        </w:numPr>
        <w:rPr>
          <w:rFonts w:ascii="Arial" w:cs="Arial" w:eastAsia="Arial" w:hAnsi="Arial"/>
          <w:sz w:val="18"/>
          <w:szCs w:val="18"/>
          <w:color w:val="auto"/>
        </w:rPr>
      </w:pPr>
      <w:r>
        <w:rPr>
          <w:rFonts w:ascii="Arial" w:cs="Arial" w:eastAsia="Arial" w:hAnsi="Arial"/>
          <w:sz w:val="18"/>
          <w:szCs w:val="18"/>
          <w:color w:val="auto"/>
        </w:rPr>
        <w:t>precision scientific measuring instrumentation and equipment in the field of electrophysiology such as: data acquisition systems with custom amplifier configurations for cellular analysis, complete micro electrode array solutions for in vivo recordings and in vitro systems for extracellular recordings.</w:t>
      </w:r>
    </w:p>
    <w:p>
      <w:pPr>
        <w:spacing w:after="0" w:line="184" w:lineRule="exact"/>
        <w:rPr>
          <w:sz w:val="20"/>
          <w:szCs w:val="20"/>
          <w:color w:val="auto"/>
        </w:rPr>
      </w:pPr>
    </w:p>
    <w:p>
      <w:pPr>
        <w:ind w:left="660"/>
        <w:spacing w:after="0"/>
        <w:rPr>
          <w:sz w:val="20"/>
          <w:szCs w:val="20"/>
          <w:color w:val="auto"/>
        </w:rPr>
      </w:pPr>
      <w:r>
        <w:rPr>
          <w:rFonts w:ascii="Arial" w:cs="Arial" w:eastAsia="Arial" w:hAnsi="Arial"/>
          <w:sz w:val="17"/>
          <w:szCs w:val="17"/>
          <w:color w:val="auto"/>
        </w:rPr>
        <w:t>Our CMT product family made up approximately 57% of our global revenues for each of the years ended December 31, 2021 and 2020.</w:t>
      </w:r>
    </w:p>
    <w:p>
      <w:pPr>
        <w:spacing w:after="0" w:line="237" w:lineRule="exact"/>
        <w:rPr>
          <w:sz w:val="20"/>
          <w:szCs w:val="20"/>
          <w:color w:val="auto"/>
        </w:rPr>
      </w:pPr>
    </w:p>
    <w:p>
      <w:pPr>
        <w:ind w:left="160"/>
        <w:spacing w:after="0"/>
        <w:rPr>
          <w:sz w:val="20"/>
          <w:szCs w:val="20"/>
          <w:color w:val="auto"/>
        </w:rPr>
      </w:pPr>
      <w:r>
        <w:rPr>
          <w:rFonts w:ascii="Arial" w:cs="Arial" w:eastAsia="Arial" w:hAnsi="Arial"/>
          <w:sz w:val="18"/>
          <w:szCs w:val="18"/>
          <w:b w:val="1"/>
          <w:bCs w:val="1"/>
          <w:i w:val="1"/>
          <w:iCs w:val="1"/>
          <w:color w:val="auto"/>
        </w:rPr>
        <w:t>Preclinical Product Family</w:t>
      </w:r>
    </w:p>
    <w:p>
      <w:pPr>
        <w:spacing w:after="0" w:line="225" w:lineRule="exact"/>
        <w:rPr>
          <w:sz w:val="20"/>
          <w:szCs w:val="20"/>
          <w:color w:val="auto"/>
        </w:rPr>
      </w:pPr>
    </w:p>
    <w:p>
      <w:pPr>
        <w:ind w:firstLine="648"/>
        <w:spacing w:after="0" w:line="308" w:lineRule="auto"/>
        <w:rPr>
          <w:sz w:val="20"/>
          <w:szCs w:val="20"/>
          <w:color w:val="auto"/>
        </w:rPr>
      </w:pPr>
      <w:r>
        <w:rPr>
          <w:rFonts w:ascii="Arial" w:cs="Arial" w:eastAsia="Arial" w:hAnsi="Arial"/>
          <w:sz w:val="17"/>
          <w:szCs w:val="17"/>
          <w:color w:val="auto"/>
        </w:rPr>
        <w:t>Our Preclinical product family provides a complete platform to assess physiological data from organisms for research ranging from basic research to drug discovery, and drug development services. The Preclinical product family consists of the DSI and Buxco brands. It includes:</w:t>
      </w:r>
    </w:p>
    <w:p>
      <w:pPr>
        <w:spacing w:after="0" w:line="146" w:lineRule="exact"/>
        <w:rPr>
          <w:sz w:val="20"/>
          <w:szCs w:val="20"/>
          <w:color w:val="auto"/>
        </w:rPr>
      </w:pPr>
    </w:p>
    <w:p>
      <w:pPr>
        <w:ind w:left="1620" w:right="260" w:hanging="640"/>
        <w:spacing w:after="0" w:line="277" w:lineRule="auto"/>
        <w:tabs>
          <w:tab w:leader="none" w:pos="1620" w:val="left"/>
        </w:tabs>
        <w:numPr>
          <w:ilvl w:val="0"/>
          <w:numId w:val="4"/>
        </w:numPr>
        <w:rPr>
          <w:rFonts w:ascii="Arial" w:cs="Arial" w:eastAsia="Arial" w:hAnsi="Arial"/>
          <w:sz w:val="18"/>
          <w:szCs w:val="18"/>
          <w:color w:val="auto"/>
        </w:rPr>
      </w:pPr>
      <w:r>
        <w:rPr>
          <w:rFonts w:ascii="Arial" w:cs="Arial" w:eastAsia="Arial" w:hAnsi="Arial"/>
          <w:sz w:val="18"/>
          <w:szCs w:val="18"/>
          <w:color w:val="auto"/>
        </w:rPr>
        <w:t>the most comprehensive portfolio of implantable and externally-worn telemetry systems, which are commonly used in research to collect cardiovascular, central nervous system, respiratory, metabolic data;</w:t>
      </w:r>
    </w:p>
    <w:p>
      <w:pPr>
        <w:spacing w:after="0" w:line="170" w:lineRule="exact"/>
        <w:rPr>
          <w:rFonts w:ascii="Arial" w:cs="Arial" w:eastAsia="Arial" w:hAnsi="Arial"/>
          <w:sz w:val="18"/>
          <w:szCs w:val="18"/>
          <w:color w:val="auto"/>
        </w:rPr>
      </w:pPr>
    </w:p>
    <w:p>
      <w:pPr>
        <w:ind w:left="1620" w:right="460" w:hanging="640"/>
        <w:spacing w:after="0" w:line="277" w:lineRule="auto"/>
        <w:tabs>
          <w:tab w:leader="none" w:pos="1620" w:val="left"/>
        </w:tabs>
        <w:numPr>
          <w:ilvl w:val="0"/>
          <w:numId w:val="4"/>
        </w:numPr>
        <w:rPr>
          <w:rFonts w:ascii="Arial" w:cs="Arial" w:eastAsia="Arial" w:hAnsi="Arial"/>
          <w:sz w:val="18"/>
          <w:szCs w:val="18"/>
          <w:color w:val="auto"/>
        </w:rPr>
      </w:pPr>
      <w:r>
        <w:rPr>
          <w:rFonts w:ascii="Arial" w:cs="Arial" w:eastAsia="Arial" w:hAnsi="Arial"/>
          <w:sz w:val="18"/>
          <w:szCs w:val="18"/>
          <w:color w:val="auto"/>
        </w:rPr>
        <w:t>turn-key respiratory system solutions encompassing plethysmograph chambers, data acquisition hardware, physiological signal analysis software, and final report generation;</w:t>
      </w:r>
    </w:p>
    <w:p>
      <w:pPr>
        <w:spacing w:after="0" w:line="170" w:lineRule="exact"/>
        <w:rPr>
          <w:rFonts w:ascii="Arial" w:cs="Arial" w:eastAsia="Arial" w:hAnsi="Arial"/>
          <w:sz w:val="18"/>
          <w:szCs w:val="18"/>
          <w:color w:val="auto"/>
        </w:rPr>
      </w:pPr>
    </w:p>
    <w:p>
      <w:pPr>
        <w:ind w:left="1620" w:right="120" w:hanging="640"/>
        <w:spacing w:after="0" w:line="277" w:lineRule="auto"/>
        <w:tabs>
          <w:tab w:leader="none" w:pos="1620" w:val="left"/>
        </w:tabs>
        <w:numPr>
          <w:ilvl w:val="0"/>
          <w:numId w:val="4"/>
        </w:numPr>
        <w:rPr>
          <w:rFonts w:ascii="Arial" w:cs="Arial" w:eastAsia="Arial" w:hAnsi="Arial"/>
          <w:sz w:val="18"/>
          <w:szCs w:val="18"/>
          <w:color w:val="auto"/>
        </w:rPr>
      </w:pPr>
      <w:r>
        <w:rPr>
          <w:rFonts w:ascii="Arial" w:cs="Arial" w:eastAsia="Arial" w:hAnsi="Arial"/>
          <w:sz w:val="18"/>
          <w:szCs w:val="18"/>
          <w:color w:val="auto"/>
        </w:rPr>
        <w:t>inhalation and exposure systems providing precise, homogenous aerosol delivery for up to 42 subjects, while integrating respiratory parameters for the ultimate delivered dose system; and</w:t>
      </w:r>
    </w:p>
    <w:p>
      <w:pPr>
        <w:spacing w:after="0" w:line="170" w:lineRule="exact"/>
        <w:rPr>
          <w:rFonts w:ascii="Arial" w:cs="Arial" w:eastAsia="Arial" w:hAnsi="Arial"/>
          <w:sz w:val="18"/>
          <w:szCs w:val="18"/>
          <w:color w:val="auto"/>
        </w:rPr>
      </w:pPr>
    </w:p>
    <w:p>
      <w:pPr>
        <w:ind w:left="1620" w:right="280" w:hanging="640"/>
        <w:spacing w:after="0" w:line="277" w:lineRule="auto"/>
        <w:tabs>
          <w:tab w:leader="none" w:pos="1620" w:val="left"/>
        </w:tabs>
        <w:numPr>
          <w:ilvl w:val="0"/>
          <w:numId w:val="4"/>
        </w:numPr>
        <w:rPr>
          <w:rFonts w:ascii="Arial" w:cs="Arial" w:eastAsia="Arial" w:hAnsi="Arial"/>
          <w:sz w:val="18"/>
          <w:szCs w:val="18"/>
          <w:color w:val="auto"/>
        </w:rPr>
      </w:pPr>
      <w:r>
        <w:rPr>
          <w:rFonts w:ascii="Arial" w:cs="Arial" w:eastAsia="Arial" w:hAnsi="Arial"/>
          <w:sz w:val="18"/>
          <w:szCs w:val="18"/>
          <w:color w:val="auto"/>
        </w:rPr>
        <w:t>powerful GLP-capable data acquisition and analysis systems, capable of integrating third party sensors for a more comprehensive study design.</w:t>
      </w:r>
    </w:p>
    <w:p>
      <w:pPr>
        <w:spacing w:after="0" w:line="170" w:lineRule="exact"/>
        <w:rPr>
          <w:sz w:val="20"/>
          <w:szCs w:val="20"/>
          <w:color w:val="auto"/>
        </w:rPr>
      </w:pPr>
    </w:p>
    <w:p>
      <w:pPr>
        <w:ind w:firstLine="648"/>
        <w:spacing w:after="0" w:line="277" w:lineRule="auto"/>
        <w:rPr>
          <w:sz w:val="20"/>
          <w:szCs w:val="20"/>
          <w:color w:val="auto"/>
        </w:rPr>
      </w:pPr>
      <w:r>
        <w:rPr>
          <w:rFonts w:ascii="Arial" w:cs="Arial" w:eastAsia="Arial" w:hAnsi="Arial"/>
          <w:sz w:val="18"/>
          <w:szCs w:val="18"/>
          <w:color w:val="auto"/>
        </w:rPr>
        <w:t>DSI’s direct sales force supports North America, Europe, and China, with distributors supporting the rest of the world. Our Preclinical products made up approximately 43% of our global revenues for each of the years ended December 31, 2021 and 2020.</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6" w:name="page7"/>
    <w:bookmarkEnd w:id="6"/>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Customers</w:t>
      </w:r>
    </w:p>
    <w:p>
      <w:pPr>
        <w:spacing w:after="0" w:line="229" w:lineRule="exact"/>
        <w:rPr>
          <w:sz w:val="20"/>
          <w:szCs w:val="20"/>
          <w:color w:val="auto"/>
        </w:rPr>
      </w:pPr>
    </w:p>
    <w:p>
      <w:pPr>
        <w:jc w:val="both"/>
        <w:ind w:firstLine="648"/>
        <w:spacing w:after="0" w:line="272" w:lineRule="auto"/>
        <w:rPr>
          <w:sz w:val="20"/>
          <w:szCs w:val="20"/>
          <w:color w:val="auto"/>
        </w:rPr>
      </w:pPr>
      <w:r>
        <w:rPr>
          <w:rFonts w:ascii="Arial" w:cs="Arial" w:eastAsia="Arial" w:hAnsi="Arial"/>
          <w:sz w:val="17"/>
          <w:szCs w:val="17"/>
          <w:color w:val="auto"/>
        </w:rPr>
        <w:t>Our end-user customers are primarily research scientists at pharmaceutical and biotechnology companies, universities, hospitals, government laboratories, including the United States National Institutes of Health (NIH), and contract research organizations (CROs). Our pharmaceutical and biotechnology customers have included pharmaceutical companies and research laboratories such as Pfizer, Amgen, Inc., AstraZeneca plc, Genentech, Inc. and Johnson &amp; Johnson. Our academic customers include major colleges and universities including Harvard University, Cambridge University, Johns Hopkins University, Massachusetts Institute of Technology, Yale University, the University of California system, Baylor College of Medicine, and the University of Texas - MD Anderson Center. Our CRO customers include Covance and Charles River Laboratories. We have a wide range of diverse customers worldwide and no customer accounted for more than 10% of our revenues in 2021.</w:t>
      </w:r>
    </w:p>
    <w:p>
      <w:pPr>
        <w:spacing w:after="0" w:line="17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Sales</w:t>
      </w:r>
    </w:p>
    <w:p>
      <w:pPr>
        <w:spacing w:after="0" w:line="229" w:lineRule="exact"/>
        <w:rPr>
          <w:sz w:val="20"/>
          <w:szCs w:val="20"/>
          <w:color w:val="auto"/>
        </w:rPr>
      </w:pPr>
    </w:p>
    <w:p>
      <w:pPr>
        <w:jc w:val="both"/>
        <w:ind w:firstLine="648"/>
        <w:spacing w:after="0" w:line="286" w:lineRule="auto"/>
        <w:rPr>
          <w:sz w:val="20"/>
          <w:szCs w:val="20"/>
          <w:color w:val="auto"/>
        </w:rPr>
      </w:pPr>
      <w:r>
        <w:rPr>
          <w:rFonts w:ascii="Arial" w:cs="Arial" w:eastAsia="Arial" w:hAnsi="Arial"/>
          <w:sz w:val="17"/>
          <w:szCs w:val="17"/>
          <w:color w:val="auto"/>
        </w:rPr>
        <w:t>We conduct direct sales in the United States, United Kingdom, Germany, France, Italy, Spain, Sweden, Canada and China. We sell primarily through distributors in other countries. For the year ended December 31, 2021, revenues from direct sales to end-users represented approximately 67% of our revenues; and revenues from sales of our products through distributors represented approximately 33% of our revenues.</w:t>
      </w:r>
    </w:p>
    <w:p>
      <w:pPr>
        <w:spacing w:after="0" w:line="16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Direct Sales</w:t>
      </w:r>
    </w:p>
    <w:p>
      <w:pPr>
        <w:spacing w:after="0" w:line="225" w:lineRule="exact"/>
        <w:rPr>
          <w:sz w:val="20"/>
          <w:szCs w:val="20"/>
          <w:color w:val="auto"/>
        </w:rPr>
      </w:pPr>
    </w:p>
    <w:p>
      <w:pPr>
        <w:jc w:val="both"/>
        <w:ind w:firstLine="648"/>
        <w:spacing w:after="0" w:line="311" w:lineRule="auto"/>
        <w:rPr>
          <w:sz w:val="20"/>
          <w:szCs w:val="20"/>
          <w:color w:val="auto"/>
        </w:rPr>
      </w:pPr>
      <w:r>
        <w:rPr>
          <w:rFonts w:ascii="Arial" w:cs="Arial" w:eastAsia="Arial" w:hAnsi="Arial"/>
          <w:sz w:val="16"/>
          <w:szCs w:val="16"/>
          <w:color w:val="auto"/>
        </w:rPr>
        <w:t>We have a global sales organization managing both direct sales and distributors. Our websites and catalogs serve as the primary sales tool for our product lines, which includes both proprietary manufactured products and complementary products from various suppliers. Our reputation as a leading producer of many of our manufactured products creates traffic to our websites, enables cross-selling and facilitates the introduction of new products.</w:t>
      </w:r>
    </w:p>
    <w:p>
      <w:pPr>
        <w:spacing w:after="0" w:line="14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Sales through Distributors</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7"/>
          <w:szCs w:val="17"/>
          <w:color w:val="auto"/>
        </w:rPr>
        <w:t>We engage distributors for the sales of our own branded and private label products in certain areas of the world and for certain product lines.</w:t>
      </w:r>
    </w:p>
    <w:p>
      <w:pPr>
        <w:spacing w:after="0" w:line="23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Marketing</w:t>
      </w:r>
    </w:p>
    <w:p>
      <w:pPr>
        <w:spacing w:after="0" w:line="229" w:lineRule="exact"/>
        <w:rPr>
          <w:sz w:val="20"/>
          <w:szCs w:val="20"/>
          <w:color w:val="auto"/>
        </w:rPr>
      </w:pPr>
    </w:p>
    <w:p>
      <w:pPr>
        <w:jc w:val="both"/>
        <w:ind w:firstLine="648"/>
        <w:spacing w:after="0" w:line="257" w:lineRule="auto"/>
        <w:rPr>
          <w:sz w:val="20"/>
          <w:szCs w:val="20"/>
          <w:color w:val="auto"/>
        </w:rPr>
      </w:pPr>
      <w:r>
        <w:rPr>
          <w:rFonts w:ascii="Arial" w:cs="Arial" w:eastAsia="Arial" w:hAnsi="Arial"/>
          <w:sz w:val="18"/>
          <w:szCs w:val="18"/>
          <w:color w:val="auto"/>
        </w:rPr>
        <w:t>We have a centralized marketing group, which encompasses product management, field-marketing and market communications and application science. Marketing maintains value-proposition based product roadmaps, collaborates with research and development on timing and investment for new products, supports direct and distributor sales activities, sets the global pricing of our products and conceives the storylines on how to sell our products. Marketing also maintains digital presence across the web and social media, creates electronic leads and analyzes opportunities for new product portfolio extensions.</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Research and Development</w:t>
      </w:r>
    </w:p>
    <w:p>
      <w:pPr>
        <w:spacing w:after="0" w:line="229" w:lineRule="exact"/>
        <w:rPr>
          <w:sz w:val="20"/>
          <w:szCs w:val="20"/>
          <w:color w:val="auto"/>
        </w:rPr>
      </w:pPr>
    </w:p>
    <w:p>
      <w:pPr>
        <w:jc w:val="both"/>
        <w:ind w:firstLine="648"/>
        <w:spacing w:after="0" w:line="273" w:lineRule="auto"/>
        <w:rPr>
          <w:sz w:val="20"/>
          <w:szCs w:val="20"/>
          <w:color w:val="auto"/>
        </w:rPr>
      </w:pPr>
      <w:r>
        <w:rPr>
          <w:rFonts w:ascii="Arial" w:cs="Arial" w:eastAsia="Arial" w:hAnsi="Arial"/>
          <w:sz w:val="17"/>
          <w:szCs w:val="17"/>
          <w:color w:val="auto"/>
        </w:rPr>
        <w:t>Our principal research and development mission is to develop products that address growth opportunities within the life science research process as well as to maintain and optimize our existing product portfolios. We maintain development staff in many of our manufacturing facilities to design and develop new products and to re-engineer existing products to bring them to the next generation. Our research and development expenses were approximately $10.8 million and $8.7 million for the years ended December 31, 2021 and 2020, respectively. We anticipate that we will continue to make investments in research and development activities as we deem appropriate. We plan to continue to pursue a balanced development portfolio strategy of originating new products from internal research and acquiring products through business and technology acquisitions.</w:t>
      </w:r>
    </w:p>
    <w:p>
      <w:pPr>
        <w:spacing w:after="0" w:line="17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Manufacturing</w:t>
      </w:r>
    </w:p>
    <w:p>
      <w:pPr>
        <w:spacing w:after="0" w:line="229" w:lineRule="exact"/>
        <w:rPr>
          <w:sz w:val="20"/>
          <w:szCs w:val="20"/>
          <w:color w:val="auto"/>
        </w:rPr>
      </w:pPr>
    </w:p>
    <w:p>
      <w:pPr>
        <w:jc w:val="both"/>
        <w:ind w:firstLine="648"/>
        <w:spacing w:after="0" w:line="272" w:lineRule="auto"/>
        <w:rPr>
          <w:sz w:val="20"/>
          <w:szCs w:val="20"/>
          <w:color w:val="auto"/>
        </w:rPr>
      </w:pPr>
      <w:r>
        <w:rPr>
          <w:rFonts w:ascii="Arial" w:cs="Arial" w:eastAsia="Arial" w:hAnsi="Arial"/>
          <w:sz w:val="17"/>
          <w:szCs w:val="17"/>
          <w:color w:val="auto"/>
        </w:rPr>
        <w:t>We manufacture and test the majority of our products in our principal manufacturing facilities located in the United States, Sweden, Spain and Germany. We have considerable manufacturing flexibility at our various facilities, and each facility can manufacture multiple products at the same time. We maintain in-house manufacturing expertise, technologies and resources. We seek to maintain multiple suppliers for key components that are not manufactured in-house, and while some of our products are dependent on sole-source suppliers, we have made investments in new talent in procurement and other functions to reduce exposures related to sole-source suppliers, and are accelerating these efforts given the dynamics of the global supply chain in 2021. Our manufacturing operations primarily involve assembly and testing activities along with some machine-based processes. Going forward we will continue to evaluate our manufacturing facilities and operations in order to optimize our manufacturing footprint.</w:t>
      </w:r>
    </w:p>
    <w:p>
      <w:pPr>
        <w:spacing w:after="0" w:line="177" w:lineRule="exact"/>
        <w:rPr>
          <w:sz w:val="20"/>
          <w:szCs w:val="20"/>
          <w:color w:val="auto"/>
        </w:rPr>
      </w:pPr>
    </w:p>
    <w:p>
      <w:pPr>
        <w:ind w:left="660"/>
        <w:spacing w:after="0"/>
        <w:rPr>
          <w:sz w:val="20"/>
          <w:szCs w:val="20"/>
          <w:color w:val="auto"/>
        </w:rPr>
      </w:pPr>
      <w:r>
        <w:rPr>
          <w:rFonts w:ascii="Arial" w:cs="Arial" w:eastAsia="Arial" w:hAnsi="Arial"/>
          <w:sz w:val="18"/>
          <w:szCs w:val="18"/>
          <w:color w:val="auto"/>
        </w:rPr>
        <w:t>See “Part I, Item 2. Properties” of this report for additional information regarding our manufacturing facilities.</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7" w:name="page8"/>
    <w:bookmarkEnd w:id="7"/>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Competition</w:t>
      </w:r>
    </w:p>
    <w:p>
      <w:pPr>
        <w:spacing w:after="0" w:line="229" w:lineRule="exact"/>
        <w:rPr>
          <w:sz w:val="20"/>
          <w:szCs w:val="20"/>
          <w:color w:val="auto"/>
        </w:rPr>
      </w:pPr>
    </w:p>
    <w:p>
      <w:pPr>
        <w:jc w:val="both"/>
        <w:ind w:firstLine="648"/>
        <w:spacing w:after="0" w:line="270" w:lineRule="auto"/>
        <w:rPr>
          <w:sz w:val="20"/>
          <w:szCs w:val="20"/>
          <w:color w:val="auto"/>
        </w:rPr>
      </w:pPr>
      <w:r>
        <w:rPr>
          <w:rFonts w:ascii="Arial" w:cs="Arial" w:eastAsia="Arial" w:hAnsi="Arial"/>
          <w:sz w:val="17"/>
          <w:szCs w:val="17"/>
          <w:color w:val="auto"/>
        </w:rPr>
        <w:t>The markets into which we sell our products are highly competitive, and we expect the intensity of competition to continue or increase. We compete with many companies engaged in developing and selling tools for life science research. Many of our competitors have greater financial, operational, sales and marketing resources and more experience in research and development and commercialization than we have. Moreover, our competitors may have greater name recognition than we do, and many offer discounts as a competitive tactic. These competitors and other companies may have developed or could in the future develop new technologies that compete with our products, which could render our products obsolete. We cannot provide assurance that we will be able to make the enhancements to our technologies necessary to compete successfully with newly emerging technologies. We believe that we offer one of the broadest selections of products to organizations engaged in life science research. We have numerous competitors on a product line basis. We believe that we compete favorably with our competitors on the basis of product performance, including quality, reliability, speed, technical support, price and delivery time.</w:t>
      </w:r>
    </w:p>
    <w:p>
      <w:pPr>
        <w:spacing w:after="0" w:line="181" w:lineRule="exact"/>
        <w:rPr>
          <w:sz w:val="20"/>
          <w:szCs w:val="20"/>
          <w:color w:val="auto"/>
        </w:rPr>
      </w:pPr>
    </w:p>
    <w:p>
      <w:pPr>
        <w:jc w:val="both"/>
        <w:ind w:firstLine="648"/>
        <w:spacing w:after="0" w:line="263" w:lineRule="auto"/>
        <w:rPr>
          <w:sz w:val="20"/>
          <w:szCs w:val="20"/>
          <w:color w:val="auto"/>
        </w:rPr>
      </w:pPr>
      <w:r>
        <w:rPr>
          <w:rFonts w:ascii="Arial" w:cs="Arial" w:eastAsia="Arial" w:hAnsi="Arial"/>
          <w:sz w:val="18"/>
          <w:szCs w:val="18"/>
          <w:color w:val="auto"/>
        </w:rPr>
        <w:t>We compete with several companies that provide instruments for life science research including, Lonza Group Ltd., Becton Dickinson, Eppendorf AG, Kent Scientific Corporation, Razel Scientific Instruments, Inc., Ugo Basile, Danaher Corporation, Bio-Rad Laboratories, Inc., PerkinElmer, Inc., Thermo Fisher Scientific, Inc. Notocord, Emka Technologies and TSE Systems.</w:t>
      </w:r>
    </w:p>
    <w:p>
      <w:pPr>
        <w:spacing w:after="0" w:line="184" w:lineRule="exact"/>
        <w:rPr>
          <w:sz w:val="20"/>
          <w:szCs w:val="20"/>
          <w:color w:val="auto"/>
        </w:rPr>
      </w:pPr>
    </w:p>
    <w:p>
      <w:pPr>
        <w:jc w:val="both"/>
        <w:ind w:firstLine="648"/>
        <w:spacing w:after="0" w:line="286" w:lineRule="auto"/>
        <w:rPr>
          <w:sz w:val="20"/>
          <w:szCs w:val="20"/>
          <w:color w:val="auto"/>
        </w:rPr>
      </w:pPr>
      <w:r>
        <w:rPr>
          <w:rFonts w:ascii="Arial" w:cs="Arial" w:eastAsia="Arial" w:hAnsi="Arial"/>
          <w:sz w:val="17"/>
          <w:szCs w:val="17"/>
          <w:color w:val="auto"/>
        </w:rPr>
        <w:t>We cannot forecast if or when these or other companies may develop competitive products. We expect that other products will compete with our products and potential products based on efficacy, safety, cost and intellectual property positions. While we believe that these will be the primary competitive factors, other factors include, in certain instances, availability of supply, manufacturing, marketing and sales expertise and capability.</w:t>
      </w:r>
    </w:p>
    <w:p>
      <w:pPr>
        <w:spacing w:after="0" w:line="16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Seasonality</w:t>
      </w:r>
    </w:p>
    <w:p>
      <w:pPr>
        <w:spacing w:after="0" w:line="229" w:lineRule="exact"/>
        <w:rPr>
          <w:sz w:val="20"/>
          <w:szCs w:val="20"/>
          <w:color w:val="auto"/>
        </w:rPr>
      </w:pPr>
    </w:p>
    <w:p>
      <w:pPr>
        <w:jc w:val="both"/>
        <w:ind w:firstLine="648"/>
        <w:spacing w:after="0" w:line="286" w:lineRule="auto"/>
        <w:rPr>
          <w:sz w:val="20"/>
          <w:szCs w:val="20"/>
          <w:color w:val="auto"/>
        </w:rPr>
      </w:pPr>
      <w:r>
        <w:rPr>
          <w:rFonts w:ascii="Arial" w:cs="Arial" w:eastAsia="Arial" w:hAnsi="Arial"/>
          <w:sz w:val="17"/>
          <w:szCs w:val="17"/>
          <w:color w:val="auto"/>
        </w:rPr>
        <w:t>Sales and earnings in our third quarter are usually flat or down from the second quarter primarily because there are a large number of holidays and vacations during such quarter, especially in Europe. Our fourth quarter revenues and earnings are often the highest in any fiscal year compared to the other three quarters, primarily because many of our customers tend to spend budgeted money before their own fiscal year ends.</w:t>
      </w:r>
    </w:p>
    <w:p>
      <w:pPr>
        <w:spacing w:after="0" w:line="16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Intellectual Property</w:t>
      </w:r>
    </w:p>
    <w:p>
      <w:pPr>
        <w:spacing w:after="0" w:line="229" w:lineRule="exact"/>
        <w:rPr>
          <w:sz w:val="20"/>
          <w:szCs w:val="20"/>
          <w:color w:val="auto"/>
        </w:rPr>
      </w:pPr>
    </w:p>
    <w:p>
      <w:pPr>
        <w:jc w:val="both"/>
        <w:ind w:firstLine="648"/>
        <w:spacing w:after="0" w:line="263" w:lineRule="auto"/>
        <w:rPr>
          <w:sz w:val="20"/>
          <w:szCs w:val="20"/>
          <w:color w:val="auto"/>
        </w:rPr>
      </w:pPr>
      <w:r>
        <w:rPr>
          <w:rFonts w:ascii="Arial" w:cs="Arial" w:eastAsia="Arial" w:hAnsi="Arial"/>
          <w:sz w:val="18"/>
          <w:szCs w:val="18"/>
          <w:color w:val="auto"/>
        </w:rPr>
        <w:t>To establish and protect our proprietary technologies and products, we rely on a combination of patent, copyright, trademark and trade secret laws, as well as confidentiality provisions in our contracts. Patents or patent applications cover certain of our new technologies. Most of our more mature product lines are protected by trade names and trade secrets only.</w:t>
      </w:r>
    </w:p>
    <w:p>
      <w:pPr>
        <w:spacing w:after="0" w:line="184" w:lineRule="exact"/>
        <w:rPr>
          <w:sz w:val="20"/>
          <w:szCs w:val="20"/>
          <w:color w:val="auto"/>
        </w:rPr>
      </w:pPr>
    </w:p>
    <w:p>
      <w:pPr>
        <w:jc w:val="both"/>
        <w:ind w:firstLine="648"/>
        <w:spacing w:after="0" w:line="263" w:lineRule="auto"/>
        <w:rPr>
          <w:sz w:val="20"/>
          <w:szCs w:val="20"/>
          <w:color w:val="auto"/>
        </w:rPr>
      </w:pPr>
      <w:r>
        <w:rPr>
          <w:rFonts w:ascii="Arial" w:cs="Arial" w:eastAsia="Arial" w:hAnsi="Arial"/>
          <w:sz w:val="18"/>
          <w:szCs w:val="18"/>
          <w:color w:val="auto"/>
        </w:rPr>
        <w:t>We have implemented a patent strategy designed to provide us with freedom to operate and facilitate commercialization of our current and future products. Our success depends, to a significant degree, upon our ability to develop proprietary products and technologies. We intend to continue to file patent applications as we develop new products and technologies.</w:t>
      </w:r>
    </w:p>
    <w:p>
      <w:pPr>
        <w:spacing w:after="0" w:line="184" w:lineRule="exact"/>
        <w:rPr>
          <w:sz w:val="20"/>
          <w:szCs w:val="20"/>
          <w:color w:val="auto"/>
        </w:rPr>
      </w:pPr>
    </w:p>
    <w:p>
      <w:pPr>
        <w:jc w:val="both"/>
        <w:ind w:firstLine="648"/>
        <w:spacing w:after="0" w:line="272" w:lineRule="auto"/>
        <w:rPr>
          <w:sz w:val="20"/>
          <w:szCs w:val="20"/>
          <w:color w:val="auto"/>
        </w:rPr>
      </w:pPr>
      <w:r>
        <w:rPr>
          <w:rFonts w:ascii="Arial" w:cs="Arial" w:eastAsia="Arial" w:hAnsi="Arial"/>
          <w:sz w:val="17"/>
          <w:szCs w:val="17"/>
          <w:color w:val="auto"/>
        </w:rPr>
        <w:t>Patents provide some degree of protection for our intellectual property. However, the assertion of patent protection involves complex legal and factual determinations and is therefore uncertain. The scope of any of our issued patents may not be sufficiently broad to offer meaningful protection. In addition, our issued patents or patents licensed to us may be successfully challenged, invalidated, circumvented or unenforceable so that our patent rights would not create an effective competitive barrier. Moreover, the laws of some foreign countries may protect our proprietary rights to a greater or lesser extent than the laws of the United States. In addition, the laws governing patentability and the scope of patent coverage continue to evolve, particularly in areas of interest to us. As a result, there can be no assurance that patents will be issued from any of our patent applications or from applications licensed to us. As a result of these factors, our intellectual property positions bear some degree of uncertainty.</w:t>
      </w:r>
    </w:p>
    <w:p>
      <w:pPr>
        <w:spacing w:after="0" w:line="177" w:lineRule="exact"/>
        <w:rPr>
          <w:sz w:val="20"/>
          <w:szCs w:val="20"/>
          <w:color w:val="auto"/>
        </w:rPr>
      </w:pPr>
    </w:p>
    <w:p>
      <w:pPr>
        <w:jc w:val="both"/>
        <w:ind w:firstLine="648"/>
        <w:spacing w:after="0" w:line="270" w:lineRule="auto"/>
        <w:rPr>
          <w:sz w:val="20"/>
          <w:szCs w:val="20"/>
          <w:color w:val="auto"/>
        </w:rPr>
      </w:pPr>
      <w:r>
        <w:rPr>
          <w:rFonts w:ascii="Arial" w:cs="Arial" w:eastAsia="Arial" w:hAnsi="Arial"/>
          <w:sz w:val="17"/>
          <w:szCs w:val="17"/>
          <w:color w:val="auto"/>
        </w:rPr>
        <w:t>We also rely in part on trade secret protection of our intellectual property. We attempt to protect our trade secrets by entering into confidentiality agreements with third parties, employees and consultants. Our employees and consultants also sign agreements requiring that they assign to us their interests in patents and copyrights arising from their work for us. Although many of our United States employees have signed agreements not to compete unfairly with us during their employment and after termination of their employment, through the misuse of confidential information, soliciting employees, soliciting customers and the like, the enforceability of these provisions varies from jurisdiction to jurisdiction and, in some circumstances, they may not be enforceable. In addition, it is possible that these agreements may be breached or invalidated and if so, there may not be an adequate corrective remedy available. Despite the measures we have taken to protect our intellectual property, we cannot provide assurance that third parties will not independently discover or invent competing technologies or reverse engineer our trade secrets or other technologies. Therefore, the measures we are taking to protect our proprietary rights may not be adequate.</w:t>
      </w:r>
    </w:p>
    <w:p>
      <w:pPr>
        <w:spacing w:after="0" w:line="39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8" w:name="page9"/>
    <w:bookmarkEnd w:id="8"/>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jc w:val="both"/>
        <w:ind w:firstLine="648"/>
        <w:spacing w:after="0" w:line="291" w:lineRule="auto"/>
        <w:rPr>
          <w:sz w:val="20"/>
          <w:szCs w:val="20"/>
          <w:color w:val="auto"/>
        </w:rPr>
      </w:pPr>
      <w:r>
        <w:rPr>
          <w:rFonts w:ascii="Arial" w:cs="Arial" w:eastAsia="Arial" w:hAnsi="Arial"/>
          <w:sz w:val="16"/>
          <w:szCs w:val="16"/>
          <w:color w:val="auto"/>
        </w:rPr>
        <w:t>We do not believe that our products infringe on the intellectual property rights of any third party. We cannot assure, however, that third parties will not claim such infringement by us or our licensors with respect to current or future products. We expect that product developers in our market will increasingly be subject to such claims as the number of products and competitors in our market segment grows and the product functionality in different market segments overlaps. In addition, patents on production and business methods are becoming more common and we expect that more patents will be issued in our technical field. Any such claims, with or without merit, could be time-consuming, result in costly litigation and diversion of management’s attention and resources, cause product shipment delays or require us to enter into royalty or licensing agreements. Moreover, such royalty or licensing agreements, if required, may not be on terms advantageous to us, or acceptable at all, which could seriously harm our business or financial condition.</w:t>
      </w:r>
    </w:p>
    <w:p>
      <w:pPr>
        <w:spacing w:after="0" w:line="166" w:lineRule="exact"/>
        <w:rPr>
          <w:sz w:val="20"/>
          <w:szCs w:val="20"/>
          <w:color w:val="auto"/>
        </w:rPr>
      </w:pPr>
    </w:p>
    <w:p>
      <w:pPr>
        <w:jc w:val="both"/>
        <w:ind w:right="20" w:firstLine="648"/>
        <w:spacing w:after="0" w:line="277" w:lineRule="auto"/>
        <w:rPr>
          <w:sz w:val="20"/>
          <w:szCs w:val="20"/>
          <w:color w:val="auto"/>
        </w:rPr>
      </w:pPr>
      <w:r>
        <w:rPr>
          <w:rFonts w:ascii="Arial" w:cs="Arial" w:eastAsia="Arial" w:hAnsi="Arial"/>
          <w:sz w:val="18"/>
          <w:szCs w:val="18"/>
          <w:color w:val="auto"/>
        </w:rPr>
        <w:t>“Harvard” is a registered trademark of Harvard University. The marks “Harvard Apparatus” and “Harvard Bioscience” are being used pursuant to a license agreement entered into in December 2002 between us and Harvard University.</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Government Regulation</w:t>
      </w:r>
    </w:p>
    <w:p>
      <w:pPr>
        <w:spacing w:after="0" w:line="229" w:lineRule="exact"/>
        <w:rPr>
          <w:sz w:val="20"/>
          <w:szCs w:val="20"/>
          <w:color w:val="auto"/>
        </w:rPr>
      </w:pPr>
    </w:p>
    <w:p>
      <w:pPr>
        <w:jc w:val="both"/>
        <w:ind w:firstLine="648"/>
        <w:spacing w:after="0" w:line="311" w:lineRule="auto"/>
        <w:rPr>
          <w:sz w:val="20"/>
          <w:szCs w:val="20"/>
          <w:color w:val="auto"/>
        </w:rPr>
      </w:pPr>
      <w:r>
        <w:rPr>
          <w:rFonts w:ascii="Arial" w:cs="Arial" w:eastAsia="Arial" w:hAnsi="Arial"/>
          <w:sz w:val="16"/>
          <w:szCs w:val="16"/>
          <w:color w:val="auto"/>
        </w:rPr>
        <w:t>We are not subject to direct governmental regulation other than the laws and regulations generally applicable to businesses in the domestic and foreign jurisdictions in which we operate. In particular, our current products are not subject to pre-market approval by the United States Food and Drug Administration (“FDA”) for use on human clinical patients. In addition, we believe we are materially in compliance with all relevant environmental laws.</w:t>
      </w:r>
    </w:p>
    <w:p>
      <w:pPr>
        <w:spacing w:after="0" w:line="14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Employees</w:t>
      </w:r>
    </w:p>
    <w:p>
      <w:pPr>
        <w:spacing w:after="0" w:line="229" w:lineRule="exact"/>
        <w:rPr>
          <w:sz w:val="20"/>
          <w:szCs w:val="20"/>
          <w:color w:val="auto"/>
        </w:rPr>
      </w:pPr>
    </w:p>
    <w:p>
      <w:pPr>
        <w:jc w:val="both"/>
        <w:ind w:firstLine="648"/>
        <w:spacing w:after="0" w:line="263" w:lineRule="auto"/>
        <w:rPr>
          <w:sz w:val="20"/>
          <w:szCs w:val="20"/>
          <w:color w:val="auto"/>
        </w:rPr>
      </w:pPr>
      <w:r>
        <w:rPr>
          <w:rFonts w:ascii="Arial" w:cs="Arial" w:eastAsia="Arial" w:hAnsi="Arial"/>
          <w:sz w:val="18"/>
          <w:szCs w:val="18"/>
          <w:color w:val="auto"/>
        </w:rPr>
        <w:t>As of December 31, 2021, we employed 494 employees, which included 475 full-time employees. Some of our employees in Europe have statutory collective bargaining rights. We have never experienced a general work stoppage or strike, and management believes that our relations with our employees are good. Additional information about our employees follows:</w:t>
      </w:r>
    </w:p>
    <w:p>
      <w:pPr>
        <w:spacing w:after="0" w:line="184" w:lineRule="exact"/>
        <w:rPr>
          <w:sz w:val="20"/>
          <w:szCs w:val="20"/>
          <w:color w:val="auto"/>
        </w:rPr>
      </w:pPr>
    </w:p>
    <w:tbl>
      <w:tblPr>
        <w:tblLayout w:type="fixed"/>
        <w:tblInd w:w="660" w:type="dxa"/>
        <w:tblCellMar>
          <w:top w:w="0" w:type="dxa"/>
          <w:left w:w="0" w:type="dxa"/>
          <w:bottom w:w="0" w:type="dxa"/>
          <w:right w:w="0" w:type="dxa"/>
        </w:tblCellMar>
      </w:tblPr>
      <w:tr>
        <w:trPr>
          <w:trHeight w:val="230"/>
        </w:trPr>
        <w:tc>
          <w:tcPr>
            <w:tcW w:w="3480" w:type="dxa"/>
            <w:vAlign w:val="bottom"/>
          </w:tcPr>
          <w:p>
            <w:pPr>
              <w:spacing w:after="0"/>
              <w:rPr>
                <w:sz w:val="20"/>
                <w:szCs w:val="20"/>
                <w:color w:val="auto"/>
              </w:rPr>
            </w:pPr>
            <w:r>
              <w:rPr>
                <w:rFonts w:ascii="Arial" w:cs="Arial" w:eastAsia="Arial" w:hAnsi="Arial"/>
                <w:sz w:val="18"/>
                <w:szCs w:val="18"/>
                <w:color w:val="auto"/>
              </w:rPr>
              <w:t>Employees by country:</w:t>
            </w:r>
          </w:p>
        </w:tc>
        <w:tc>
          <w:tcPr>
            <w:tcW w:w="6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000" w:type="dxa"/>
            <w:vAlign w:val="bottom"/>
          </w:tcPr>
          <w:p>
            <w:pPr>
              <w:spacing w:after="0"/>
              <w:rPr>
                <w:sz w:val="20"/>
                <w:szCs w:val="20"/>
                <w:color w:val="auto"/>
              </w:rPr>
            </w:pPr>
          </w:p>
        </w:tc>
      </w:tr>
      <w:tr>
        <w:trPr>
          <w:trHeight w:val="432"/>
        </w:trPr>
        <w:tc>
          <w:tcPr>
            <w:tcW w:w="3480" w:type="dxa"/>
            <w:vAlign w:val="bottom"/>
            <w:tcBorders>
              <w:bottom w:val="single" w:sz="8" w:color="auto"/>
            </w:tcBorders>
          </w:tcPr>
          <w:p>
            <w:pPr>
              <w:spacing w:after="0"/>
              <w:rPr>
                <w:sz w:val="20"/>
                <w:szCs w:val="20"/>
                <w:color w:val="auto"/>
              </w:rPr>
            </w:pPr>
            <w:r>
              <w:rPr>
                <w:rFonts w:ascii="Arial" w:cs="Arial" w:eastAsia="Arial" w:hAnsi="Arial"/>
                <w:sz w:val="18"/>
                <w:szCs w:val="18"/>
                <w:b w:val="1"/>
                <w:bCs w:val="1"/>
                <w:color w:val="auto"/>
              </w:rPr>
              <w:t>Country</w:t>
            </w:r>
          </w:p>
        </w:tc>
        <w:tc>
          <w:tcPr>
            <w:tcW w:w="60" w:type="dxa"/>
            <w:vAlign w:val="bottom"/>
          </w:tcPr>
          <w:p>
            <w:pPr>
              <w:spacing w:after="0"/>
              <w:rPr>
                <w:sz w:val="24"/>
                <w:szCs w:val="24"/>
                <w:color w:val="auto"/>
              </w:rPr>
            </w:pPr>
          </w:p>
        </w:tc>
        <w:tc>
          <w:tcPr>
            <w:tcW w:w="1020" w:type="dxa"/>
            <w:vAlign w:val="bottom"/>
            <w:tcBorders>
              <w:bottom w:val="single" w:sz="8" w:color="auto"/>
            </w:tcBorders>
          </w:tcPr>
          <w:p>
            <w:pPr>
              <w:jc w:val="right"/>
              <w:ind w:right="90"/>
              <w:spacing w:after="0"/>
              <w:rPr>
                <w:sz w:val="20"/>
                <w:szCs w:val="20"/>
                <w:color w:val="auto"/>
              </w:rPr>
            </w:pPr>
            <w:r>
              <w:rPr>
                <w:rFonts w:ascii="Arial" w:cs="Arial" w:eastAsia="Arial" w:hAnsi="Arial"/>
                <w:sz w:val="18"/>
                <w:szCs w:val="18"/>
                <w:b w:val="1"/>
                <w:bCs w:val="1"/>
                <w:color w:val="auto"/>
              </w:rPr>
              <w:t>Full time</w:t>
            </w:r>
          </w:p>
        </w:tc>
        <w:tc>
          <w:tcPr>
            <w:tcW w:w="60" w:type="dxa"/>
            <w:vAlign w:val="bottom"/>
          </w:tcPr>
          <w:p>
            <w:pPr>
              <w:spacing w:after="0"/>
              <w:rPr>
                <w:sz w:val="24"/>
                <w:szCs w:val="24"/>
                <w:color w:val="auto"/>
              </w:rPr>
            </w:pPr>
          </w:p>
        </w:tc>
        <w:tc>
          <w:tcPr>
            <w:tcW w:w="1000" w:type="dxa"/>
            <w:vAlign w:val="bottom"/>
            <w:tcBorders>
              <w:bottom w:val="single" w:sz="8" w:color="auto"/>
            </w:tcBorders>
          </w:tcPr>
          <w:p>
            <w:pPr>
              <w:jc w:val="right"/>
              <w:ind w:right="90"/>
              <w:spacing w:after="0"/>
              <w:rPr>
                <w:sz w:val="20"/>
                <w:szCs w:val="20"/>
                <w:color w:val="auto"/>
              </w:rPr>
            </w:pPr>
            <w:r>
              <w:rPr>
                <w:rFonts w:ascii="Arial" w:cs="Arial" w:eastAsia="Arial" w:hAnsi="Arial"/>
                <w:sz w:val="18"/>
                <w:szCs w:val="18"/>
                <w:b w:val="1"/>
                <w:bCs w:val="1"/>
                <w:color w:val="auto"/>
              </w:rPr>
              <w:t>Part time</w:t>
            </w:r>
          </w:p>
        </w:tc>
      </w:tr>
      <w:tr>
        <w:trPr>
          <w:trHeight w:val="209"/>
        </w:trPr>
        <w:tc>
          <w:tcPr>
            <w:tcW w:w="3480" w:type="dxa"/>
            <w:vAlign w:val="bottom"/>
            <w:shd w:val="clear" w:color="auto" w:fill="CCEEFF"/>
          </w:tcPr>
          <w:p>
            <w:pPr>
              <w:spacing w:after="0"/>
              <w:rPr>
                <w:sz w:val="20"/>
                <w:szCs w:val="20"/>
                <w:color w:val="auto"/>
              </w:rPr>
            </w:pPr>
            <w:r>
              <w:rPr>
                <w:rFonts w:ascii="Arial" w:cs="Arial" w:eastAsia="Arial" w:hAnsi="Arial"/>
                <w:sz w:val="18"/>
                <w:szCs w:val="18"/>
                <w:color w:val="auto"/>
              </w:rPr>
              <w:t>United States</w:t>
            </w:r>
          </w:p>
        </w:tc>
        <w:tc>
          <w:tcPr>
            <w:tcW w:w="10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296</w:t>
            </w:r>
          </w:p>
        </w:tc>
        <w:tc>
          <w:tcPr>
            <w:tcW w:w="10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13</w:t>
            </w:r>
          </w:p>
        </w:tc>
      </w:tr>
      <w:tr>
        <w:trPr>
          <w:trHeight w:val="216"/>
        </w:trPr>
        <w:tc>
          <w:tcPr>
            <w:tcW w:w="3480" w:type="dxa"/>
            <w:vAlign w:val="bottom"/>
          </w:tcPr>
          <w:p>
            <w:pPr>
              <w:spacing w:after="0"/>
              <w:rPr>
                <w:sz w:val="20"/>
                <w:szCs w:val="20"/>
                <w:color w:val="auto"/>
              </w:rPr>
            </w:pPr>
            <w:r>
              <w:rPr>
                <w:rFonts w:ascii="Arial" w:cs="Arial" w:eastAsia="Arial" w:hAnsi="Arial"/>
                <w:sz w:val="18"/>
                <w:szCs w:val="18"/>
                <w:color w:val="auto"/>
              </w:rPr>
              <w:t>Germany</w:t>
            </w:r>
          </w:p>
        </w:tc>
        <w:tc>
          <w:tcPr>
            <w:tcW w:w="1080" w:type="dxa"/>
            <w:vAlign w:val="bottom"/>
            <w:gridSpan w:val="2"/>
          </w:tcPr>
          <w:p>
            <w:pPr>
              <w:jc w:val="right"/>
              <w:spacing w:after="0"/>
              <w:rPr>
                <w:sz w:val="20"/>
                <w:szCs w:val="20"/>
                <w:color w:val="auto"/>
              </w:rPr>
            </w:pPr>
            <w:r>
              <w:rPr>
                <w:rFonts w:ascii="Arial" w:cs="Arial" w:eastAsia="Arial" w:hAnsi="Arial"/>
                <w:sz w:val="18"/>
                <w:szCs w:val="18"/>
                <w:color w:val="auto"/>
              </w:rPr>
              <w:t>81</w:t>
            </w:r>
          </w:p>
        </w:tc>
        <w:tc>
          <w:tcPr>
            <w:tcW w:w="1060" w:type="dxa"/>
            <w:vAlign w:val="bottom"/>
            <w:gridSpan w:val="2"/>
          </w:tcPr>
          <w:p>
            <w:pPr>
              <w:jc w:val="right"/>
              <w:spacing w:after="0"/>
              <w:rPr>
                <w:sz w:val="20"/>
                <w:szCs w:val="20"/>
                <w:color w:val="auto"/>
              </w:rPr>
            </w:pPr>
            <w:r>
              <w:rPr>
                <w:rFonts w:ascii="Arial" w:cs="Arial" w:eastAsia="Arial" w:hAnsi="Arial"/>
                <w:sz w:val="18"/>
                <w:szCs w:val="18"/>
                <w:color w:val="auto"/>
              </w:rPr>
              <w:t>6</w:t>
            </w:r>
          </w:p>
        </w:tc>
      </w:tr>
      <w:tr>
        <w:trPr>
          <w:trHeight w:val="216"/>
        </w:trPr>
        <w:tc>
          <w:tcPr>
            <w:tcW w:w="3480" w:type="dxa"/>
            <w:vAlign w:val="bottom"/>
            <w:shd w:val="clear" w:color="auto" w:fill="CCEEFF"/>
          </w:tcPr>
          <w:p>
            <w:pPr>
              <w:spacing w:after="0"/>
              <w:rPr>
                <w:sz w:val="20"/>
                <w:szCs w:val="20"/>
                <w:color w:val="auto"/>
              </w:rPr>
            </w:pPr>
            <w:r>
              <w:rPr>
                <w:rFonts w:ascii="Arial" w:cs="Arial" w:eastAsia="Arial" w:hAnsi="Arial"/>
                <w:sz w:val="18"/>
                <w:szCs w:val="18"/>
                <w:color w:val="auto"/>
              </w:rPr>
              <w:t>United Kingdom</w:t>
            </w:r>
          </w:p>
        </w:tc>
        <w:tc>
          <w:tcPr>
            <w:tcW w:w="10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34</w:t>
            </w:r>
          </w:p>
        </w:tc>
        <w:tc>
          <w:tcPr>
            <w:tcW w:w="10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r>
      <w:tr>
        <w:trPr>
          <w:trHeight w:val="216"/>
        </w:trPr>
        <w:tc>
          <w:tcPr>
            <w:tcW w:w="3480" w:type="dxa"/>
            <w:vAlign w:val="bottom"/>
          </w:tcPr>
          <w:p>
            <w:pPr>
              <w:spacing w:after="0"/>
              <w:rPr>
                <w:sz w:val="20"/>
                <w:szCs w:val="20"/>
                <w:color w:val="auto"/>
              </w:rPr>
            </w:pPr>
            <w:r>
              <w:rPr>
                <w:rFonts w:ascii="Arial" w:cs="Arial" w:eastAsia="Arial" w:hAnsi="Arial"/>
                <w:sz w:val="18"/>
                <w:szCs w:val="18"/>
                <w:color w:val="auto"/>
              </w:rPr>
              <w:t>Spain</w:t>
            </w:r>
          </w:p>
        </w:tc>
        <w:tc>
          <w:tcPr>
            <w:tcW w:w="1080" w:type="dxa"/>
            <w:vAlign w:val="bottom"/>
            <w:gridSpan w:val="2"/>
          </w:tcPr>
          <w:p>
            <w:pPr>
              <w:jc w:val="right"/>
              <w:spacing w:after="0"/>
              <w:rPr>
                <w:sz w:val="20"/>
                <w:szCs w:val="20"/>
                <w:color w:val="auto"/>
              </w:rPr>
            </w:pPr>
            <w:r>
              <w:rPr>
                <w:rFonts w:ascii="Arial" w:cs="Arial" w:eastAsia="Arial" w:hAnsi="Arial"/>
                <w:sz w:val="18"/>
                <w:szCs w:val="18"/>
                <w:color w:val="auto"/>
              </w:rPr>
              <w:t>28</w:t>
            </w:r>
          </w:p>
        </w:tc>
        <w:tc>
          <w:tcPr>
            <w:tcW w:w="1060" w:type="dxa"/>
            <w:vAlign w:val="bottom"/>
            <w:gridSpan w:val="2"/>
          </w:tcPr>
          <w:p>
            <w:pPr>
              <w:jc w:val="right"/>
              <w:spacing w:after="0"/>
              <w:rPr>
                <w:sz w:val="20"/>
                <w:szCs w:val="20"/>
                <w:color w:val="auto"/>
              </w:rPr>
            </w:pPr>
            <w:r>
              <w:rPr>
                <w:rFonts w:ascii="Arial" w:cs="Arial" w:eastAsia="Arial" w:hAnsi="Arial"/>
                <w:sz w:val="18"/>
                <w:szCs w:val="18"/>
                <w:color w:val="auto"/>
              </w:rPr>
              <w:t>-</w:t>
            </w:r>
          </w:p>
        </w:tc>
      </w:tr>
      <w:tr>
        <w:trPr>
          <w:trHeight w:val="216"/>
        </w:trPr>
        <w:tc>
          <w:tcPr>
            <w:tcW w:w="3480" w:type="dxa"/>
            <w:vAlign w:val="bottom"/>
            <w:shd w:val="clear" w:color="auto" w:fill="CCEEFF"/>
          </w:tcPr>
          <w:p>
            <w:pPr>
              <w:spacing w:after="0"/>
              <w:rPr>
                <w:sz w:val="20"/>
                <w:szCs w:val="20"/>
                <w:color w:val="auto"/>
              </w:rPr>
            </w:pPr>
            <w:r>
              <w:rPr>
                <w:rFonts w:ascii="Arial" w:cs="Arial" w:eastAsia="Arial" w:hAnsi="Arial"/>
                <w:sz w:val="18"/>
                <w:szCs w:val="18"/>
                <w:color w:val="auto"/>
              </w:rPr>
              <w:t>China</w:t>
            </w:r>
          </w:p>
        </w:tc>
        <w:tc>
          <w:tcPr>
            <w:tcW w:w="10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17</w:t>
            </w:r>
          </w:p>
        </w:tc>
        <w:tc>
          <w:tcPr>
            <w:tcW w:w="10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r>
      <w:tr>
        <w:trPr>
          <w:trHeight w:val="216"/>
        </w:trPr>
        <w:tc>
          <w:tcPr>
            <w:tcW w:w="3480" w:type="dxa"/>
            <w:vAlign w:val="bottom"/>
          </w:tcPr>
          <w:p>
            <w:pPr>
              <w:spacing w:after="0"/>
              <w:rPr>
                <w:sz w:val="20"/>
                <w:szCs w:val="20"/>
                <w:color w:val="auto"/>
              </w:rPr>
            </w:pPr>
            <w:r>
              <w:rPr>
                <w:rFonts w:ascii="Arial" w:cs="Arial" w:eastAsia="Arial" w:hAnsi="Arial"/>
                <w:sz w:val="18"/>
                <w:szCs w:val="18"/>
                <w:color w:val="auto"/>
              </w:rPr>
              <w:t>Rest of World</w:t>
            </w:r>
          </w:p>
        </w:tc>
        <w:tc>
          <w:tcPr>
            <w:tcW w:w="60" w:type="dxa"/>
            <w:vAlign w:val="bottom"/>
          </w:tcPr>
          <w:p>
            <w:pPr>
              <w:spacing w:after="0"/>
              <w:rPr>
                <w:sz w:val="18"/>
                <w:szCs w:val="18"/>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19</w:t>
            </w:r>
          </w:p>
        </w:tc>
        <w:tc>
          <w:tcPr>
            <w:tcW w:w="60" w:type="dxa"/>
            <w:vAlign w:val="bottom"/>
          </w:tcPr>
          <w:p>
            <w:pPr>
              <w:spacing w:after="0"/>
              <w:rPr>
                <w:sz w:val="18"/>
                <w:szCs w:val="18"/>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r>
      <w:tr>
        <w:trPr>
          <w:trHeight w:val="250"/>
        </w:trPr>
        <w:tc>
          <w:tcPr>
            <w:tcW w:w="3480" w:type="dxa"/>
            <w:vAlign w:val="bottom"/>
            <w:shd w:val="clear" w:color="auto" w:fill="CCEEFF"/>
          </w:tcPr>
          <w:p>
            <w:pPr>
              <w:spacing w:after="0"/>
              <w:rPr>
                <w:sz w:val="20"/>
                <w:szCs w:val="20"/>
                <w:color w:val="auto"/>
              </w:rPr>
            </w:pPr>
            <w:r>
              <w:rPr>
                <w:rFonts w:ascii="Arial" w:cs="Arial" w:eastAsia="Arial" w:hAnsi="Arial"/>
                <w:sz w:val="18"/>
                <w:szCs w:val="18"/>
                <w:color w:val="auto"/>
              </w:rPr>
              <w:t>Total</w:t>
            </w:r>
          </w:p>
        </w:tc>
        <w:tc>
          <w:tcPr>
            <w:tcW w:w="10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475</w:t>
            </w:r>
          </w:p>
        </w:tc>
        <w:tc>
          <w:tcPr>
            <w:tcW w:w="10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19</w:t>
            </w:r>
          </w:p>
        </w:tc>
      </w:tr>
      <w:tr>
        <w:trPr>
          <w:trHeight w:val="413"/>
        </w:trPr>
        <w:tc>
          <w:tcPr>
            <w:tcW w:w="3480" w:type="dxa"/>
            <w:vAlign w:val="bottom"/>
            <w:tcBorders>
              <w:top w:val="single" w:sz="8" w:color="CCEEFF"/>
            </w:tcBorders>
          </w:tcPr>
          <w:p>
            <w:pPr>
              <w:spacing w:after="0"/>
              <w:rPr>
                <w:sz w:val="20"/>
                <w:szCs w:val="20"/>
                <w:color w:val="auto"/>
              </w:rPr>
            </w:pPr>
            <w:r>
              <w:rPr>
                <w:rFonts w:ascii="Arial" w:cs="Arial" w:eastAsia="Arial" w:hAnsi="Arial"/>
                <w:sz w:val="18"/>
                <w:szCs w:val="18"/>
                <w:color w:val="auto"/>
              </w:rPr>
              <w:t>Employees by business function:</w:t>
            </w:r>
          </w:p>
        </w:tc>
        <w:tc>
          <w:tcPr>
            <w:tcW w:w="60" w:type="dxa"/>
            <w:vAlign w:val="bottom"/>
            <w:tcBorders>
              <w:top w:val="single" w:sz="8" w:color="CCEEFF"/>
            </w:tcBorders>
          </w:tcPr>
          <w:p>
            <w:pPr>
              <w:spacing w:after="0"/>
              <w:rPr>
                <w:sz w:val="24"/>
                <w:szCs w:val="24"/>
                <w:color w:val="auto"/>
              </w:rPr>
            </w:pPr>
          </w:p>
        </w:tc>
        <w:tc>
          <w:tcPr>
            <w:tcW w:w="1020" w:type="dxa"/>
            <w:vAlign w:val="bottom"/>
            <w:tcBorders>
              <w:top w:val="single" w:sz="8" w:color="auto"/>
            </w:tcBorders>
          </w:tcPr>
          <w:p>
            <w:pPr>
              <w:spacing w:after="0"/>
              <w:rPr>
                <w:sz w:val="24"/>
                <w:szCs w:val="24"/>
                <w:color w:val="auto"/>
              </w:rPr>
            </w:pPr>
          </w:p>
        </w:tc>
        <w:tc>
          <w:tcPr>
            <w:tcW w:w="60" w:type="dxa"/>
            <w:vAlign w:val="bottom"/>
            <w:tcBorders>
              <w:top w:val="single" w:sz="8" w:color="CCEEFF"/>
            </w:tcBorders>
          </w:tcPr>
          <w:p>
            <w:pPr>
              <w:spacing w:after="0"/>
              <w:rPr>
                <w:sz w:val="24"/>
                <w:szCs w:val="24"/>
                <w:color w:val="auto"/>
              </w:rPr>
            </w:pPr>
          </w:p>
        </w:tc>
        <w:tc>
          <w:tcPr>
            <w:tcW w:w="1000" w:type="dxa"/>
            <w:vAlign w:val="bottom"/>
            <w:tcBorders>
              <w:top w:val="single" w:sz="8" w:color="auto"/>
            </w:tcBorders>
          </w:tcPr>
          <w:p>
            <w:pPr>
              <w:spacing w:after="0"/>
              <w:rPr>
                <w:sz w:val="24"/>
                <w:szCs w:val="24"/>
                <w:color w:val="auto"/>
              </w:rPr>
            </w:pPr>
          </w:p>
        </w:tc>
      </w:tr>
      <w:tr>
        <w:trPr>
          <w:trHeight w:val="432"/>
        </w:trPr>
        <w:tc>
          <w:tcPr>
            <w:tcW w:w="3480" w:type="dxa"/>
            <w:vAlign w:val="bottom"/>
            <w:tcBorders>
              <w:bottom w:val="single" w:sz="8" w:color="auto"/>
            </w:tcBorders>
          </w:tcPr>
          <w:p>
            <w:pPr>
              <w:spacing w:after="0"/>
              <w:rPr>
                <w:sz w:val="20"/>
                <w:szCs w:val="20"/>
                <w:color w:val="auto"/>
              </w:rPr>
            </w:pPr>
            <w:r>
              <w:rPr>
                <w:rFonts w:ascii="Arial" w:cs="Arial" w:eastAsia="Arial" w:hAnsi="Arial"/>
                <w:sz w:val="18"/>
                <w:szCs w:val="18"/>
                <w:b w:val="1"/>
                <w:bCs w:val="1"/>
                <w:color w:val="auto"/>
              </w:rPr>
              <w:t>Function</w:t>
            </w:r>
          </w:p>
        </w:tc>
        <w:tc>
          <w:tcPr>
            <w:tcW w:w="60" w:type="dxa"/>
            <w:vAlign w:val="bottom"/>
          </w:tcPr>
          <w:p>
            <w:pPr>
              <w:spacing w:after="0"/>
              <w:rPr>
                <w:sz w:val="24"/>
                <w:szCs w:val="24"/>
                <w:color w:val="auto"/>
              </w:rPr>
            </w:pPr>
          </w:p>
        </w:tc>
        <w:tc>
          <w:tcPr>
            <w:tcW w:w="1020" w:type="dxa"/>
            <w:vAlign w:val="bottom"/>
            <w:tcBorders>
              <w:bottom w:val="single" w:sz="8" w:color="auto"/>
            </w:tcBorders>
          </w:tcPr>
          <w:p>
            <w:pPr>
              <w:jc w:val="right"/>
              <w:ind w:right="90"/>
              <w:spacing w:after="0"/>
              <w:rPr>
                <w:sz w:val="20"/>
                <w:szCs w:val="20"/>
                <w:color w:val="auto"/>
              </w:rPr>
            </w:pPr>
            <w:r>
              <w:rPr>
                <w:rFonts w:ascii="Arial" w:cs="Arial" w:eastAsia="Arial" w:hAnsi="Arial"/>
                <w:sz w:val="18"/>
                <w:szCs w:val="18"/>
                <w:b w:val="1"/>
                <w:bCs w:val="1"/>
                <w:color w:val="auto"/>
              </w:rPr>
              <w:t>Full time</w:t>
            </w:r>
          </w:p>
        </w:tc>
        <w:tc>
          <w:tcPr>
            <w:tcW w:w="60" w:type="dxa"/>
            <w:vAlign w:val="bottom"/>
          </w:tcPr>
          <w:p>
            <w:pPr>
              <w:spacing w:after="0"/>
              <w:rPr>
                <w:sz w:val="24"/>
                <w:szCs w:val="24"/>
                <w:color w:val="auto"/>
              </w:rPr>
            </w:pPr>
          </w:p>
        </w:tc>
        <w:tc>
          <w:tcPr>
            <w:tcW w:w="1000" w:type="dxa"/>
            <w:vAlign w:val="bottom"/>
            <w:tcBorders>
              <w:bottom w:val="single" w:sz="8" w:color="auto"/>
            </w:tcBorders>
          </w:tcPr>
          <w:p>
            <w:pPr>
              <w:jc w:val="right"/>
              <w:ind w:right="90"/>
              <w:spacing w:after="0"/>
              <w:rPr>
                <w:sz w:val="20"/>
                <w:szCs w:val="20"/>
                <w:color w:val="auto"/>
              </w:rPr>
            </w:pPr>
            <w:r>
              <w:rPr>
                <w:rFonts w:ascii="Arial" w:cs="Arial" w:eastAsia="Arial" w:hAnsi="Arial"/>
                <w:sz w:val="18"/>
                <w:szCs w:val="18"/>
                <w:b w:val="1"/>
                <w:bCs w:val="1"/>
                <w:color w:val="auto"/>
              </w:rPr>
              <w:t>Part time</w:t>
            </w:r>
          </w:p>
        </w:tc>
      </w:tr>
      <w:tr>
        <w:trPr>
          <w:trHeight w:val="210"/>
        </w:trPr>
        <w:tc>
          <w:tcPr>
            <w:tcW w:w="3480" w:type="dxa"/>
            <w:vAlign w:val="bottom"/>
            <w:shd w:val="clear" w:color="auto" w:fill="CCEEFF"/>
          </w:tcPr>
          <w:p>
            <w:pPr>
              <w:spacing w:after="0"/>
              <w:rPr>
                <w:sz w:val="20"/>
                <w:szCs w:val="20"/>
                <w:color w:val="auto"/>
              </w:rPr>
            </w:pPr>
            <w:r>
              <w:rPr>
                <w:rFonts w:ascii="Arial" w:cs="Arial" w:eastAsia="Arial" w:hAnsi="Arial"/>
                <w:sz w:val="18"/>
                <w:szCs w:val="18"/>
                <w:color w:val="auto"/>
              </w:rPr>
              <w:t>Manufacturing</w:t>
            </w:r>
          </w:p>
        </w:tc>
        <w:tc>
          <w:tcPr>
            <w:tcW w:w="10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189</w:t>
            </w:r>
          </w:p>
        </w:tc>
        <w:tc>
          <w:tcPr>
            <w:tcW w:w="10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8</w:t>
            </w:r>
          </w:p>
        </w:tc>
      </w:tr>
      <w:tr>
        <w:trPr>
          <w:trHeight w:val="216"/>
        </w:trPr>
        <w:tc>
          <w:tcPr>
            <w:tcW w:w="3480" w:type="dxa"/>
            <w:vAlign w:val="bottom"/>
          </w:tcPr>
          <w:p>
            <w:pPr>
              <w:spacing w:after="0"/>
              <w:rPr>
                <w:sz w:val="20"/>
                <w:szCs w:val="20"/>
                <w:color w:val="auto"/>
              </w:rPr>
            </w:pPr>
            <w:r>
              <w:rPr>
                <w:rFonts w:ascii="Arial" w:cs="Arial" w:eastAsia="Arial" w:hAnsi="Arial"/>
                <w:sz w:val="18"/>
                <w:szCs w:val="18"/>
                <w:color w:val="auto"/>
              </w:rPr>
              <w:t>Sales and marketing</w:t>
            </w:r>
          </w:p>
        </w:tc>
        <w:tc>
          <w:tcPr>
            <w:tcW w:w="1080" w:type="dxa"/>
            <w:vAlign w:val="bottom"/>
            <w:gridSpan w:val="2"/>
          </w:tcPr>
          <w:p>
            <w:pPr>
              <w:jc w:val="right"/>
              <w:spacing w:after="0"/>
              <w:rPr>
                <w:sz w:val="20"/>
                <w:szCs w:val="20"/>
                <w:color w:val="auto"/>
              </w:rPr>
            </w:pPr>
            <w:r>
              <w:rPr>
                <w:rFonts w:ascii="Arial" w:cs="Arial" w:eastAsia="Arial" w:hAnsi="Arial"/>
                <w:sz w:val="18"/>
                <w:szCs w:val="18"/>
                <w:color w:val="auto"/>
              </w:rPr>
              <w:t>160</w:t>
            </w:r>
          </w:p>
        </w:tc>
        <w:tc>
          <w:tcPr>
            <w:tcW w:w="1060" w:type="dxa"/>
            <w:vAlign w:val="bottom"/>
            <w:gridSpan w:val="2"/>
          </w:tcPr>
          <w:p>
            <w:pPr>
              <w:jc w:val="right"/>
              <w:spacing w:after="0"/>
              <w:rPr>
                <w:sz w:val="20"/>
                <w:szCs w:val="20"/>
                <w:color w:val="auto"/>
              </w:rPr>
            </w:pPr>
            <w:r>
              <w:rPr>
                <w:rFonts w:ascii="Arial" w:cs="Arial" w:eastAsia="Arial" w:hAnsi="Arial"/>
                <w:sz w:val="18"/>
                <w:szCs w:val="18"/>
                <w:color w:val="auto"/>
              </w:rPr>
              <w:t>3</w:t>
            </w:r>
          </w:p>
        </w:tc>
      </w:tr>
      <w:tr>
        <w:trPr>
          <w:trHeight w:val="216"/>
        </w:trPr>
        <w:tc>
          <w:tcPr>
            <w:tcW w:w="3480" w:type="dxa"/>
            <w:vAlign w:val="bottom"/>
            <w:shd w:val="clear" w:color="auto" w:fill="CCEEFF"/>
          </w:tcPr>
          <w:p>
            <w:pPr>
              <w:spacing w:after="0"/>
              <w:rPr>
                <w:sz w:val="20"/>
                <w:szCs w:val="20"/>
                <w:color w:val="auto"/>
              </w:rPr>
            </w:pPr>
            <w:r>
              <w:rPr>
                <w:rFonts w:ascii="Arial" w:cs="Arial" w:eastAsia="Arial" w:hAnsi="Arial"/>
                <w:sz w:val="18"/>
                <w:szCs w:val="18"/>
                <w:color w:val="auto"/>
              </w:rPr>
              <w:t>Research and development</w:t>
            </w:r>
          </w:p>
        </w:tc>
        <w:tc>
          <w:tcPr>
            <w:tcW w:w="10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66</w:t>
            </w:r>
          </w:p>
        </w:tc>
        <w:tc>
          <w:tcPr>
            <w:tcW w:w="10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w:t>
            </w:r>
          </w:p>
        </w:tc>
      </w:tr>
      <w:tr>
        <w:trPr>
          <w:trHeight w:val="216"/>
        </w:trPr>
        <w:tc>
          <w:tcPr>
            <w:tcW w:w="3480" w:type="dxa"/>
            <w:vAlign w:val="bottom"/>
          </w:tcPr>
          <w:p>
            <w:pPr>
              <w:spacing w:after="0"/>
              <w:rPr>
                <w:sz w:val="20"/>
                <w:szCs w:val="20"/>
                <w:color w:val="auto"/>
              </w:rPr>
            </w:pPr>
            <w:r>
              <w:rPr>
                <w:rFonts w:ascii="Arial" w:cs="Arial" w:eastAsia="Arial" w:hAnsi="Arial"/>
                <w:sz w:val="18"/>
                <w:szCs w:val="18"/>
                <w:color w:val="auto"/>
              </w:rPr>
              <w:t>General and administrative</w:t>
            </w:r>
          </w:p>
        </w:tc>
        <w:tc>
          <w:tcPr>
            <w:tcW w:w="60" w:type="dxa"/>
            <w:vAlign w:val="bottom"/>
          </w:tcPr>
          <w:p>
            <w:pPr>
              <w:spacing w:after="0"/>
              <w:rPr>
                <w:sz w:val="18"/>
                <w:szCs w:val="18"/>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60</w:t>
            </w:r>
          </w:p>
        </w:tc>
        <w:tc>
          <w:tcPr>
            <w:tcW w:w="60" w:type="dxa"/>
            <w:vAlign w:val="bottom"/>
          </w:tcPr>
          <w:p>
            <w:pPr>
              <w:spacing w:after="0"/>
              <w:rPr>
                <w:sz w:val="18"/>
                <w:szCs w:val="18"/>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w:t>
            </w:r>
          </w:p>
        </w:tc>
      </w:tr>
      <w:tr>
        <w:trPr>
          <w:trHeight w:val="250"/>
        </w:trPr>
        <w:tc>
          <w:tcPr>
            <w:tcW w:w="348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Total</w:t>
            </w:r>
          </w:p>
        </w:tc>
        <w:tc>
          <w:tcPr>
            <w:tcW w:w="6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475</w:t>
            </w:r>
          </w:p>
        </w:tc>
        <w:tc>
          <w:tcPr>
            <w:tcW w:w="6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19</w:t>
            </w:r>
          </w:p>
        </w:tc>
      </w:tr>
    </w:tbl>
    <w:p>
      <w:pPr>
        <w:spacing w:after="0" w:line="202"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We make employment decisions without regard to age, color, national origin, citizenship status, physical or mental disability, race, religion, creed, gender, sex, sexual orientation, gender identity and/or expression, genetic information, marital status, status with regard to public assistance, veteran and military status or any other characteristic protected by federal, state or local law. We take steps to employ and advance in employment qualified protected veterans and qualified individuals with disabilities.</w:t>
      </w:r>
    </w:p>
    <w:p>
      <w:pPr>
        <w:spacing w:after="0" w:line="187"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Every effort is made to ensure that our policies regarding hiring, salary administration, promotion, and transfer are based solely on job requirements, job performance, and job-related criteria.</w:t>
      </w:r>
    </w:p>
    <w:p>
      <w:pPr>
        <w:spacing w:after="0" w:line="38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9" w:name="page10"/>
    <w:bookmarkEnd w:id="9"/>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Geographic Area</w:t>
      </w:r>
    </w:p>
    <w:p>
      <w:pPr>
        <w:spacing w:after="0" w:line="229"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Financial information regarding geographic areas in which we operate is provided in Note 15 to the Consolidated Financial Statements included in “Part IV, Item 15. Exhibits, Financial Statement Schedules” of this report.</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Available Information and Website</w:t>
      </w:r>
    </w:p>
    <w:p>
      <w:pPr>
        <w:spacing w:after="0" w:line="229" w:lineRule="exact"/>
        <w:rPr>
          <w:sz w:val="20"/>
          <w:szCs w:val="20"/>
          <w:color w:val="auto"/>
        </w:rPr>
      </w:pPr>
    </w:p>
    <w:p>
      <w:pPr>
        <w:jc w:val="both"/>
        <w:ind w:firstLine="648"/>
        <w:spacing w:after="0" w:line="296" w:lineRule="auto"/>
        <w:rPr>
          <w:sz w:val="20"/>
          <w:szCs w:val="20"/>
          <w:color w:val="auto"/>
        </w:rPr>
      </w:pPr>
      <w:r>
        <w:rPr>
          <w:rFonts w:ascii="Arial" w:cs="Arial" w:eastAsia="Arial" w:hAnsi="Arial"/>
          <w:sz w:val="16"/>
          <w:szCs w:val="16"/>
          <w:color w:val="auto"/>
        </w:rPr>
        <w:t>Our website address is www.harvardbioscience.com. Our Annual Report on Form 10-K, Quarterly Reports on Form 10-Q, Current Reports on Form 8-K, and exhibits and amendments to those reports filed or furnished with the Securities and Exchange Commission pursuant to Section 13(a) of the Exchange Act are available for review on our website and the Securities and Exchange Commission’s website at www.sec.gov. Any such materials that we file with, or furnish to, the SEC in the future will be available on our website as soon as reasonably practicable after they are electronically filed with, or furnished to, the SEC. The information on our website is not incorporated by reference into this Annual Report on Form 10-K.</w:t>
      </w:r>
    </w:p>
    <w:p>
      <w:pPr>
        <w:spacing w:after="0" w:line="157" w:lineRule="exact"/>
        <w:rPr>
          <w:sz w:val="20"/>
          <w:szCs w:val="20"/>
          <w:color w:val="auto"/>
        </w:rPr>
      </w:pPr>
    </w:p>
    <w:p>
      <w:pPr>
        <w:spacing w:after="0"/>
        <w:tabs>
          <w:tab w:leader="none" w:pos="960" w:val="left"/>
        </w:tabs>
        <w:rPr>
          <w:sz w:val="20"/>
          <w:szCs w:val="20"/>
          <w:color w:val="auto"/>
        </w:rPr>
      </w:pPr>
      <w:r>
        <w:rPr>
          <w:rFonts w:ascii="Arial" w:cs="Arial" w:eastAsia="Arial" w:hAnsi="Arial"/>
          <w:sz w:val="18"/>
          <w:szCs w:val="18"/>
          <w:b w:val="1"/>
          <w:bCs w:val="1"/>
          <w:color w:val="auto"/>
        </w:rPr>
        <w:t>Item 1A.</w:t>
      </w:r>
      <w:r>
        <w:rPr>
          <w:sz w:val="20"/>
          <w:szCs w:val="20"/>
          <w:color w:val="auto"/>
        </w:rPr>
        <w:tab/>
      </w:r>
      <w:r>
        <w:rPr>
          <w:rFonts w:ascii="Arial" w:cs="Arial" w:eastAsia="Arial" w:hAnsi="Arial"/>
          <w:sz w:val="15"/>
          <w:szCs w:val="15"/>
          <w:b w:val="1"/>
          <w:bCs w:val="1"/>
          <w:i w:val="1"/>
          <w:iCs w:val="1"/>
          <w:color w:val="auto"/>
        </w:rPr>
        <w:t>Risk Factors.</w:t>
      </w:r>
    </w:p>
    <w:p>
      <w:pPr>
        <w:spacing w:after="0" w:line="229" w:lineRule="exact"/>
        <w:rPr>
          <w:sz w:val="20"/>
          <w:szCs w:val="20"/>
          <w:color w:val="auto"/>
        </w:rPr>
      </w:pPr>
    </w:p>
    <w:p>
      <w:pPr>
        <w:jc w:val="both"/>
        <w:ind w:firstLine="648"/>
        <w:spacing w:after="0" w:line="257" w:lineRule="auto"/>
        <w:rPr>
          <w:sz w:val="20"/>
          <w:szCs w:val="20"/>
          <w:color w:val="auto"/>
        </w:rPr>
      </w:pPr>
      <w:r>
        <w:rPr>
          <w:rFonts w:ascii="Arial" w:cs="Arial" w:eastAsia="Arial" w:hAnsi="Arial"/>
          <w:sz w:val="18"/>
          <w:szCs w:val="18"/>
          <w:i w:val="1"/>
          <w:iCs w:val="1"/>
          <w:color w:val="auto"/>
        </w:rPr>
        <w:t>The following factors should be reviewed carefully, in conjunction with the other information contained in this Annual Report on Form 10-K. As previously discussed, our actual results could differ materially from our forward-looking statements. Our business faces a variety of risks. These risks include those described below and may include additional risks and uncertainties not presently known to us or that we currently deem immaterial. If any of the events or circumstances described in the following risk factors occur, our business operations, performance and financial condition could be adversely affected, and the trading price of our common stock could decline.</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Risks Related to Our Industry</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The life sciences industry is very competitive.</w:t>
      </w:r>
    </w:p>
    <w:p>
      <w:pPr>
        <w:spacing w:after="0" w:line="225" w:lineRule="exact"/>
        <w:rPr>
          <w:sz w:val="20"/>
          <w:szCs w:val="20"/>
          <w:color w:val="auto"/>
        </w:rPr>
      </w:pPr>
    </w:p>
    <w:p>
      <w:pPr>
        <w:jc w:val="both"/>
        <w:ind w:firstLine="648"/>
        <w:spacing w:after="0" w:line="270" w:lineRule="auto"/>
        <w:rPr>
          <w:sz w:val="20"/>
          <w:szCs w:val="20"/>
          <w:color w:val="auto"/>
        </w:rPr>
      </w:pPr>
      <w:r>
        <w:rPr>
          <w:rFonts w:ascii="Arial" w:cs="Arial" w:eastAsia="Arial" w:hAnsi="Arial"/>
          <w:sz w:val="17"/>
          <w:szCs w:val="17"/>
          <w:color w:val="auto"/>
        </w:rPr>
        <w:t>We expect to encounter increased competition from both established and development-stage companies that continually enter the market. These include companies developing and marketing life science instruments, systems and lab consumables, health care companies that manufacture laboratory-based tests and analyzers, diagnostic and pharmaceutical companies, analytical instrument companies, and companies developing life science or drug discovery technologies. Currently, our principal competition comes from established companies that provide products that perform many of the same functions for which we market our products. Many of our competitors have substantially greater financial, operational, marketing and technical resources than we do. Moreover, these competitors may offer broader product lines and tactical discounts and may have greater name recognition. In addition, we may face competition from new entrants into the field. We may not have the financial resources, technical expertise or marketing, distribution or support capabilities to compete successfully in the future. In addition, we face changing customer preferences and requirements, including increased customer demand for more environmentally friendly products.</w:t>
      </w:r>
    </w:p>
    <w:p>
      <w:pPr>
        <w:spacing w:after="0" w:line="181" w:lineRule="exact"/>
        <w:rPr>
          <w:sz w:val="20"/>
          <w:szCs w:val="20"/>
          <w:color w:val="auto"/>
        </w:rPr>
      </w:pPr>
    </w:p>
    <w:p>
      <w:pPr>
        <w:jc w:val="both"/>
        <w:ind w:firstLine="648"/>
        <w:spacing w:after="0" w:line="270" w:lineRule="auto"/>
        <w:rPr>
          <w:sz w:val="20"/>
          <w:szCs w:val="20"/>
          <w:color w:val="auto"/>
        </w:rPr>
      </w:pPr>
      <w:r>
        <w:rPr>
          <w:rFonts w:ascii="Arial" w:cs="Arial" w:eastAsia="Arial" w:hAnsi="Arial"/>
          <w:sz w:val="17"/>
          <w:szCs w:val="17"/>
          <w:color w:val="auto"/>
        </w:rPr>
        <w:t>The life sciences industry is also subject to rapid technological change and discovery. The development of new or improved products, processes or technologies by other companies may render our products or proposed products obsolete or less competitive. In some instances, our competitors may develop or market products that are more effective or commercially attractive than our current or future products. To meet the evolving needs of customers, we must continually enhance our current products and develop and introduce new products. However, we may experience difficulties that may delay or prevent the successful development, introduction and marketing of new products or product enhancements. In addition, our product lines are based on complex technologies that are subject to change as new technologies are developed and introduced in the marketplace. We may have difficulty in keeping abreast of the changes affecting each of the different markets we serve or intend to serve. Our failure to develop and introduce products in a timely manner in response to changing technology, market demands, or the requirements of our customers could cause our product sales to decline, and we could experience significant losses.</w:t>
      </w:r>
    </w:p>
    <w:p>
      <w:pPr>
        <w:spacing w:after="0" w:line="181" w:lineRule="exact"/>
        <w:rPr>
          <w:sz w:val="20"/>
          <w:szCs w:val="20"/>
          <w:color w:val="auto"/>
        </w:rPr>
      </w:pPr>
    </w:p>
    <w:p>
      <w:pPr>
        <w:jc w:val="both"/>
        <w:ind w:firstLine="648"/>
        <w:spacing w:after="0" w:line="279" w:lineRule="auto"/>
        <w:rPr>
          <w:sz w:val="20"/>
          <w:szCs w:val="20"/>
          <w:color w:val="auto"/>
        </w:rPr>
      </w:pPr>
      <w:r>
        <w:rPr>
          <w:rFonts w:ascii="Arial" w:cs="Arial" w:eastAsia="Arial" w:hAnsi="Arial"/>
          <w:sz w:val="17"/>
          <w:szCs w:val="17"/>
          <w:color w:val="auto"/>
        </w:rPr>
        <w:t>We offer, and plan to continue to offer, a broad range of products and have incurred, and expect to continue to incur, substantial expenses for development of new products and enhancements to our existing products. The speed of technological change in our market may prevent us from being able to successfully market some or all of our products for the length of time required to recover development costs. Failure to recover the development costs of one or more products or product lines could decrease our profitability or cause us to experience significant losses.</w:t>
      </w:r>
    </w:p>
    <w:p>
      <w:pPr>
        <w:spacing w:after="0" w:line="17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10" w:name="page11"/>
    <w:bookmarkEnd w:id="10"/>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ind w:right="340"/>
        <w:spacing w:after="0" w:line="277" w:lineRule="auto"/>
        <w:rPr>
          <w:sz w:val="20"/>
          <w:szCs w:val="20"/>
          <w:color w:val="auto"/>
        </w:rPr>
      </w:pPr>
      <w:r>
        <w:rPr>
          <w:rFonts w:ascii="Arial" w:cs="Arial" w:eastAsia="Arial" w:hAnsi="Arial"/>
          <w:sz w:val="18"/>
          <w:szCs w:val="18"/>
          <w:b w:val="1"/>
          <w:bCs w:val="1"/>
          <w:i w:val="1"/>
          <w:iCs w:val="1"/>
          <w:color w:val="auto"/>
        </w:rPr>
        <w:t>A portion of our revenues are derived from customers from the pharmaceutical and biotechnology industries and are subject to risks faced by those industries. Such risks may adversely affect our financial results.</w:t>
      </w:r>
    </w:p>
    <w:p>
      <w:pPr>
        <w:spacing w:after="0" w:line="170" w:lineRule="exact"/>
        <w:rPr>
          <w:sz w:val="20"/>
          <w:szCs w:val="20"/>
          <w:color w:val="auto"/>
        </w:rPr>
      </w:pPr>
    </w:p>
    <w:p>
      <w:pPr>
        <w:jc w:val="both"/>
        <w:ind w:firstLine="648"/>
        <w:spacing w:after="0" w:line="257" w:lineRule="auto"/>
        <w:rPr>
          <w:sz w:val="20"/>
          <w:szCs w:val="20"/>
          <w:color w:val="auto"/>
        </w:rPr>
      </w:pPr>
      <w:r>
        <w:rPr>
          <w:rFonts w:ascii="Arial" w:cs="Arial" w:eastAsia="Arial" w:hAnsi="Arial"/>
          <w:sz w:val="18"/>
          <w:szCs w:val="18"/>
          <w:color w:val="auto"/>
        </w:rPr>
        <w:t>We derive a significant portion of our revenues from pharmaceutical and biotechnology companies. We expect that pharmaceutical and biotechnology companies will continue to be a significant source of our revenues for the foreseeable future, including in our Cellular and Molecular Technologies and Preclinical product families. As a result, we are subject to risks and uncertainties that affect the pharmaceutical and biotechnology industries, such as government regulation, ongoing consolidation, uncertainty of technological change, and reductions and delays in research and development expenditures by companies in these industries.</w:t>
      </w:r>
    </w:p>
    <w:p>
      <w:pPr>
        <w:spacing w:after="0" w:line="188" w:lineRule="exact"/>
        <w:rPr>
          <w:sz w:val="20"/>
          <w:szCs w:val="20"/>
          <w:color w:val="auto"/>
        </w:rPr>
      </w:pPr>
    </w:p>
    <w:p>
      <w:pPr>
        <w:jc w:val="both"/>
        <w:ind w:firstLine="648"/>
        <w:spacing w:after="0" w:line="254" w:lineRule="auto"/>
        <w:rPr>
          <w:sz w:val="20"/>
          <w:szCs w:val="20"/>
          <w:color w:val="auto"/>
        </w:rPr>
      </w:pPr>
      <w:r>
        <w:rPr>
          <w:rFonts w:ascii="Arial" w:cs="Arial" w:eastAsia="Arial" w:hAnsi="Arial"/>
          <w:sz w:val="18"/>
          <w:szCs w:val="18"/>
          <w:color w:val="auto"/>
        </w:rPr>
        <w:t>In particular, the biotechnology industry is largely dependent on raising capital to fund its operations. If biotechnology companies that are our customers are unable to obtain the financing necessary to purchase our products, our business and results of operations could be adversely affected. In addition, we are dependent, both directly and indirectly, upon general health care spending patterns, particularly in the research and development budgets of the pharmaceutical and biotechnology industries, as well as upon the financial condition and purchasing patterns of various governments and government agencies. As it relates to both the biotechnology and pharmaceutical industries, many companies have significant patents that have expired or are about to expire, which could result in reduced revenues for those companies. If pharmaceutical or biotechnology companies that are our customers suffer reduced revenues as a result of these patent expirations, they may be unable to purchase our products, and our business and results of operations could be adversely affected.</w:t>
      </w:r>
    </w:p>
    <w:p>
      <w:pPr>
        <w:spacing w:after="0" w:line="192"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Changes in governmental regulations may reduce demand for our products, adversely impact our revenues, or increase our expenses.</w:t>
      </w:r>
    </w:p>
    <w:p>
      <w:pPr>
        <w:spacing w:after="0" w:line="237" w:lineRule="exact"/>
        <w:rPr>
          <w:sz w:val="20"/>
          <w:szCs w:val="20"/>
          <w:color w:val="auto"/>
        </w:rPr>
      </w:pPr>
    </w:p>
    <w:p>
      <w:pPr>
        <w:jc w:val="both"/>
        <w:ind w:firstLine="648"/>
        <w:spacing w:after="0" w:line="290" w:lineRule="auto"/>
        <w:rPr>
          <w:sz w:val="20"/>
          <w:szCs w:val="20"/>
          <w:color w:val="auto"/>
        </w:rPr>
      </w:pPr>
      <w:r>
        <w:rPr>
          <w:rFonts w:ascii="Arial" w:cs="Arial" w:eastAsia="Arial" w:hAnsi="Arial"/>
          <w:sz w:val="16"/>
          <w:szCs w:val="16"/>
          <w:color w:val="auto"/>
        </w:rPr>
        <w:t>We operate in many markets in which we and our customers must comply with federal, state, local and international regulations. We develop, configure and market our products to meet customer needs created by, and in compliance with, those regulations. These requirements include, among other things, regulations regarding manufacturing practices, product labeling, and advertising and post marketing reporting. We must incur expense and spend time and effort to ensure compliance with these complex regulations. Possible regulatory actions for non-compliance could include warning letters, fines, damages, injunctions, civil penalties, recalls, seizures of our products, and criminal prosecution. These actions could result in, among other things, substantial modifications to our business practices and operations; refunds, recalls, or seizures of our products; a total or partial shutdown of production in one or more of our facilities while we or our suppliers remedy the alleged violation; and withdrawals or suspensions of current products from the market. Any of these events could disrupt our business and have a material adverse effect on our revenues, profitability and financial condition.</w:t>
      </w:r>
    </w:p>
    <w:p>
      <w:pPr>
        <w:spacing w:after="0" w:line="16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Risks Related to Our Business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Reductions in customers</w:t>
      </w:r>
      <w:r>
        <w:rPr>
          <w:rFonts w:ascii="Arial" w:cs="Arial" w:eastAsia="Arial" w:hAnsi="Arial"/>
          <w:sz w:val="18"/>
          <w:szCs w:val="18"/>
          <w:color w:val="auto"/>
        </w:rPr>
        <w:t>’</w:t>
      </w:r>
      <w:r>
        <w:rPr>
          <w:rFonts w:ascii="Arial" w:cs="Arial" w:eastAsia="Arial" w:hAnsi="Arial"/>
          <w:sz w:val="18"/>
          <w:szCs w:val="18"/>
          <w:b w:val="1"/>
          <w:bCs w:val="1"/>
          <w:i w:val="1"/>
          <w:iCs w:val="1"/>
          <w:color w:val="auto"/>
        </w:rPr>
        <w:t xml:space="preserve"> research budgets or government funding may adversely affect our business.</w:t>
      </w:r>
    </w:p>
    <w:p>
      <w:pPr>
        <w:spacing w:after="0" w:line="225" w:lineRule="exact"/>
        <w:rPr>
          <w:sz w:val="20"/>
          <w:szCs w:val="20"/>
          <w:color w:val="auto"/>
        </w:rPr>
      </w:pPr>
    </w:p>
    <w:p>
      <w:pPr>
        <w:jc w:val="both"/>
        <w:ind w:firstLine="648"/>
        <w:spacing w:after="0" w:line="290" w:lineRule="auto"/>
        <w:rPr>
          <w:sz w:val="20"/>
          <w:szCs w:val="20"/>
          <w:color w:val="auto"/>
        </w:rPr>
      </w:pPr>
      <w:r>
        <w:rPr>
          <w:rFonts w:ascii="Arial" w:cs="Arial" w:eastAsia="Arial" w:hAnsi="Arial"/>
          <w:sz w:val="16"/>
          <w:szCs w:val="16"/>
          <w:color w:val="auto"/>
        </w:rPr>
        <w:t>Many of our customers are universities, government research laboratories, private foundations and other institutions who are dependent on grants from government agencies, such as the National Institutes of Health (“NIH”) in the United States, for funding. These customers represent a significant source of our revenue. Research and development spending by our customers may fluctuate based on spending priorities and general economic conditions. The level of government funding for research and development is unpredictable. In the past, NIH grants have been frozen or otherwise made unavailable for extended periods or directed to certain products. Reductions or delay in governmental spending could cause customers to delay or forego purchases of our products. If government funding necessary for purchase of our products were to decrease, our business and results of operations could be materially, adversely affected. Spending by some of these customers fluctuates based on budget allocations and the timely passage of the annual federal budget. An impasse in federal government budget decisions could lead to substantial delays or reductions in federal spending.</w:t>
      </w:r>
    </w:p>
    <w:p>
      <w:pPr>
        <w:spacing w:after="0" w:line="38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11" w:name="page12"/>
    <w:bookmarkEnd w:id="11"/>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Our business is subject to economic, political and other risks associated with international revenues and operations.</w:t>
      </w:r>
    </w:p>
    <w:p>
      <w:pPr>
        <w:spacing w:after="0" w:line="225" w:lineRule="exact"/>
        <w:rPr>
          <w:sz w:val="20"/>
          <w:szCs w:val="20"/>
          <w:color w:val="auto"/>
        </w:rPr>
      </w:pPr>
    </w:p>
    <w:p>
      <w:pPr>
        <w:jc w:val="both"/>
        <w:ind w:firstLine="648"/>
        <w:spacing w:after="0" w:line="301" w:lineRule="auto"/>
        <w:rPr>
          <w:sz w:val="20"/>
          <w:szCs w:val="20"/>
          <w:color w:val="auto"/>
        </w:rPr>
      </w:pPr>
      <w:r>
        <w:rPr>
          <w:rFonts w:ascii="Arial" w:cs="Arial" w:eastAsia="Arial" w:hAnsi="Arial"/>
          <w:sz w:val="16"/>
          <w:szCs w:val="16"/>
          <w:color w:val="auto"/>
        </w:rPr>
        <w:t>We manufacture and sell our products worldwide and as a result, our business is subject to risks associated with doing business internationally. A substantial amount of our revenues is derived from international operations, and we anticipate that a significant portion of our sales will continue to come from outside the United States in the future. We anticipate that revenues from international operations will likely continue to increase as a result of our efforts to expand our business in markets abroad. In addition, a number of our manufacturing facilities and suppliers are located outside the United States.</w:t>
      </w:r>
    </w:p>
    <w:p>
      <w:pPr>
        <w:spacing w:after="0" w:line="157" w:lineRule="exact"/>
        <w:rPr>
          <w:sz w:val="20"/>
          <w:szCs w:val="20"/>
          <w:color w:val="auto"/>
        </w:rPr>
      </w:pPr>
    </w:p>
    <w:p>
      <w:pPr>
        <w:jc w:val="both"/>
        <w:ind w:firstLine="648"/>
        <w:spacing w:after="0" w:line="270" w:lineRule="auto"/>
        <w:rPr>
          <w:sz w:val="20"/>
          <w:szCs w:val="20"/>
          <w:color w:val="auto"/>
        </w:rPr>
      </w:pPr>
      <w:r>
        <w:rPr>
          <w:rFonts w:ascii="Arial" w:cs="Arial" w:eastAsia="Arial" w:hAnsi="Arial"/>
          <w:sz w:val="17"/>
          <w:szCs w:val="17"/>
          <w:color w:val="auto"/>
        </w:rPr>
        <w:t>Our foreign operations subject us to certain risks, including: effects of fluctuations in foreign currency exchange rates; the impact of local economic conditions; local product preferences and seasonality and product requirements; local difficulty to effectively establish and expand our business and operations in international markets; disruptions of capital and trading markets; restrictions and potentially negative tax implications of transfer of capital across borders; differing labor regulations; other factors beyond our control, including potential political instability, terrorism, acts of war, natural disasters and diseases, including the coronavirus discussed below; unexpected changes and increased enforcement of regulatory requirements and various state, federal and international, intellectual property, environmental, antitrust, anti-corruption, fraud and abuse (including anti-kickback and false claims laws) and employment laws; interruption to transportation flows for delivery of parts to us and finished goods to our customers; and laws and regulations on foreign investment in the United States under the jurisdiction of the Committee on Foreign Investment in the United States, or CFIUS, and other agencies, including the Foreign Investment Risk Review Modernization Act, or FIRRMA, adopted in August 2018.</w:t>
      </w:r>
    </w:p>
    <w:p>
      <w:pPr>
        <w:spacing w:after="0" w:line="181" w:lineRule="exact"/>
        <w:rPr>
          <w:sz w:val="20"/>
          <w:szCs w:val="20"/>
          <w:color w:val="auto"/>
        </w:rPr>
      </w:pPr>
    </w:p>
    <w:p>
      <w:pPr>
        <w:jc w:val="both"/>
        <w:ind w:firstLine="648"/>
        <w:spacing w:after="0" w:line="269" w:lineRule="auto"/>
        <w:rPr>
          <w:sz w:val="20"/>
          <w:szCs w:val="20"/>
          <w:color w:val="auto"/>
        </w:rPr>
      </w:pPr>
      <w:r>
        <w:rPr>
          <w:rFonts w:ascii="Arial" w:cs="Arial" w:eastAsia="Arial" w:hAnsi="Arial"/>
          <w:sz w:val="17"/>
          <w:szCs w:val="17"/>
          <w:color w:val="auto"/>
        </w:rPr>
        <w:t>A small percentage of our products are subject to export control regulations administered by the U.S. Department of the Treasury’s Office of Foreign Assets Control (“OFAC”) and by the Export Administration Regulations administered by the U.S. Department of Commerce’s Bureau of Industry and Security (“BIS”). Based on the nature of the product, its ultimate end use and country of destination, we are sometimes subject to foreign assets control and economic sanctions regulations administered by OFAC, which restrict or prohibit our ability to transact with certain foreign countries, certain individuals and entities identified on the Treasury Department’s “Denied Parties List.” Under the OFAC regulations, the sale or transfer of certain equipment to a location outside the United States may require prior approval in the form of an export license issued by the BIS or the U.S. Department of State’s Directorate of Defense Trade Controls. Some potential international transactions may also be restricted or prohibited based on the location, nationality or identity of the potential end user, customer or other parties to the transaction or may require prior authorization in the form of an OFAC license. Any delay in obtaining required governmental approvals could affect our ability to conclude a sale or timely commence a project, and the failure to comply with all such controls could result in criminal and/or civil penalties. These international transactions may otherwise be subject to tariffs and import/export restrictions from the United States or other governments.</w:t>
      </w:r>
    </w:p>
    <w:p>
      <w:pPr>
        <w:spacing w:after="0" w:line="182" w:lineRule="exact"/>
        <w:rPr>
          <w:sz w:val="20"/>
          <w:szCs w:val="20"/>
          <w:color w:val="auto"/>
        </w:rPr>
      </w:pPr>
    </w:p>
    <w:p>
      <w:pPr>
        <w:jc w:val="both"/>
        <w:ind w:firstLine="648"/>
        <w:spacing w:after="0" w:line="263" w:lineRule="auto"/>
        <w:rPr>
          <w:sz w:val="20"/>
          <w:szCs w:val="20"/>
          <w:color w:val="auto"/>
        </w:rPr>
      </w:pPr>
      <w:r>
        <w:rPr>
          <w:rFonts w:ascii="Arial" w:cs="Arial" w:eastAsia="Arial" w:hAnsi="Arial"/>
          <w:sz w:val="18"/>
          <w:szCs w:val="18"/>
          <w:color w:val="auto"/>
        </w:rPr>
        <w:t>Our overall success as a global business depends, in part, upon our ability to succeed in differing economic, social and political conditions. In order to continue to succeed in our international sales strategy, we must continue developing and implementing policies and strategies that are effective in each location where we do business, which could negatively affect our profitability.</w:t>
      </w:r>
    </w:p>
    <w:p>
      <w:pPr>
        <w:spacing w:after="0" w:line="184" w:lineRule="exact"/>
        <w:rPr>
          <w:sz w:val="20"/>
          <w:szCs w:val="20"/>
          <w:color w:val="auto"/>
        </w:rPr>
      </w:pPr>
    </w:p>
    <w:p>
      <w:pPr>
        <w:ind w:right="840"/>
        <w:spacing w:after="0" w:line="381" w:lineRule="auto"/>
        <w:rPr>
          <w:sz w:val="20"/>
          <w:szCs w:val="20"/>
          <w:color w:val="auto"/>
        </w:rPr>
      </w:pPr>
      <w:r>
        <w:rPr>
          <w:rFonts w:ascii="Arial" w:cs="Arial" w:eastAsia="Arial" w:hAnsi="Arial"/>
          <w:sz w:val="15"/>
          <w:szCs w:val="15"/>
          <w:b w:val="1"/>
          <w:bCs w:val="1"/>
          <w:i w:val="1"/>
          <w:iCs w:val="1"/>
          <w:color w:val="auto"/>
        </w:rPr>
        <w:t>We have substantial debt and other financial obligations, and we may incur even more debt. Any failure to meet our debt and other financial obligations or maintain compliance with related covenants could harm our business, financial condition and results of operations.</w:t>
      </w:r>
    </w:p>
    <w:p>
      <w:pPr>
        <w:spacing w:after="0" w:line="100" w:lineRule="exact"/>
        <w:rPr>
          <w:sz w:val="20"/>
          <w:szCs w:val="20"/>
          <w:color w:val="auto"/>
        </w:rPr>
      </w:pPr>
    </w:p>
    <w:p>
      <w:pPr>
        <w:jc w:val="both"/>
        <w:ind w:firstLine="648"/>
        <w:spacing w:after="0" w:line="263" w:lineRule="auto"/>
        <w:rPr>
          <w:sz w:val="20"/>
          <w:szCs w:val="20"/>
          <w:color w:val="auto"/>
        </w:rPr>
      </w:pPr>
      <w:r>
        <w:rPr>
          <w:rFonts w:ascii="Arial" w:cs="Arial" w:eastAsia="Arial" w:hAnsi="Arial"/>
          <w:sz w:val="18"/>
          <w:szCs w:val="18"/>
          <w:color w:val="auto"/>
        </w:rPr>
        <w:t>Our credit agreement provides for a term loan of $40.0 million and a $25.0 million senior revolving credit facility (collectively, the “Credit Agreement”) and will mature on December 22, 2025. As of December 31, 2021, we had outstanding borrowings of $49.5 million under the Credit Agreement.</w:t>
      </w:r>
    </w:p>
    <w:p>
      <w:pPr>
        <w:spacing w:after="0" w:line="18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12" w:name="page13"/>
    <w:bookmarkEnd w:id="12"/>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jc w:val="both"/>
        <w:ind w:firstLine="648"/>
        <w:spacing w:after="0" w:line="263" w:lineRule="auto"/>
        <w:rPr>
          <w:sz w:val="20"/>
          <w:szCs w:val="20"/>
          <w:color w:val="auto"/>
        </w:rPr>
      </w:pPr>
      <w:r>
        <w:rPr>
          <w:rFonts w:ascii="Arial" w:cs="Arial" w:eastAsia="Arial" w:hAnsi="Arial"/>
          <w:sz w:val="18"/>
          <w:szCs w:val="18"/>
          <w:color w:val="auto"/>
        </w:rPr>
        <w:t>Pursuant to the terms of the Credit Agreement, we are subject to various covenants, including negative covenants that restrict our ability to engage in certain transactions, which may limit our ability to respond to changing business and economic conditions. Such negative covenants include, among other things, limitations on our ability and the ability of our subsidiaries to:</w:t>
      </w:r>
    </w:p>
    <w:p>
      <w:pPr>
        <w:spacing w:after="0" w:line="184" w:lineRule="exact"/>
        <w:rPr>
          <w:sz w:val="20"/>
          <w:szCs w:val="20"/>
          <w:color w:val="auto"/>
        </w:rPr>
      </w:pPr>
    </w:p>
    <w:p>
      <w:pPr>
        <w:ind w:left="1620" w:hanging="640"/>
        <w:spacing w:after="0"/>
        <w:tabs>
          <w:tab w:leader="none" w:pos="1620" w:val="left"/>
        </w:tabs>
        <w:numPr>
          <w:ilvl w:val="0"/>
          <w:numId w:val="5"/>
        </w:numPr>
        <w:rPr>
          <w:rFonts w:ascii="Arial" w:cs="Arial" w:eastAsia="Arial" w:hAnsi="Arial"/>
          <w:sz w:val="18"/>
          <w:szCs w:val="18"/>
          <w:color w:val="auto"/>
        </w:rPr>
      </w:pPr>
      <w:r>
        <w:rPr>
          <w:rFonts w:ascii="Arial" w:cs="Arial" w:eastAsia="Arial" w:hAnsi="Arial"/>
          <w:sz w:val="18"/>
          <w:szCs w:val="18"/>
          <w:color w:val="auto"/>
        </w:rPr>
        <w:t>incur debt,</w:t>
      </w:r>
    </w:p>
    <w:p>
      <w:pPr>
        <w:spacing w:after="0" w:line="36" w:lineRule="exact"/>
        <w:rPr>
          <w:rFonts w:ascii="Arial" w:cs="Arial" w:eastAsia="Arial" w:hAnsi="Arial"/>
          <w:sz w:val="18"/>
          <w:szCs w:val="18"/>
          <w:color w:val="auto"/>
        </w:rPr>
      </w:pPr>
    </w:p>
    <w:p>
      <w:pPr>
        <w:ind w:left="1620" w:hanging="640"/>
        <w:spacing w:after="0"/>
        <w:tabs>
          <w:tab w:leader="none" w:pos="1620" w:val="left"/>
        </w:tabs>
        <w:numPr>
          <w:ilvl w:val="0"/>
          <w:numId w:val="5"/>
        </w:numPr>
        <w:rPr>
          <w:rFonts w:ascii="Arial" w:cs="Arial" w:eastAsia="Arial" w:hAnsi="Arial"/>
          <w:sz w:val="18"/>
          <w:szCs w:val="18"/>
          <w:color w:val="auto"/>
        </w:rPr>
      </w:pPr>
      <w:r>
        <w:rPr>
          <w:rFonts w:ascii="Arial" w:cs="Arial" w:eastAsia="Arial" w:hAnsi="Arial"/>
          <w:sz w:val="18"/>
          <w:szCs w:val="18"/>
          <w:color w:val="auto"/>
        </w:rPr>
        <w:t>incur liens,</w:t>
      </w:r>
    </w:p>
    <w:p>
      <w:pPr>
        <w:spacing w:after="0" w:line="36" w:lineRule="exact"/>
        <w:rPr>
          <w:rFonts w:ascii="Arial" w:cs="Arial" w:eastAsia="Arial" w:hAnsi="Arial"/>
          <w:sz w:val="18"/>
          <w:szCs w:val="18"/>
          <w:color w:val="auto"/>
        </w:rPr>
      </w:pPr>
    </w:p>
    <w:p>
      <w:pPr>
        <w:ind w:left="1620" w:hanging="640"/>
        <w:spacing w:after="0"/>
        <w:tabs>
          <w:tab w:leader="none" w:pos="1620" w:val="left"/>
        </w:tabs>
        <w:numPr>
          <w:ilvl w:val="0"/>
          <w:numId w:val="5"/>
        </w:numPr>
        <w:rPr>
          <w:rFonts w:ascii="Arial" w:cs="Arial" w:eastAsia="Arial" w:hAnsi="Arial"/>
          <w:sz w:val="18"/>
          <w:szCs w:val="18"/>
          <w:color w:val="auto"/>
        </w:rPr>
      </w:pPr>
      <w:r>
        <w:rPr>
          <w:rFonts w:ascii="Arial" w:cs="Arial" w:eastAsia="Arial" w:hAnsi="Arial"/>
          <w:sz w:val="18"/>
          <w:szCs w:val="18"/>
          <w:color w:val="auto"/>
        </w:rPr>
        <w:t>make investments (including acquisitions),</w:t>
      </w:r>
    </w:p>
    <w:p>
      <w:pPr>
        <w:spacing w:after="0" w:line="36" w:lineRule="exact"/>
        <w:rPr>
          <w:rFonts w:ascii="Arial" w:cs="Arial" w:eastAsia="Arial" w:hAnsi="Arial"/>
          <w:sz w:val="18"/>
          <w:szCs w:val="18"/>
          <w:color w:val="auto"/>
        </w:rPr>
      </w:pPr>
    </w:p>
    <w:p>
      <w:pPr>
        <w:ind w:left="1620" w:hanging="640"/>
        <w:spacing w:after="0"/>
        <w:tabs>
          <w:tab w:leader="none" w:pos="1620" w:val="left"/>
        </w:tabs>
        <w:numPr>
          <w:ilvl w:val="0"/>
          <w:numId w:val="5"/>
        </w:numPr>
        <w:rPr>
          <w:rFonts w:ascii="Arial" w:cs="Arial" w:eastAsia="Arial" w:hAnsi="Arial"/>
          <w:sz w:val="18"/>
          <w:szCs w:val="18"/>
          <w:color w:val="auto"/>
        </w:rPr>
      </w:pPr>
      <w:r>
        <w:rPr>
          <w:rFonts w:ascii="Arial" w:cs="Arial" w:eastAsia="Arial" w:hAnsi="Arial"/>
          <w:sz w:val="18"/>
          <w:szCs w:val="18"/>
          <w:color w:val="auto"/>
        </w:rPr>
        <w:t>sell assets, and</w:t>
      </w:r>
    </w:p>
    <w:p>
      <w:pPr>
        <w:spacing w:after="0" w:line="36" w:lineRule="exact"/>
        <w:rPr>
          <w:rFonts w:ascii="Arial" w:cs="Arial" w:eastAsia="Arial" w:hAnsi="Arial"/>
          <w:sz w:val="18"/>
          <w:szCs w:val="18"/>
          <w:color w:val="auto"/>
        </w:rPr>
      </w:pPr>
    </w:p>
    <w:p>
      <w:pPr>
        <w:ind w:left="1620" w:hanging="640"/>
        <w:spacing w:after="0"/>
        <w:tabs>
          <w:tab w:leader="none" w:pos="1620" w:val="left"/>
        </w:tabs>
        <w:numPr>
          <w:ilvl w:val="0"/>
          <w:numId w:val="5"/>
        </w:numPr>
        <w:rPr>
          <w:rFonts w:ascii="Arial" w:cs="Arial" w:eastAsia="Arial" w:hAnsi="Arial"/>
          <w:sz w:val="18"/>
          <w:szCs w:val="18"/>
          <w:color w:val="auto"/>
        </w:rPr>
      </w:pPr>
      <w:r>
        <w:rPr>
          <w:rFonts w:ascii="Arial" w:cs="Arial" w:eastAsia="Arial" w:hAnsi="Arial"/>
          <w:sz w:val="18"/>
          <w:szCs w:val="18"/>
          <w:color w:val="auto"/>
        </w:rPr>
        <w:t>pay dividends on our capital stock.</w:t>
      </w:r>
    </w:p>
    <w:p>
      <w:pPr>
        <w:spacing w:after="0" w:line="252"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In addition, the Credit Agreement contains certain financial covenants, including a maximum consolidated net leverage ratio and a minimum consolidated fixed charge coverage ratio, each of which will be tested at the end of each fiscal quarter of the Company.</w:t>
      </w:r>
    </w:p>
    <w:p>
      <w:pPr>
        <w:spacing w:after="0" w:line="170" w:lineRule="exact"/>
        <w:rPr>
          <w:sz w:val="20"/>
          <w:szCs w:val="20"/>
          <w:color w:val="auto"/>
        </w:rPr>
      </w:pPr>
    </w:p>
    <w:p>
      <w:pPr>
        <w:jc w:val="both"/>
        <w:ind w:firstLine="648"/>
        <w:spacing w:after="0" w:line="255" w:lineRule="auto"/>
        <w:rPr>
          <w:sz w:val="20"/>
          <w:szCs w:val="20"/>
          <w:color w:val="auto"/>
        </w:rPr>
      </w:pPr>
      <w:r>
        <w:rPr>
          <w:rFonts w:ascii="Arial" w:cs="Arial" w:eastAsia="Arial" w:hAnsi="Arial"/>
          <w:sz w:val="18"/>
          <w:szCs w:val="18"/>
          <w:color w:val="auto"/>
        </w:rPr>
        <w:t>If we are not in compliance with certain of these covenants, in addition to other actions our lenders may require, the amounts outstanding under the Credit Agreement may become immediately due and payable. This immediate payment may negatively impact our financial condition. In addition, any failure to make scheduled payments of interest and principal on our outstanding indebtedness would likely harm our ability to incur additional indebtedness on acceptable terms. Our cash flow and capital resources may be insufficient to pay interest and principal on our debt in the future. If that should occur, our capital raising or debt restructuring measures may be unsuccessful or inadequate to meet our scheduled debt service obligations, which could cause us to default on our obligations and further impair our liquidity.</w:t>
      </w:r>
    </w:p>
    <w:p>
      <w:pPr>
        <w:spacing w:after="0" w:line="192"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Further, based upon our actual performance levels, our covenants relating to leverage and fixed charges could limit our ability to incur additional debt, which could hinder our ability to execute our current business strategy.</w:t>
      </w:r>
    </w:p>
    <w:p>
      <w:pPr>
        <w:spacing w:after="0" w:line="170" w:lineRule="exact"/>
        <w:rPr>
          <w:sz w:val="20"/>
          <w:szCs w:val="20"/>
          <w:color w:val="auto"/>
        </w:rPr>
      </w:pPr>
    </w:p>
    <w:p>
      <w:pPr>
        <w:jc w:val="both"/>
        <w:ind w:firstLine="648"/>
        <w:spacing w:after="0" w:line="289" w:lineRule="auto"/>
        <w:rPr>
          <w:sz w:val="20"/>
          <w:szCs w:val="20"/>
          <w:color w:val="auto"/>
        </w:rPr>
      </w:pPr>
      <w:r>
        <w:rPr>
          <w:rFonts w:ascii="Arial" w:cs="Arial" w:eastAsia="Arial" w:hAnsi="Arial"/>
          <w:sz w:val="16"/>
          <w:szCs w:val="16"/>
          <w:color w:val="auto"/>
        </w:rPr>
        <w:t>Our ability to make scheduled payments on our debt and other financial obligations and comply with financial covenants depends on our financial and operating performance. Our financial and operating performance will continue to be subject to prevailing economic conditions and to financial, business and other factors, some of which are beyond our control. Failure within any applicable grace or cure periods to may such payments, comply with the financial covenants, or any other non-financial or restrictive covenant, would create a default under our Credit Agreement. Our cash flow and existing capital resources may be insufficient to repay our debt at maturity, in which such case prior thereto we would have to extend such maturity date, or otherwise repay, refinance and or restructure the obligations under the Credit Agreement, including with proceeds from the sale of assets, and additional equity or debt capital. If we are unsuccessful in obtaining such extension, or entering into such repayment, refinance or restructure prior to maturity, or any other default existed under the Credit Agreement, our lenders could accelerate the indebtedness under the Credit Agreement, foreclose against their collateral or seek other remedies, which would jeopardize our ability to continue our current operations.</w:t>
      </w:r>
    </w:p>
    <w:p>
      <w:pPr>
        <w:spacing w:after="0" w:line="166" w:lineRule="exact"/>
        <w:rPr>
          <w:sz w:val="20"/>
          <w:szCs w:val="20"/>
          <w:color w:val="auto"/>
        </w:rPr>
      </w:pPr>
    </w:p>
    <w:p>
      <w:pPr>
        <w:jc w:val="both"/>
        <w:spacing w:after="0" w:line="277" w:lineRule="auto"/>
        <w:rPr>
          <w:sz w:val="20"/>
          <w:szCs w:val="20"/>
          <w:color w:val="auto"/>
        </w:rPr>
      </w:pPr>
      <w:r>
        <w:rPr>
          <w:rFonts w:ascii="Arial" w:cs="Arial" w:eastAsia="Arial" w:hAnsi="Arial"/>
          <w:sz w:val="18"/>
          <w:szCs w:val="18"/>
          <w:b w:val="1"/>
          <w:bCs w:val="1"/>
          <w:i w:val="1"/>
          <w:iCs w:val="1"/>
          <w:color w:val="auto"/>
        </w:rPr>
        <w:t>Ethical concerns surrounding the use of our products and misunderstanding of the nature of our business could adversely affect our ability to develop and sell our existing products and new products.</w:t>
      </w:r>
    </w:p>
    <w:p>
      <w:pPr>
        <w:spacing w:after="0" w:line="170" w:lineRule="exact"/>
        <w:rPr>
          <w:sz w:val="20"/>
          <w:szCs w:val="20"/>
          <w:color w:val="auto"/>
        </w:rPr>
      </w:pPr>
    </w:p>
    <w:p>
      <w:pPr>
        <w:jc w:val="both"/>
        <w:ind w:firstLine="648"/>
        <w:spacing w:after="0" w:line="263" w:lineRule="auto"/>
        <w:rPr>
          <w:sz w:val="20"/>
          <w:szCs w:val="20"/>
          <w:color w:val="auto"/>
        </w:rPr>
      </w:pPr>
      <w:r>
        <w:rPr>
          <w:rFonts w:ascii="Arial" w:cs="Arial" w:eastAsia="Arial" w:hAnsi="Arial"/>
          <w:sz w:val="18"/>
          <w:szCs w:val="18"/>
          <w:color w:val="auto"/>
        </w:rPr>
        <w:t>Some of our products may be used in areas of research involving animal research and other techniques presently being explored in the life science industry. These techniques have drawn negative attention in the public forum. Government authorities may regulate or prohibit any of these activities. Additionally, the public may disfavor or reject these activities.</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If we are not able to manage our growth, our operating profits may be adversely impacted.</w:t>
      </w:r>
    </w:p>
    <w:p>
      <w:pPr>
        <w:spacing w:after="0" w:line="225" w:lineRule="exact"/>
        <w:rPr>
          <w:sz w:val="20"/>
          <w:szCs w:val="20"/>
          <w:color w:val="auto"/>
        </w:rPr>
      </w:pPr>
    </w:p>
    <w:p>
      <w:pPr>
        <w:jc w:val="both"/>
        <w:ind w:firstLine="648"/>
        <w:spacing w:after="0" w:line="272" w:lineRule="auto"/>
        <w:rPr>
          <w:sz w:val="20"/>
          <w:szCs w:val="20"/>
          <w:color w:val="auto"/>
        </w:rPr>
      </w:pPr>
      <w:r>
        <w:rPr>
          <w:rFonts w:ascii="Arial" w:cs="Arial" w:eastAsia="Arial" w:hAnsi="Arial"/>
          <w:sz w:val="17"/>
          <w:szCs w:val="17"/>
          <w:color w:val="auto"/>
        </w:rPr>
        <w:t>Our success will depend on the expansion of our operations through organic growth, and we may execute acquisitions in the future to augment this growth. Effective growth management will place increased demands on our management team, operational and financial resources and expertise. To manage growth, we must optimize our operational, financial and management processes and systems, and information technology infrastructure and hire and train additional qualified personnel. While we are currently in the process of evaluating potential improvements to and consolidation of many of our processes and systems, we may not be able to implement these changes in an efficient or timely manner. Failure to manage our growth effectively, including failure to improve our systems and processes timely or efficiently, could impair our ability to generate revenues or could cause our expenses to increase more rapidly than revenues, resulting in operating losses or reduced profitability.</w:t>
      </w:r>
    </w:p>
    <w:p>
      <w:pPr>
        <w:spacing w:after="0" w:line="17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13" w:name="page14"/>
    <w:bookmarkEnd w:id="13"/>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Foreign currency exchange rate fluctuations may have a negative impact on our reported earnings.</w:t>
      </w:r>
    </w:p>
    <w:p>
      <w:pPr>
        <w:spacing w:after="0" w:line="225" w:lineRule="exact"/>
        <w:rPr>
          <w:sz w:val="20"/>
          <w:szCs w:val="20"/>
          <w:color w:val="auto"/>
        </w:rPr>
      </w:pPr>
    </w:p>
    <w:p>
      <w:pPr>
        <w:jc w:val="both"/>
        <w:ind w:firstLine="648"/>
        <w:spacing w:after="0" w:line="288" w:lineRule="auto"/>
        <w:rPr>
          <w:sz w:val="20"/>
          <w:szCs w:val="20"/>
          <w:color w:val="auto"/>
        </w:rPr>
      </w:pPr>
      <w:r>
        <w:rPr>
          <w:rFonts w:ascii="Arial" w:cs="Arial" w:eastAsia="Arial" w:hAnsi="Arial"/>
          <w:sz w:val="16"/>
          <w:szCs w:val="16"/>
          <w:color w:val="auto"/>
        </w:rPr>
        <w:t>We are subject to the risks of fluctuating foreign currency exchange rates, which could have an adverse effect on the sales price of our products in foreign markets, as well as the costs and expenses of our foreign subsidiaries. A substantial amount of our revenues is derived from international operations, and we anticipate that a significant portion of revenues will continue to come from outside the United States in the future. As a result, currency fluctuations among the United States dollar, British pound, euro and the other currencies in which we do business have caused and will continue to cause foreign currency translation and transaction gains and losses. We have not used forward exchange contracts to hedge our foreign currency exposures. We attempt to manage foreign currency risk through the matching of assets and liabilities. In the future, we may undertake to manage foreign currency risk through hedging methods, including foreign currency contracts. We recognize foreign currency gains or losses arising from our operations in the period incurred. We cannot guarantee that we will be successful in managing foreign currency risk or in predicting the effects of exchange rate fluctuations upon our future operating results because of the number of currencies involved, the variability of currency exposure and the potential volatility of currency exchange rates. We cannot predict with any certainty changes in foreign currency exchange rates or the degree to which we can address these risks.</w:t>
      </w:r>
    </w:p>
    <w:p>
      <w:pPr>
        <w:spacing w:after="0" w:line="168" w:lineRule="exact"/>
        <w:rPr>
          <w:sz w:val="20"/>
          <w:szCs w:val="20"/>
          <w:color w:val="auto"/>
        </w:rPr>
      </w:pPr>
    </w:p>
    <w:p>
      <w:pPr>
        <w:jc w:val="both"/>
        <w:spacing w:after="0" w:line="277" w:lineRule="auto"/>
        <w:rPr>
          <w:sz w:val="20"/>
          <w:szCs w:val="20"/>
          <w:color w:val="auto"/>
        </w:rPr>
      </w:pPr>
      <w:r>
        <w:rPr>
          <w:rFonts w:ascii="Arial" w:cs="Arial" w:eastAsia="Arial" w:hAnsi="Arial"/>
          <w:sz w:val="18"/>
          <w:szCs w:val="18"/>
          <w:b w:val="1"/>
          <w:bCs w:val="1"/>
          <w:i w:val="1"/>
          <w:iCs w:val="1"/>
          <w:color w:val="auto"/>
        </w:rPr>
        <w:t>Failure or inadequacy of our information technology infrastructure or software could adversely affect our day-to-day operations and decision-making processes and have an adverse effect on our performance.</w:t>
      </w:r>
    </w:p>
    <w:p>
      <w:pPr>
        <w:spacing w:after="0" w:line="170"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We depend on accurate and timely information and numerical data from key software applications to aid our day-to-day business, financial reporting and decision-making and, in many cases, proprietary and custom-designed software is necessary to operate our business.</w:t>
      </w:r>
    </w:p>
    <w:p>
      <w:pPr>
        <w:spacing w:after="0" w:line="170" w:lineRule="exact"/>
        <w:rPr>
          <w:sz w:val="20"/>
          <w:szCs w:val="20"/>
          <w:color w:val="auto"/>
        </w:rPr>
      </w:pPr>
    </w:p>
    <w:p>
      <w:pPr>
        <w:jc w:val="both"/>
        <w:ind w:firstLine="648"/>
        <w:spacing w:after="0" w:line="257" w:lineRule="auto"/>
        <w:rPr>
          <w:sz w:val="20"/>
          <w:szCs w:val="20"/>
          <w:color w:val="auto"/>
        </w:rPr>
      </w:pPr>
      <w:r>
        <w:rPr>
          <w:rFonts w:ascii="Arial" w:cs="Arial" w:eastAsia="Arial" w:hAnsi="Arial"/>
          <w:sz w:val="18"/>
          <w:szCs w:val="18"/>
          <w:color w:val="auto"/>
        </w:rPr>
        <w:t>Disruption caused by the failure of these systems, the underlying equipment, or communication networks could delay or otherwise adversely impact day-to-day business and decision making, could make it impossible for us to operate critical equipment, and could have an adverse effect on our performance. Although we maintain disaster recovery procedures for our critical systems, our disaster recovery plans may not fully mitigate the effect of any such disruption. Disruptions could be caused by a variety of factors, such as catastrophic events or weather, power outages, or cyber-attacks on our systems by outside parties.</w:t>
      </w:r>
    </w:p>
    <w:p>
      <w:pPr>
        <w:spacing w:after="0" w:line="188" w:lineRule="exact"/>
        <w:rPr>
          <w:sz w:val="20"/>
          <w:szCs w:val="20"/>
          <w:color w:val="auto"/>
        </w:rPr>
      </w:pPr>
    </w:p>
    <w:p>
      <w:pPr>
        <w:jc w:val="both"/>
        <w:ind w:firstLine="648"/>
        <w:spacing w:after="0" w:line="291" w:lineRule="auto"/>
        <w:rPr>
          <w:sz w:val="20"/>
          <w:szCs w:val="20"/>
          <w:color w:val="auto"/>
        </w:rPr>
      </w:pPr>
      <w:r>
        <w:rPr>
          <w:rFonts w:ascii="Arial" w:cs="Arial" w:eastAsia="Arial" w:hAnsi="Arial"/>
          <w:sz w:val="16"/>
          <w:szCs w:val="16"/>
          <w:color w:val="auto"/>
        </w:rPr>
        <w:t>We review our information technology (IT) systems regularly to assess and implement opportunities to improve or upgrade our enterprise resource planning (ERP) or other information systems required to operate our business effectively. Our ERP systems are critical to our ability to accurately maintain books and records, record transactions, provide important information to our management and prepare our financial statements. The implementation of any IT systems, including ERP systems has required in the past, and may continue to require, the investment of significant financial and human resources. In addition, we may not be able to successfully complete the implementation of the ERP systems without experiencing difficulties. Any disruptions, delays or deficiencies in the design and implementation of any IT system, including ERP systems could adversely affect our ability to process orders, ship products, provide services and customer support, send invoices and track payments, fulfill contractual obligations or otherwise operate our business.</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An information security incident, including a cybersecurity breach, could have a negative impact to our business or reputation.</w:t>
      </w:r>
    </w:p>
    <w:p>
      <w:pPr>
        <w:spacing w:after="0" w:line="225" w:lineRule="exact"/>
        <w:rPr>
          <w:sz w:val="20"/>
          <w:szCs w:val="20"/>
          <w:color w:val="auto"/>
        </w:rPr>
      </w:pPr>
    </w:p>
    <w:p>
      <w:pPr>
        <w:jc w:val="both"/>
        <w:ind w:firstLine="648"/>
        <w:spacing w:after="0" w:line="268" w:lineRule="auto"/>
        <w:rPr>
          <w:sz w:val="20"/>
          <w:szCs w:val="20"/>
          <w:color w:val="auto"/>
        </w:rPr>
      </w:pPr>
      <w:r>
        <w:rPr>
          <w:rFonts w:ascii="Arial" w:cs="Arial" w:eastAsia="Arial" w:hAnsi="Arial"/>
          <w:sz w:val="17"/>
          <w:szCs w:val="17"/>
          <w:color w:val="auto"/>
        </w:rPr>
        <w:t>To meet business objectives, we rely on both internal IT systems and networks, and those of third parties and their vendors, to process and store sensitive data, including confidential research, business plans, financial information, intellectual property, and personal data that may be subject to legal protection. The extensive information security and cybersecurity threats, which affect companies globally, pose a risk to the security and availability of these IT systems and networks, and the confidentiality, integrity, and availability of our sensitive data. We continually assess these threats and make investments to increase internal protection, detection, and response capabilities, as well as ensure our third-party providers have required capabilities and controls, to address this risk. To date, we have not experienced any material impact to the business or operations resulting from information or cybersecurity attacks; however, because of the frequently changing attack techniques, along with the increased volume and sophistication of the attacks, there is the potential for us to be adversely impacted. This impact could result in reputational, competitive, operational or other business harm as well as financial costs and regulatory action. Additionally, the California Consumer Privacy Act of 2018 (the “CCPA”), which became effective on January 1, 2020, provides private rights of action for data breaches and requires companies that process information on California residents to make new disclosures to consumers about their data collection, use and sharing practices and allow consumers to opt out of certain data sharing with third parties. Compliance with the CCPA and other current and future applicable privacy, cybersecurity and related laws can be costly and time-consuming. Significant capital investments and other expenditures could also be required to remedy cybersecurity problems and prevent future breaches, including costs associated with additional security technologies, personnel, experts and credit monitoring services for those whose data has been breached. These costs, which could be material, could adversely impact our results of operations in the period in which they are incurred and may not meaningfully limit the success of future attempts to breach our information technology systems.</w:t>
      </w:r>
    </w:p>
    <w:p>
      <w:pPr>
        <w:spacing w:after="0" w:line="39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14" w:name="page15"/>
    <w:bookmarkEnd w:id="14"/>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We may incur additional restructuring costs or not realize the expected benefits of our initiatives to reduce operating expenses in the future.</w:t>
      </w:r>
    </w:p>
    <w:p>
      <w:pPr>
        <w:spacing w:after="0" w:line="248" w:lineRule="exact"/>
        <w:rPr>
          <w:sz w:val="20"/>
          <w:szCs w:val="20"/>
          <w:color w:val="auto"/>
        </w:rPr>
      </w:pPr>
    </w:p>
    <w:p>
      <w:pPr>
        <w:jc w:val="both"/>
        <w:ind w:firstLine="648"/>
        <w:spacing w:after="0" w:line="275" w:lineRule="auto"/>
        <w:rPr>
          <w:sz w:val="20"/>
          <w:szCs w:val="20"/>
          <w:color w:val="auto"/>
        </w:rPr>
      </w:pPr>
      <w:r>
        <w:rPr>
          <w:rFonts w:ascii="Arial" w:cs="Arial" w:eastAsia="Arial" w:hAnsi="Arial"/>
          <w:sz w:val="17"/>
          <w:szCs w:val="17"/>
          <w:color w:val="auto"/>
        </w:rPr>
        <w:t>We may not be able to implement all of the actions that we intend to take in the restructuring of our operations, and we may not be able to fully realize the expected benefits from such realignment and restructuring plans or other similar restructurings in the future. In addition, we may incur additional restructuring costs in implementing such realignment and restructuring plans or other similar future plans in excess of our expectations. The implementation of our restructuring efforts, including the reduction of our workforce, may not improve our operational and cost structure or result in greater efficiency of our organization; and we may not be able to support sustainable revenue growth and profitability following such restructurings.</w:t>
      </w:r>
    </w:p>
    <w:p>
      <w:pPr>
        <w:spacing w:after="0" w:line="176" w:lineRule="exact"/>
        <w:rPr>
          <w:sz w:val="20"/>
          <w:szCs w:val="20"/>
          <w:color w:val="auto"/>
        </w:rPr>
      </w:pPr>
    </w:p>
    <w:p>
      <w:pPr>
        <w:jc w:val="both"/>
        <w:spacing w:after="0" w:line="308" w:lineRule="auto"/>
        <w:rPr>
          <w:sz w:val="20"/>
          <w:szCs w:val="20"/>
          <w:color w:val="auto"/>
        </w:rPr>
      </w:pPr>
      <w:r>
        <w:rPr>
          <w:rFonts w:ascii="Arial" w:cs="Arial" w:eastAsia="Arial" w:hAnsi="Arial"/>
          <w:sz w:val="17"/>
          <w:szCs w:val="17"/>
          <w:b w:val="1"/>
          <w:bCs w:val="1"/>
          <w:i w:val="1"/>
          <w:iCs w:val="1"/>
          <w:color w:val="auto"/>
        </w:rPr>
        <w:t>We may incur a variety of costs in connection with acquisitions we may seek to consummate in the future, and we may never realize the anticipated benefits of our acquisitions due in part to difficulties integrating the businesses, operations and product lines.</w:t>
      </w:r>
    </w:p>
    <w:p>
      <w:pPr>
        <w:spacing w:after="0" w:line="146" w:lineRule="exact"/>
        <w:rPr>
          <w:sz w:val="20"/>
          <w:szCs w:val="20"/>
          <w:color w:val="auto"/>
        </w:rPr>
      </w:pPr>
    </w:p>
    <w:p>
      <w:pPr>
        <w:jc w:val="both"/>
        <w:ind w:firstLine="648"/>
        <w:spacing w:after="0" w:line="291" w:lineRule="auto"/>
        <w:rPr>
          <w:sz w:val="20"/>
          <w:szCs w:val="20"/>
          <w:color w:val="auto"/>
        </w:rPr>
      </w:pPr>
      <w:r>
        <w:rPr>
          <w:rFonts w:ascii="Arial" w:cs="Arial" w:eastAsia="Arial" w:hAnsi="Arial"/>
          <w:sz w:val="16"/>
          <w:szCs w:val="16"/>
          <w:color w:val="auto"/>
        </w:rPr>
        <w:t>Our business strategy has historically included the acquisition of businesses, technologies, services or products that we believe are a strategic fit with our business. If we were to undertake future acquisitions, the process of integrating the acquired business, technology, service and/or product(s) may result in unforeseen operating difficulties and expenditures and potentially absorb significant management attention that would otherwise be available for ongoing development of our business. Moreover, we may fail to realize the anticipated benefits of an acquisition as rapidly as expected, or at all. Such transactions are inherently risky, and any such recent or future acquisitions could reduce stockholders’ ownership, cause us to incur debt, expose us to future liabilities and result in amortization expenses related to intangible assets with definite lives, which may adversely impact our ability to undertake future acquisitions on substantially similar terms. We may also incur significant expenditures in anticipation of an acquisition that is never realized.</w:t>
      </w:r>
    </w:p>
    <w:p>
      <w:pPr>
        <w:spacing w:after="0" w:line="166" w:lineRule="exact"/>
        <w:rPr>
          <w:sz w:val="20"/>
          <w:szCs w:val="20"/>
          <w:color w:val="auto"/>
        </w:rPr>
      </w:pPr>
    </w:p>
    <w:p>
      <w:pPr>
        <w:jc w:val="both"/>
        <w:ind w:firstLine="648"/>
        <w:spacing w:after="0" w:line="296" w:lineRule="auto"/>
        <w:rPr>
          <w:sz w:val="20"/>
          <w:szCs w:val="20"/>
          <w:color w:val="auto"/>
        </w:rPr>
      </w:pPr>
      <w:r>
        <w:rPr>
          <w:rFonts w:ascii="Arial" w:cs="Arial" w:eastAsia="Arial" w:hAnsi="Arial"/>
          <w:sz w:val="16"/>
          <w:szCs w:val="16"/>
          <w:color w:val="auto"/>
        </w:rPr>
        <w:t>Our ability to achieve the benefits of acquisitions depends in part on the integration and leveraging of technology, operations, sales and marketing channels and personnel. Integration is a complex, time-consuming and expensive process and may disrupt our business if not completed in a timely and efficient manner. We may have difficulty successfully integrating acquired businesses, and their domestic and foreign operations or product lines, and as a result, we may not realize any of the anticipated benefits of the acquisitions we make. We cannot assure that our growth rate will equal the growth rates that have been experienced by us, and these other acquired companies, respectively, operating as separate companies in the past.</w:t>
      </w:r>
    </w:p>
    <w:p>
      <w:pPr>
        <w:spacing w:after="0" w:line="161" w:lineRule="exact"/>
        <w:rPr>
          <w:sz w:val="20"/>
          <w:szCs w:val="20"/>
          <w:color w:val="auto"/>
        </w:rPr>
      </w:pPr>
    </w:p>
    <w:p>
      <w:pPr>
        <w:jc w:val="both"/>
        <w:spacing w:after="0" w:line="277" w:lineRule="auto"/>
        <w:rPr>
          <w:sz w:val="20"/>
          <w:szCs w:val="20"/>
          <w:color w:val="auto"/>
        </w:rPr>
      </w:pPr>
      <w:r>
        <w:rPr>
          <w:rFonts w:ascii="Arial" w:cs="Arial" w:eastAsia="Arial" w:hAnsi="Arial"/>
          <w:sz w:val="18"/>
          <w:szCs w:val="18"/>
          <w:b w:val="1"/>
          <w:bCs w:val="1"/>
          <w:i w:val="1"/>
          <w:iCs w:val="1"/>
          <w:color w:val="auto"/>
        </w:rPr>
        <w:t>Failure to raise additional capital or generate the significant capital necessary to implement our acquisition strategy, expand our operations and invest in new products could reduce our ability to compete and result in less revenues.</w:t>
      </w:r>
    </w:p>
    <w:p>
      <w:pPr>
        <w:spacing w:after="0" w:line="170" w:lineRule="exact"/>
        <w:rPr>
          <w:sz w:val="20"/>
          <w:szCs w:val="20"/>
          <w:color w:val="auto"/>
        </w:rPr>
      </w:pPr>
    </w:p>
    <w:p>
      <w:pPr>
        <w:jc w:val="both"/>
        <w:ind w:firstLine="648"/>
        <w:spacing w:after="0" w:line="270" w:lineRule="auto"/>
        <w:rPr>
          <w:sz w:val="20"/>
          <w:szCs w:val="20"/>
          <w:color w:val="auto"/>
        </w:rPr>
      </w:pPr>
      <w:r>
        <w:rPr>
          <w:rFonts w:ascii="Arial" w:cs="Arial" w:eastAsia="Arial" w:hAnsi="Arial"/>
          <w:sz w:val="17"/>
          <w:szCs w:val="17"/>
          <w:color w:val="auto"/>
        </w:rPr>
        <w:t>We anticipate that our financial resources, which include available cash, cash generated from operations, and debt and equity capacity, will be sufficient to finance operations and capital expenditures for at least the next twelve months. However, this expectation is premised on the current operating plan, which may change as a result of many factors, including market acceptance of new products and future opportunities with collaborators. Consequently, we may need additional funding sooner than anticipated. In addition, our borrowings under the Credit Agreement may not be sufficient to fund our acquisition strategy. In such case, our inability to raise sufficient capital on favorable terms and in a timely manner (if at all) could seriously harm our business, product development, and acquisition efforts. In addition, our Credit Agreement contains various negative covenants that, among other things, restrict our ability to incur additional indebtedness and make acquisitions for aggregate consideration in excess of $5.0 million. If future financing is not available or is not available on acceptable terms, we may have to alter our operations or change our business strategy. We cannot assure you that the capital required to fund operations, or our acquisition strategy will be available in the future.</w:t>
      </w:r>
    </w:p>
    <w:p>
      <w:pPr>
        <w:spacing w:after="0" w:line="181" w:lineRule="exact"/>
        <w:rPr>
          <w:sz w:val="20"/>
          <w:szCs w:val="20"/>
          <w:color w:val="auto"/>
        </w:rPr>
      </w:pPr>
    </w:p>
    <w:p>
      <w:pPr>
        <w:jc w:val="both"/>
        <w:ind w:right="20"/>
        <w:spacing w:after="0" w:line="277" w:lineRule="auto"/>
        <w:rPr>
          <w:sz w:val="20"/>
          <w:szCs w:val="20"/>
          <w:color w:val="auto"/>
        </w:rPr>
      </w:pPr>
      <w:r>
        <w:rPr>
          <w:rFonts w:ascii="Arial" w:cs="Arial" w:eastAsia="Arial" w:hAnsi="Arial"/>
          <w:sz w:val="18"/>
          <w:szCs w:val="18"/>
          <w:b w:val="1"/>
          <w:bCs w:val="1"/>
          <w:i w:val="1"/>
          <w:iCs w:val="1"/>
          <w:color w:val="auto"/>
        </w:rPr>
        <w:t>If we fail to retain key personnel and hire, train and retain qualified employees, we may not be able to compete effectively, which could result in reduced revenue or increased costs.</w:t>
      </w:r>
    </w:p>
    <w:p>
      <w:pPr>
        <w:spacing w:after="0" w:line="170" w:lineRule="exact"/>
        <w:rPr>
          <w:sz w:val="20"/>
          <w:szCs w:val="20"/>
          <w:color w:val="auto"/>
        </w:rPr>
      </w:pPr>
    </w:p>
    <w:p>
      <w:pPr>
        <w:jc w:val="both"/>
        <w:ind w:firstLine="648"/>
        <w:spacing w:after="0" w:line="287" w:lineRule="auto"/>
        <w:rPr>
          <w:sz w:val="20"/>
          <w:szCs w:val="20"/>
          <w:color w:val="auto"/>
        </w:rPr>
      </w:pPr>
      <w:r>
        <w:rPr>
          <w:rFonts w:ascii="Arial" w:cs="Arial" w:eastAsia="Arial" w:hAnsi="Arial"/>
          <w:sz w:val="16"/>
          <w:szCs w:val="16"/>
          <w:color w:val="auto"/>
        </w:rPr>
        <w:t>Our success is highly dependent on the continued services of key management, technical and scientific personnel. Our management and other employees may voluntarily terminate their employment at any time upon short notice. The loss of the services of any member of the senior management team, including the Chief Executive Officer, James Green; the Chief Financial Officer, Michael Rossi; or any of the managerial, technical or scientific staff may significantly delay or prevent the achievement of product development, our growth strategies and other business objectives. Our future success will also depend on our ability to identify, recruit and retain additional qualified scientific, technical and managerial personnel. We operate in several geographic locations where labor markets are particularly competitive, including the Boston, Massachusetts and Minneapolis, Minnesota metropolitan areas, England, and Germany where demand for personnel with these skills is extremely high and is likely to remain high. Additionally, the COVID-19 pandemic and other macroeconomic factors have exacerbated these challenges, contributed to a sustained labor shortage, and increased turnover rates. As a result, competition for qualified personnel is intense, particularly in the areas of general management, finance, information technology, engineering and science, and the process of hiring suitably qualified personnel is often lengthy and expensive, and may become more expensive in the future. If we are unable to hire and retain a sufficient number of qualified employees, our ability to conduct and expand our business could be seriously reduced.</w:t>
      </w:r>
    </w:p>
    <w:p>
      <w:pPr>
        <w:spacing w:after="0" w:line="38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15" w:name="page16"/>
    <w:bookmarkEnd w:id="15"/>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Our success will depend partly on our ability to operate without infringing on or misappropriating the intellectual property rights of others.</w:t>
      </w:r>
    </w:p>
    <w:p>
      <w:pPr>
        <w:spacing w:after="0" w:line="237" w:lineRule="exact"/>
        <w:rPr>
          <w:sz w:val="20"/>
          <w:szCs w:val="20"/>
          <w:color w:val="auto"/>
        </w:rPr>
      </w:pPr>
    </w:p>
    <w:p>
      <w:pPr>
        <w:jc w:val="both"/>
        <w:ind w:firstLine="648"/>
        <w:spacing w:after="0" w:line="257" w:lineRule="auto"/>
        <w:rPr>
          <w:sz w:val="20"/>
          <w:szCs w:val="20"/>
          <w:color w:val="auto"/>
        </w:rPr>
      </w:pPr>
      <w:r>
        <w:rPr>
          <w:rFonts w:ascii="Arial" w:cs="Arial" w:eastAsia="Arial" w:hAnsi="Arial"/>
          <w:sz w:val="18"/>
          <w:szCs w:val="18"/>
          <w:color w:val="auto"/>
        </w:rPr>
        <w:t>We may be sued for infringing on the intellectual property rights of others, including the patent rights, trademarks and trade names of third parties. Intellectual property litigation is costly, and the outcome is uncertain. If we do not prevail in any intellectual property litigation, in addition to any damages we might have to pay, we could be required to stop the infringing activity, or obtain a license to or design around the intellectual property in question. If we are unable to obtain a required license on acceptable terms, or are unable to design around any third-party patent, we may be unable to sell some of our products and services, which could result in reduced revenue.</w:t>
      </w:r>
    </w:p>
    <w:p>
      <w:pPr>
        <w:spacing w:after="0" w:line="188" w:lineRule="exact"/>
        <w:rPr>
          <w:sz w:val="20"/>
          <w:szCs w:val="20"/>
          <w:color w:val="auto"/>
        </w:rPr>
      </w:pPr>
    </w:p>
    <w:p>
      <w:pPr>
        <w:jc w:val="both"/>
        <w:spacing w:after="0" w:line="342" w:lineRule="auto"/>
        <w:rPr>
          <w:sz w:val="20"/>
          <w:szCs w:val="20"/>
          <w:color w:val="auto"/>
        </w:rPr>
      </w:pPr>
      <w:r>
        <w:rPr>
          <w:rFonts w:ascii="Arial" w:cs="Arial" w:eastAsia="Arial" w:hAnsi="Arial"/>
          <w:sz w:val="16"/>
          <w:szCs w:val="16"/>
          <w:b w:val="1"/>
          <w:bCs w:val="1"/>
          <w:i w:val="1"/>
          <w:iCs w:val="1"/>
          <w:color w:val="auto"/>
        </w:rPr>
        <w:t>As a result of our spin-off of Harvard Apparatus Regenerative Technology, Inc., now known as Biostage, together with certain related transactions, third parties may seek to hold us responsible for Biostage</w:t>
      </w:r>
      <w:r>
        <w:rPr>
          <w:rFonts w:ascii="Arial" w:cs="Arial" w:eastAsia="Arial" w:hAnsi="Arial"/>
          <w:sz w:val="16"/>
          <w:szCs w:val="16"/>
          <w:color w:val="auto"/>
        </w:rPr>
        <w:t>’</w:t>
      </w:r>
      <w:r>
        <w:rPr>
          <w:rFonts w:ascii="Arial" w:cs="Arial" w:eastAsia="Arial" w:hAnsi="Arial"/>
          <w:sz w:val="16"/>
          <w:szCs w:val="16"/>
          <w:b w:val="1"/>
          <w:bCs w:val="1"/>
          <w:i w:val="1"/>
          <w:iCs w:val="1"/>
          <w:color w:val="auto"/>
        </w:rPr>
        <w:t>s liabilities, including liabilities that Biostage has assumed from us.</w:t>
      </w:r>
    </w:p>
    <w:p>
      <w:pPr>
        <w:spacing w:after="0" w:line="124" w:lineRule="exact"/>
        <w:rPr>
          <w:sz w:val="20"/>
          <w:szCs w:val="20"/>
          <w:color w:val="auto"/>
        </w:rPr>
      </w:pPr>
    </w:p>
    <w:p>
      <w:pPr>
        <w:jc w:val="both"/>
        <w:ind w:firstLine="648"/>
        <w:spacing w:after="0" w:line="293" w:lineRule="auto"/>
        <w:rPr>
          <w:sz w:val="20"/>
          <w:szCs w:val="20"/>
          <w:color w:val="auto"/>
        </w:rPr>
      </w:pPr>
      <w:r>
        <w:rPr>
          <w:rFonts w:ascii="Arial" w:cs="Arial" w:eastAsia="Arial" w:hAnsi="Arial"/>
          <w:sz w:val="16"/>
          <w:szCs w:val="16"/>
          <w:color w:val="auto"/>
        </w:rPr>
        <w:t>Third parties may continue to seek to hold us responsible for Biostage’s liabilities, including any of the liabilities that Biostage agreed to retain or assume in connection with the separation of the Biostage business from our businesses, and related spin-off distribution. On April 14, 2017, representatives for the estate of an individual plaintiff filed a wrongful death complaint with the Suffolk Superior Court, in the County of Suffolk, Massachusetts (the “Court”), against us and other defendants, including Biostage, as well as another third party. The complaint seeks payment for an unspecified amount of damages and alleges that the plaintiff sustained terminal injuries allegedly caused by products, including one synthetic trachea scaffold and two bioreactors, provided by certain of the named defendants and utilized in connection with surgeries performed by third parties in Europe in 2012 and 2013.</w:t>
      </w:r>
    </w:p>
    <w:p>
      <w:pPr>
        <w:spacing w:after="0" w:line="164" w:lineRule="exact"/>
        <w:rPr>
          <w:sz w:val="20"/>
          <w:szCs w:val="20"/>
          <w:color w:val="auto"/>
        </w:rPr>
      </w:pPr>
    </w:p>
    <w:p>
      <w:pPr>
        <w:jc w:val="both"/>
        <w:ind w:firstLine="648"/>
        <w:spacing w:after="0" w:line="275" w:lineRule="auto"/>
        <w:rPr>
          <w:sz w:val="20"/>
          <w:szCs w:val="20"/>
          <w:color w:val="auto"/>
        </w:rPr>
      </w:pPr>
      <w:r>
        <w:rPr>
          <w:rFonts w:ascii="Arial" w:cs="Arial" w:eastAsia="Arial" w:hAnsi="Arial"/>
          <w:sz w:val="17"/>
          <w:szCs w:val="17"/>
          <w:color w:val="auto"/>
        </w:rPr>
        <w:t>On September 15, 2021, Biostage’s products liability insurance carrier, which insures us as an additional insured and which had appointed defense counsel and had been defending both Biostage and us on this case, notified us and Biostage that it was denying coverage under the applicable policy for the lawsuit and would no longer be providing a defense to us or Biostage with respect thereto, or covering related legal expenses incurred after September 30, 2021. The insurance carrier also filed a corresponding complaint for declaratory judgment with the Court asking the Court to declare that said insurance provider is not required to defend, indemnify or provide coverage to us or Biostage with respect to the lawsuit.</w:t>
      </w:r>
    </w:p>
    <w:p>
      <w:pPr>
        <w:spacing w:after="0" w:line="176"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On January 24, 2022, the Superior Court, Suffolk County, granted our and Biostage’s jointly filed motion for a preliminary injunction against the insurance carrier requiring that it continue to pay legal expenses incurred by Biostage and us in connection with the underlying lawsuit during the pendency of the insurance coverage lawsuit, as well as awarding reasonable attorneys’ fees and costs incurred by the parties in connection with seeking the preliminary injunction. The insurance carrier has filed a notice of appeal of the preliminary injunction.</w:t>
      </w:r>
    </w:p>
    <w:p>
      <w:pPr>
        <w:spacing w:after="0" w:line="187" w:lineRule="exact"/>
        <w:rPr>
          <w:sz w:val="20"/>
          <w:szCs w:val="20"/>
          <w:color w:val="auto"/>
        </w:rPr>
      </w:pPr>
    </w:p>
    <w:p>
      <w:pPr>
        <w:jc w:val="both"/>
        <w:ind w:firstLine="648"/>
        <w:spacing w:after="0" w:line="255" w:lineRule="auto"/>
        <w:rPr>
          <w:sz w:val="20"/>
          <w:szCs w:val="20"/>
          <w:color w:val="auto"/>
        </w:rPr>
      </w:pPr>
      <w:r>
        <w:rPr>
          <w:rFonts w:ascii="Arial" w:cs="Arial" w:eastAsia="Arial" w:hAnsi="Arial"/>
          <w:sz w:val="18"/>
          <w:szCs w:val="18"/>
          <w:color w:val="auto"/>
        </w:rPr>
        <w:t>We continue to believe that the insurance carrier’s grounds for denying coverage are without merit, and intend to vigorously defend against this complaint for declaratory judgment and the insurance carrier’s denial of the claim and related matters in order to, among other things, restore our rights to seek insurance coverage for any damages awarded in the lawsuit. However, notwithstanding the preliminary injunction, there can be no assurance that we and Biostage will prevail in the insurance coverage litigation. As such, other than what has been ordered in the preliminary injunction, it is unclear at this point the full extent to which our liability insurance coverage will reimburse us for all or any portion of any defense costs or damages incurred in connection with the underlying case.</w:t>
      </w:r>
    </w:p>
    <w:p>
      <w:pPr>
        <w:spacing w:after="0" w:line="192" w:lineRule="exact"/>
        <w:rPr>
          <w:sz w:val="20"/>
          <w:szCs w:val="20"/>
          <w:color w:val="auto"/>
        </w:rPr>
      </w:pPr>
    </w:p>
    <w:p>
      <w:pPr>
        <w:jc w:val="both"/>
        <w:ind w:firstLine="648"/>
        <w:spacing w:after="0" w:line="290" w:lineRule="auto"/>
        <w:rPr>
          <w:sz w:val="20"/>
          <w:szCs w:val="20"/>
          <w:color w:val="auto"/>
        </w:rPr>
      </w:pPr>
      <w:r>
        <w:rPr>
          <w:rFonts w:ascii="Arial" w:cs="Arial" w:eastAsia="Arial" w:hAnsi="Arial"/>
          <w:sz w:val="16"/>
          <w:szCs w:val="16"/>
          <w:color w:val="auto"/>
        </w:rPr>
        <w:t>Additionally, while there can be no assurance of prevailing, we intend to defend the plaintiff’s claims against us in the underlying case vigorously. A trial date has been set for October 2022 and the parties are currently preparing for trial. If we lose on the merits and a jury awards damages, we do not know the exact amount of compensatory and, potentially, punitive damages that could be awarded, but the amounts could be substantial. Further, while Biostage has agreed to indemnify us for claims and losses relating to certain liabilities that it has assumed from us, including liabilities in connection with the sale of Biostage’s products and other liabilities related to the operation of Biostage’s business, we cannot be assured that Biostage will have the ability to indemnify us against the liabilities we may incur in this lawsuit, in particular due to Biostage’s overall financial condition. If Biostage is unable to satisfy its obligations under its indemnity to us and if the insurance carrier does not fund the defense of the case, we may have to fund the entire defense of the case and satisfy the liabilities in this lawsuit, which could have an adverse impact on our financial condition or cash flows.</w:t>
      </w:r>
    </w:p>
    <w:p>
      <w:pPr>
        <w:spacing w:after="0" w:line="200" w:lineRule="exact"/>
        <w:rPr>
          <w:sz w:val="20"/>
          <w:szCs w:val="20"/>
          <w:color w:val="auto"/>
        </w:rPr>
      </w:pPr>
    </w:p>
    <w:p>
      <w:pPr>
        <w:spacing w:after="0" w:line="39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16" w:name="page17"/>
    <w:bookmarkEnd w:id="16"/>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Risks Related to Our Common Stock</w:t>
      </w:r>
    </w:p>
    <w:p>
      <w:pPr>
        <w:spacing w:after="0" w:line="229" w:lineRule="exact"/>
        <w:rPr>
          <w:sz w:val="20"/>
          <w:szCs w:val="20"/>
          <w:color w:val="auto"/>
        </w:rPr>
      </w:pPr>
    </w:p>
    <w:p>
      <w:pPr>
        <w:jc w:val="both"/>
        <w:spacing w:after="0" w:line="277" w:lineRule="auto"/>
        <w:rPr>
          <w:sz w:val="20"/>
          <w:szCs w:val="20"/>
          <w:color w:val="auto"/>
        </w:rPr>
      </w:pPr>
      <w:r>
        <w:rPr>
          <w:rFonts w:ascii="Arial" w:cs="Arial" w:eastAsia="Arial" w:hAnsi="Arial"/>
          <w:sz w:val="18"/>
          <w:szCs w:val="18"/>
          <w:b w:val="1"/>
          <w:bCs w:val="1"/>
          <w:i w:val="1"/>
          <w:iCs w:val="1"/>
          <w:color w:val="auto"/>
        </w:rPr>
        <w:t>If we raise additional funds through the sale of equity or convertible debt or equity-linked securities, existing percentages of ownership in our common stock will be reduced and these transactions may dilute the value of our outstanding common stock.</w:t>
      </w:r>
    </w:p>
    <w:p>
      <w:pPr>
        <w:spacing w:after="0" w:line="170" w:lineRule="exact"/>
        <w:rPr>
          <w:sz w:val="20"/>
          <w:szCs w:val="20"/>
          <w:color w:val="auto"/>
        </w:rPr>
      </w:pPr>
    </w:p>
    <w:p>
      <w:pPr>
        <w:jc w:val="both"/>
        <w:ind w:firstLine="648"/>
        <w:spacing w:after="0" w:line="296" w:lineRule="auto"/>
        <w:rPr>
          <w:sz w:val="20"/>
          <w:szCs w:val="20"/>
          <w:color w:val="auto"/>
        </w:rPr>
      </w:pPr>
      <w:r>
        <w:rPr>
          <w:rFonts w:ascii="Arial" w:cs="Arial" w:eastAsia="Arial" w:hAnsi="Arial"/>
          <w:sz w:val="16"/>
          <w:szCs w:val="16"/>
          <w:color w:val="auto"/>
        </w:rPr>
        <w:t>We may raise additional funds through the sale of equity or convertible debt or equity-linked securities to repay our existing indebtedness, implement our acquisition strategy, expand our operations and/or invest in new products. If we so raise additional funds through such sales, existing percentages of ownership in our common stock will be reduced and these transactions may dilute the value of our outstanding common stock. We may issue securities that have rights, preferences and privileges senior to our common stock. If we raise additional funds through collaborations or licensing arrangements, we may relinquish rights to certain of our technologies or products, or grant licenses to third parties on terms that are unfavorable.</w:t>
      </w:r>
    </w:p>
    <w:p>
      <w:pPr>
        <w:spacing w:after="0" w:line="16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Our stock price has fluctuated in the past and could experience substantial declines in the future.</w:t>
      </w:r>
    </w:p>
    <w:p>
      <w:pPr>
        <w:spacing w:after="0" w:line="225"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The market price of our common stock has experienced significant fluctuations and may become volatile and could decline in the future, perhaps substantially, in response to various factors including, but not limited to:</w:t>
      </w:r>
    </w:p>
    <w:p>
      <w:pPr>
        <w:spacing w:after="0" w:line="170" w:lineRule="exact"/>
        <w:rPr>
          <w:sz w:val="20"/>
          <w:szCs w:val="20"/>
          <w:color w:val="auto"/>
        </w:rPr>
      </w:pPr>
    </w:p>
    <w:p>
      <w:pPr>
        <w:ind w:left="1620" w:hanging="640"/>
        <w:spacing w:after="0"/>
        <w:tabs>
          <w:tab w:leader="none" w:pos="1620" w:val="left"/>
        </w:tabs>
        <w:numPr>
          <w:ilvl w:val="0"/>
          <w:numId w:val="6"/>
        </w:numPr>
        <w:rPr>
          <w:rFonts w:ascii="Arial" w:cs="Arial" w:eastAsia="Arial" w:hAnsi="Arial"/>
          <w:sz w:val="18"/>
          <w:szCs w:val="18"/>
          <w:color w:val="auto"/>
        </w:rPr>
      </w:pPr>
      <w:r>
        <w:rPr>
          <w:rFonts w:ascii="Arial" w:cs="Arial" w:eastAsia="Arial" w:hAnsi="Arial"/>
          <w:sz w:val="18"/>
          <w:szCs w:val="18"/>
          <w:color w:val="auto"/>
        </w:rPr>
        <w:t>volatility of the financial markets;</w:t>
      </w:r>
    </w:p>
    <w:p>
      <w:pPr>
        <w:spacing w:after="0" w:line="36" w:lineRule="exact"/>
        <w:rPr>
          <w:rFonts w:ascii="Arial" w:cs="Arial" w:eastAsia="Arial" w:hAnsi="Arial"/>
          <w:sz w:val="18"/>
          <w:szCs w:val="18"/>
          <w:color w:val="auto"/>
        </w:rPr>
      </w:pPr>
    </w:p>
    <w:p>
      <w:pPr>
        <w:ind w:left="1620" w:hanging="640"/>
        <w:spacing w:after="0"/>
        <w:tabs>
          <w:tab w:leader="none" w:pos="1620" w:val="left"/>
        </w:tabs>
        <w:numPr>
          <w:ilvl w:val="0"/>
          <w:numId w:val="6"/>
        </w:numPr>
        <w:rPr>
          <w:rFonts w:ascii="Arial" w:cs="Arial" w:eastAsia="Arial" w:hAnsi="Arial"/>
          <w:sz w:val="18"/>
          <w:szCs w:val="18"/>
          <w:color w:val="auto"/>
        </w:rPr>
      </w:pPr>
      <w:r>
        <w:rPr>
          <w:rFonts w:ascii="Arial" w:cs="Arial" w:eastAsia="Arial" w:hAnsi="Arial"/>
          <w:sz w:val="18"/>
          <w:szCs w:val="18"/>
          <w:color w:val="auto"/>
        </w:rPr>
        <w:t>uncertainty regarding the prospects of the domestic and foreign economies;</w:t>
      </w:r>
    </w:p>
    <w:p>
      <w:pPr>
        <w:spacing w:after="0" w:line="36" w:lineRule="exact"/>
        <w:rPr>
          <w:rFonts w:ascii="Arial" w:cs="Arial" w:eastAsia="Arial" w:hAnsi="Arial"/>
          <w:sz w:val="18"/>
          <w:szCs w:val="18"/>
          <w:color w:val="auto"/>
        </w:rPr>
      </w:pPr>
    </w:p>
    <w:p>
      <w:pPr>
        <w:ind w:left="1620" w:hanging="640"/>
        <w:spacing w:after="0"/>
        <w:tabs>
          <w:tab w:leader="none" w:pos="1620" w:val="left"/>
        </w:tabs>
        <w:numPr>
          <w:ilvl w:val="0"/>
          <w:numId w:val="6"/>
        </w:numPr>
        <w:rPr>
          <w:rFonts w:ascii="Arial" w:cs="Arial" w:eastAsia="Arial" w:hAnsi="Arial"/>
          <w:sz w:val="18"/>
          <w:szCs w:val="18"/>
          <w:color w:val="auto"/>
        </w:rPr>
      </w:pPr>
      <w:r>
        <w:rPr>
          <w:rFonts w:ascii="Arial" w:cs="Arial" w:eastAsia="Arial" w:hAnsi="Arial"/>
          <w:sz w:val="18"/>
          <w:szCs w:val="18"/>
          <w:color w:val="auto"/>
        </w:rPr>
        <w:t>technological innovations by competitors or in competing technologies;</w:t>
      </w:r>
    </w:p>
    <w:p>
      <w:pPr>
        <w:spacing w:after="0" w:line="36" w:lineRule="exact"/>
        <w:rPr>
          <w:rFonts w:ascii="Arial" w:cs="Arial" w:eastAsia="Arial" w:hAnsi="Arial"/>
          <w:sz w:val="18"/>
          <w:szCs w:val="18"/>
          <w:color w:val="auto"/>
        </w:rPr>
      </w:pPr>
    </w:p>
    <w:p>
      <w:pPr>
        <w:ind w:left="1620" w:right="120" w:hanging="640"/>
        <w:spacing w:after="0" w:line="258" w:lineRule="auto"/>
        <w:tabs>
          <w:tab w:leader="none" w:pos="1620" w:val="left"/>
        </w:tabs>
        <w:numPr>
          <w:ilvl w:val="0"/>
          <w:numId w:val="6"/>
        </w:numPr>
        <w:rPr>
          <w:rFonts w:ascii="Arial" w:cs="Arial" w:eastAsia="Arial" w:hAnsi="Arial"/>
          <w:sz w:val="18"/>
          <w:szCs w:val="18"/>
          <w:color w:val="auto"/>
        </w:rPr>
      </w:pPr>
      <w:r>
        <w:rPr>
          <w:rFonts w:ascii="Arial" w:cs="Arial" w:eastAsia="Arial" w:hAnsi="Arial"/>
          <w:sz w:val="18"/>
          <w:szCs w:val="18"/>
          <w:color w:val="auto"/>
        </w:rPr>
        <w:t>revenues and operating results fluctuating or failing to meet the expectations of management, securities analysts, or investors in any quarter;</w:t>
      </w:r>
    </w:p>
    <w:p>
      <w:pPr>
        <w:spacing w:after="0" w:line="1" w:lineRule="exact"/>
        <w:rPr>
          <w:rFonts w:ascii="Arial" w:cs="Arial" w:eastAsia="Arial" w:hAnsi="Arial"/>
          <w:sz w:val="18"/>
          <w:szCs w:val="18"/>
          <w:color w:val="auto"/>
        </w:rPr>
      </w:pPr>
    </w:p>
    <w:p>
      <w:pPr>
        <w:ind w:left="1620" w:right="200" w:hanging="640"/>
        <w:spacing w:after="0" w:line="250" w:lineRule="auto"/>
        <w:tabs>
          <w:tab w:leader="none" w:pos="1620" w:val="left"/>
        </w:tabs>
        <w:numPr>
          <w:ilvl w:val="0"/>
          <w:numId w:val="6"/>
        </w:numPr>
        <w:rPr>
          <w:rFonts w:ascii="Arial" w:cs="Arial" w:eastAsia="Arial" w:hAnsi="Arial"/>
          <w:sz w:val="18"/>
          <w:szCs w:val="18"/>
          <w:color w:val="auto"/>
        </w:rPr>
      </w:pPr>
      <w:r>
        <w:rPr>
          <w:rFonts w:ascii="Arial" w:cs="Arial" w:eastAsia="Arial" w:hAnsi="Arial"/>
          <w:sz w:val="18"/>
          <w:szCs w:val="18"/>
          <w:color w:val="auto"/>
        </w:rPr>
        <w:t>comments of securities analysts and mistakes by or misinterpretation of comments from analysts, downward revisions in securities analysts’ estimates or management guidance;</w:t>
      </w:r>
    </w:p>
    <w:p>
      <w:pPr>
        <w:ind w:left="1620" w:hanging="640"/>
        <w:spacing w:after="0"/>
        <w:tabs>
          <w:tab w:leader="none" w:pos="1620" w:val="left"/>
        </w:tabs>
        <w:numPr>
          <w:ilvl w:val="0"/>
          <w:numId w:val="6"/>
        </w:numPr>
        <w:rPr>
          <w:rFonts w:ascii="Arial" w:cs="Arial" w:eastAsia="Arial" w:hAnsi="Arial"/>
          <w:sz w:val="17"/>
          <w:szCs w:val="17"/>
          <w:color w:val="auto"/>
        </w:rPr>
      </w:pPr>
      <w:r>
        <w:rPr>
          <w:rFonts w:ascii="Arial" w:cs="Arial" w:eastAsia="Arial" w:hAnsi="Arial"/>
          <w:sz w:val="17"/>
          <w:szCs w:val="17"/>
          <w:color w:val="auto"/>
        </w:rPr>
        <w:t>investment banks and securities analysts becoming subject to lawsuits that may adversely affect the perception of the market;</w:t>
      </w:r>
    </w:p>
    <w:p>
      <w:pPr>
        <w:spacing w:after="0" w:line="33" w:lineRule="exact"/>
        <w:rPr>
          <w:rFonts w:ascii="Arial" w:cs="Arial" w:eastAsia="Arial" w:hAnsi="Arial"/>
          <w:sz w:val="17"/>
          <w:szCs w:val="17"/>
          <w:color w:val="auto"/>
        </w:rPr>
      </w:pPr>
    </w:p>
    <w:p>
      <w:pPr>
        <w:ind w:left="1620" w:hanging="640"/>
        <w:spacing w:after="0"/>
        <w:tabs>
          <w:tab w:leader="none" w:pos="1620" w:val="left"/>
        </w:tabs>
        <w:numPr>
          <w:ilvl w:val="0"/>
          <w:numId w:val="6"/>
        </w:numPr>
        <w:rPr>
          <w:rFonts w:ascii="Arial" w:cs="Arial" w:eastAsia="Arial" w:hAnsi="Arial"/>
          <w:sz w:val="18"/>
          <w:szCs w:val="18"/>
          <w:color w:val="auto"/>
        </w:rPr>
      </w:pPr>
      <w:r>
        <w:rPr>
          <w:rFonts w:ascii="Arial" w:cs="Arial" w:eastAsia="Arial" w:hAnsi="Arial"/>
          <w:sz w:val="18"/>
          <w:szCs w:val="18"/>
          <w:color w:val="auto"/>
        </w:rPr>
        <w:t>conditions or trends in the biotechnology and pharmaceutical industries;</w:t>
      </w:r>
    </w:p>
    <w:p>
      <w:pPr>
        <w:spacing w:after="0" w:line="36" w:lineRule="exact"/>
        <w:rPr>
          <w:rFonts w:ascii="Arial" w:cs="Arial" w:eastAsia="Arial" w:hAnsi="Arial"/>
          <w:sz w:val="18"/>
          <w:szCs w:val="18"/>
          <w:color w:val="auto"/>
        </w:rPr>
      </w:pPr>
    </w:p>
    <w:p>
      <w:pPr>
        <w:ind w:left="1620" w:hanging="640"/>
        <w:spacing w:after="0"/>
        <w:tabs>
          <w:tab w:leader="none" w:pos="1620" w:val="left"/>
        </w:tabs>
        <w:numPr>
          <w:ilvl w:val="0"/>
          <w:numId w:val="6"/>
        </w:numPr>
        <w:rPr>
          <w:rFonts w:ascii="Arial" w:cs="Arial" w:eastAsia="Arial" w:hAnsi="Arial"/>
          <w:sz w:val="18"/>
          <w:szCs w:val="18"/>
          <w:color w:val="auto"/>
        </w:rPr>
      </w:pPr>
      <w:r>
        <w:rPr>
          <w:rFonts w:ascii="Arial" w:cs="Arial" w:eastAsia="Arial" w:hAnsi="Arial"/>
          <w:sz w:val="18"/>
          <w:szCs w:val="18"/>
          <w:color w:val="auto"/>
        </w:rPr>
        <w:t>announcements of significant acquisitions or financings or strategic partnerships;</w:t>
      </w:r>
    </w:p>
    <w:p>
      <w:pPr>
        <w:spacing w:after="0" w:line="36" w:lineRule="exact"/>
        <w:rPr>
          <w:rFonts w:ascii="Arial" w:cs="Arial" w:eastAsia="Arial" w:hAnsi="Arial"/>
          <w:sz w:val="18"/>
          <w:szCs w:val="18"/>
          <w:color w:val="auto"/>
        </w:rPr>
      </w:pPr>
    </w:p>
    <w:p>
      <w:pPr>
        <w:ind w:left="1620" w:hanging="640"/>
        <w:spacing w:after="0"/>
        <w:tabs>
          <w:tab w:leader="none" w:pos="1620" w:val="left"/>
        </w:tabs>
        <w:numPr>
          <w:ilvl w:val="0"/>
          <w:numId w:val="6"/>
        </w:numPr>
        <w:rPr>
          <w:rFonts w:ascii="Arial" w:cs="Arial" w:eastAsia="Arial" w:hAnsi="Arial"/>
          <w:sz w:val="18"/>
          <w:szCs w:val="18"/>
          <w:color w:val="auto"/>
        </w:rPr>
      </w:pPr>
      <w:r>
        <w:rPr>
          <w:rFonts w:ascii="Arial" w:cs="Arial" w:eastAsia="Arial" w:hAnsi="Arial"/>
          <w:sz w:val="18"/>
          <w:szCs w:val="18"/>
          <w:color w:val="auto"/>
        </w:rPr>
        <w:t>non-compliance with the internal control standards pursuant to the Sarbanes-Oxley Act of 2002; and</w:t>
      </w:r>
    </w:p>
    <w:p>
      <w:pPr>
        <w:spacing w:after="0" w:line="36" w:lineRule="exact"/>
        <w:rPr>
          <w:rFonts w:ascii="Arial" w:cs="Arial" w:eastAsia="Arial" w:hAnsi="Arial"/>
          <w:sz w:val="18"/>
          <w:szCs w:val="18"/>
          <w:color w:val="auto"/>
        </w:rPr>
      </w:pPr>
    </w:p>
    <w:p>
      <w:pPr>
        <w:ind w:left="1620" w:hanging="640"/>
        <w:spacing w:after="0"/>
        <w:tabs>
          <w:tab w:leader="none" w:pos="1620" w:val="left"/>
        </w:tabs>
        <w:numPr>
          <w:ilvl w:val="0"/>
          <w:numId w:val="6"/>
        </w:numPr>
        <w:rPr>
          <w:rFonts w:ascii="Arial" w:cs="Arial" w:eastAsia="Arial" w:hAnsi="Arial"/>
          <w:sz w:val="18"/>
          <w:szCs w:val="18"/>
          <w:color w:val="auto"/>
        </w:rPr>
      </w:pPr>
      <w:r>
        <w:rPr>
          <w:rFonts w:ascii="Arial" w:cs="Arial" w:eastAsia="Arial" w:hAnsi="Arial"/>
          <w:sz w:val="18"/>
          <w:szCs w:val="18"/>
          <w:color w:val="auto"/>
        </w:rPr>
        <w:t>a decrease in the demand for our common stock.</w:t>
      </w:r>
    </w:p>
    <w:p>
      <w:pPr>
        <w:spacing w:after="0" w:line="252" w:lineRule="exact"/>
        <w:rPr>
          <w:sz w:val="20"/>
          <w:szCs w:val="20"/>
          <w:color w:val="auto"/>
        </w:rPr>
      </w:pPr>
    </w:p>
    <w:p>
      <w:pPr>
        <w:jc w:val="both"/>
        <w:ind w:firstLine="648"/>
        <w:spacing w:after="0" w:line="273" w:lineRule="auto"/>
        <w:rPr>
          <w:sz w:val="20"/>
          <w:szCs w:val="20"/>
          <w:color w:val="auto"/>
        </w:rPr>
      </w:pPr>
      <w:r>
        <w:rPr>
          <w:rFonts w:ascii="Arial" w:cs="Arial" w:eastAsia="Arial" w:hAnsi="Arial"/>
          <w:sz w:val="17"/>
          <w:szCs w:val="17"/>
          <w:color w:val="auto"/>
        </w:rPr>
        <w:t>In addition, public stock markets have experienced extreme price and trading volatility. The stock market and the Nasdaq Global Market in general, and the biotechnology industry and small cap markets in particular, have experienced significant price and volume fluctuations that at times may have been unrelated or disproportionate to the operating performance of those companies. These broad market and industry factors may further harm the market price of our common stock, regardless of our operating performance. In the past, securities class action litigation has often been instituted following periods of volatility in the market price of a company’s securities. A securities class action suit against us could result in substantial costs, potential liabilities and the diversion of management’s attention and resources.</w:t>
      </w:r>
    </w:p>
    <w:p>
      <w:pPr>
        <w:spacing w:after="0" w:line="17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General Risks</w:t>
      </w:r>
    </w:p>
    <w:p>
      <w:pPr>
        <w:spacing w:after="0" w:line="229" w:lineRule="exact"/>
        <w:rPr>
          <w:sz w:val="20"/>
          <w:szCs w:val="20"/>
          <w:color w:val="auto"/>
        </w:rPr>
      </w:pPr>
    </w:p>
    <w:p>
      <w:pPr>
        <w:ind w:right="200"/>
        <w:spacing w:after="0" w:line="259" w:lineRule="auto"/>
        <w:rPr>
          <w:sz w:val="20"/>
          <w:szCs w:val="20"/>
          <w:color w:val="auto"/>
        </w:rPr>
      </w:pPr>
      <w:r>
        <w:rPr>
          <w:rFonts w:ascii="Arial" w:cs="Arial" w:eastAsia="Arial" w:hAnsi="Arial"/>
          <w:sz w:val="18"/>
          <w:szCs w:val="18"/>
          <w:b w:val="1"/>
          <w:bCs w:val="1"/>
          <w:i w:val="1"/>
          <w:iCs w:val="1"/>
          <w:color w:val="auto"/>
        </w:rPr>
        <w:t>We are currently operating in a period of economic uncertainty and capital markets disruption, which has been significantly impacted by geopolitical instability due to the ongoing military conflict between Russia and Ukraine. Our business, financial condition and results of operations may be materially adversely affected by any negative impact on the global economy and capital markets resulting from the conflict in Ukraine or any other geopolitical tensions.</w:t>
      </w:r>
    </w:p>
    <w:p>
      <w:pPr>
        <w:spacing w:after="0" w:line="187" w:lineRule="exact"/>
        <w:rPr>
          <w:sz w:val="20"/>
          <w:szCs w:val="20"/>
          <w:color w:val="auto"/>
        </w:rPr>
      </w:pPr>
    </w:p>
    <w:p>
      <w:pPr>
        <w:jc w:val="both"/>
        <w:ind w:firstLine="648"/>
        <w:spacing w:after="0" w:line="257" w:lineRule="auto"/>
        <w:rPr>
          <w:sz w:val="20"/>
          <w:szCs w:val="20"/>
          <w:color w:val="auto"/>
        </w:rPr>
      </w:pPr>
      <w:r>
        <w:rPr>
          <w:rFonts w:ascii="Arial" w:cs="Arial" w:eastAsia="Arial" w:hAnsi="Arial"/>
          <w:sz w:val="18"/>
          <w:szCs w:val="18"/>
          <w:color w:val="auto"/>
        </w:rPr>
        <w:t>U.S. and global markets are experiencing volatility and disruption following the escalation of geopolitical tensions and the start of the military conflict between Russia and Ukraine. On February 24, 2022, a full-scale military invasion of Ukraine by Russian troops was reported. Although the length and impact of the ongoing military conflict is highly unpredictable, the conflict in Ukraine could lead to market disruptions, including significant volatility in commodity prices, credit and capital markets, as well as supply chain interruptions. We are continuing to monitor the situation in Ukraine and globally and assessing its potential impact on our business.</w:t>
      </w:r>
    </w:p>
    <w:p>
      <w:pPr>
        <w:spacing w:after="0" w:line="188" w:lineRule="exact"/>
        <w:rPr>
          <w:sz w:val="20"/>
          <w:szCs w:val="20"/>
          <w:color w:val="auto"/>
        </w:rPr>
      </w:pPr>
    </w:p>
    <w:p>
      <w:pPr>
        <w:jc w:val="both"/>
        <w:ind w:firstLine="648"/>
        <w:spacing w:after="0" w:line="254" w:lineRule="auto"/>
        <w:rPr>
          <w:sz w:val="20"/>
          <w:szCs w:val="20"/>
          <w:color w:val="auto"/>
        </w:rPr>
      </w:pPr>
      <w:r>
        <w:rPr>
          <w:rFonts w:ascii="Arial" w:cs="Arial" w:eastAsia="Arial" w:hAnsi="Arial"/>
          <w:sz w:val="18"/>
          <w:szCs w:val="18"/>
          <w:color w:val="auto"/>
        </w:rPr>
        <w:t>Additionally, Russia’s prior annexation of Crimea, recent recognition of two separatist republics in the Donetsk and Luhansk regions of Ukraine and subsequent military interventions in Ukraine have led to sanctions and other penalties being levied by the United States, European Union and other countries against Russia, Belarus, the Crimea Region of Ukraine, the so-called Donetsk People’s Republic, and the so-called Luhansk People’s Republic, including agreement to remove certain Russian financial institutions from the Society for Worldwide Interbank Financial Telecommunication (“SWIFT”) payment system. Additional potential sanctions and penalties have also been proposed and/or threatened. Russian military actions and the resulting sanctions could adversely affect the global economy and financial markets and lead to instability and lack of liquidity in capital markets, potentially making it more difficult for us to obtain additional funds.</w:t>
      </w:r>
    </w:p>
    <w:p>
      <w:pPr>
        <w:spacing w:after="0" w:line="195" w:lineRule="exact"/>
        <w:rPr>
          <w:sz w:val="20"/>
          <w:szCs w:val="20"/>
          <w:color w:val="auto"/>
        </w:rPr>
      </w:pPr>
    </w:p>
    <w:p>
      <w:pPr>
        <w:jc w:val="both"/>
        <w:ind w:firstLine="648"/>
        <w:spacing w:after="0" w:line="263" w:lineRule="auto"/>
        <w:rPr>
          <w:sz w:val="20"/>
          <w:szCs w:val="20"/>
          <w:color w:val="auto"/>
        </w:rPr>
      </w:pPr>
      <w:r>
        <w:rPr>
          <w:rFonts w:ascii="Arial" w:cs="Arial" w:eastAsia="Arial" w:hAnsi="Arial"/>
          <w:sz w:val="18"/>
          <w:szCs w:val="18"/>
          <w:color w:val="auto"/>
        </w:rPr>
        <w:t>Any of the abovementioned factors could affect our business, prospects, financial condition, and operating results. The extent and duration of the military action, sanctions and resulting market disruptions are impossible to predict, but could be substantial. Any such disruptions may also magnify the impact of other risks described in this Annual Report on Form 10-K.</w:t>
      </w:r>
    </w:p>
    <w:p>
      <w:pPr>
        <w:sectPr>
          <w:pgSz w:w="11900" w:h="16838" w:orient="portrait"/>
          <w:cols w:equalWidth="0" w:num="1">
            <w:col w:w="11240"/>
          </w:cols>
          <w:pgMar w:left="320" w:top="125" w:right="339" w:bottom="1440" w:gutter="0" w:footer="0" w:header="0"/>
        </w:sectPr>
      </w:pPr>
    </w:p>
    <w:p>
      <w:pPr>
        <w:spacing w:after="0" w:line="400"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97790</wp:posOffset>
            </wp:positionV>
            <wp:extent cx="7132320" cy="1714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type w:val="continuous"/>
        </w:sectPr>
      </w:pPr>
    </w:p>
    <w:bookmarkStart w:id="17" w:name="page18"/>
    <w:bookmarkEnd w:id="17"/>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jc w:val="both"/>
        <w:spacing w:after="0" w:line="277" w:lineRule="auto"/>
        <w:rPr>
          <w:sz w:val="20"/>
          <w:szCs w:val="20"/>
          <w:color w:val="auto"/>
        </w:rPr>
      </w:pPr>
      <w:r>
        <w:rPr>
          <w:rFonts w:ascii="Arial" w:cs="Arial" w:eastAsia="Arial" w:hAnsi="Arial"/>
          <w:sz w:val="18"/>
          <w:szCs w:val="18"/>
          <w:b w:val="1"/>
          <w:bCs w:val="1"/>
          <w:i w:val="1"/>
          <w:iCs w:val="1"/>
          <w:color w:val="auto"/>
        </w:rPr>
        <w:t>The COVID-19 outbreak has significantly impact worldwide economic conditions and has negatively impacted our business, financial condition and results of operations.</w:t>
      </w:r>
    </w:p>
    <w:p>
      <w:pPr>
        <w:spacing w:after="0" w:line="170" w:lineRule="exact"/>
        <w:rPr>
          <w:sz w:val="20"/>
          <w:szCs w:val="20"/>
          <w:color w:val="auto"/>
        </w:rPr>
      </w:pPr>
    </w:p>
    <w:p>
      <w:pPr>
        <w:jc w:val="both"/>
        <w:ind w:firstLine="648"/>
        <w:spacing w:after="0" w:line="269" w:lineRule="auto"/>
        <w:rPr>
          <w:sz w:val="20"/>
          <w:szCs w:val="20"/>
          <w:color w:val="auto"/>
        </w:rPr>
      </w:pPr>
      <w:r>
        <w:rPr>
          <w:rFonts w:ascii="Arial" w:cs="Arial" w:eastAsia="Arial" w:hAnsi="Arial"/>
          <w:sz w:val="17"/>
          <w:szCs w:val="17"/>
          <w:color w:val="auto"/>
        </w:rPr>
        <w:t>The ongoing global outbreak of COVID-19 has caused disruptions to our business and has had a negative impact on our operations to date. Since the global outbreak of COVID-19, many of our customers, particularly academic research institutions, have reduced laboratory work which has negatively impacted, and will continue to negatively impact, our sales. While many of our customers, including academic labs, have reopened, a significant number of them remained closed or at significantly lower capacity levels through during 2021. Additionally, to ensure business continuity while maintaining a safe environment for employees aligned with guidance from government and health organizations, we transitioned a significant portion of our workforce to work-from-home while implementing social distancing requirements and other measures to allow manufacturing and other personnel essential to production to continue work within the Company’s facilities. Business travel continues to be significantly reduced. While a portion of our workforce has returned to in-office work and travel is less restricted, we continue to have restrictions which represent disruptions which can impact productivity including sales and marketing activities. Accordingly, these conditions in addition to the overall impact on the global economy could continue to have a negative impact our results of operations and cash flows.</w:t>
      </w:r>
    </w:p>
    <w:p>
      <w:pPr>
        <w:spacing w:after="0" w:line="18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Disruptions to the global supply chain have adversely affected our financial results and cash flows.</w:t>
      </w:r>
    </w:p>
    <w:p>
      <w:pPr>
        <w:spacing w:after="0" w:line="225" w:lineRule="exact"/>
        <w:rPr>
          <w:sz w:val="20"/>
          <w:szCs w:val="20"/>
          <w:color w:val="auto"/>
        </w:rPr>
      </w:pPr>
    </w:p>
    <w:p>
      <w:pPr>
        <w:jc w:val="both"/>
        <w:ind w:firstLine="648"/>
        <w:spacing w:after="0" w:line="273" w:lineRule="auto"/>
        <w:rPr>
          <w:sz w:val="20"/>
          <w:szCs w:val="20"/>
          <w:color w:val="auto"/>
        </w:rPr>
      </w:pPr>
      <w:r>
        <w:rPr>
          <w:rFonts w:ascii="Arial" w:cs="Arial" w:eastAsia="Arial" w:hAnsi="Arial"/>
          <w:sz w:val="17"/>
          <w:szCs w:val="17"/>
          <w:color w:val="auto"/>
        </w:rPr>
        <w:t>The global supply chain experienced significant disruptions during 2021 as a result of electronic component and labor shortages and other macroeconomic factors that have emerged since the onset of the COVID-19 pandemic. As a result of these disruptions, we have experienced delays in supplier deliveries, extended lead times, and increased cost of freight, purchased materials and manufacturing labor costs. These disruptions have delayed and may continue to delay the timing of some customer orders and expected deliveries of our products. We believe that these supply chain trends will continue in 2022. If the impacts of the supply chain disruptions are more severe than we expect, it could result in longer lead times and further increased costs, all of which could materially adversely affect our business, financial condition and results of operations.</w:t>
      </w:r>
    </w:p>
    <w:p>
      <w:pPr>
        <w:spacing w:after="0" w:line="17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If we incur higher costs as a result of trade policies, treaties, government regulations or tariffs, we may become less profitable.</w:t>
      </w:r>
    </w:p>
    <w:p>
      <w:pPr>
        <w:spacing w:after="0" w:line="225" w:lineRule="exact"/>
        <w:rPr>
          <w:sz w:val="20"/>
          <w:szCs w:val="20"/>
          <w:color w:val="auto"/>
        </w:rPr>
      </w:pPr>
    </w:p>
    <w:p>
      <w:pPr>
        <w:jc w:val="both"/>
        <w:ind w:firstLine="648"/>
        <w:spacing w:after="0" w:line="263" w:lineRule="auto"/>
        <w:rPr>
          <w:sz w:val="20"/>
          <w:szCs w:val="20"/>
          <w:color w:val="auto"/>
        </w:rPr>
      </w:pPr>
      <w:r>
        <w:rPr>
          <w:rFonts w:ascii="Arial" w:cs="Arial" w:eastAsia="Arial" w:hAnsi="Arial"/>
          <w:sz w:val="18"/>
          <w:szCs w:val="18"/>
          <w:color w:val="auto"/>
        </w:rPr>
        <w:t>There continues to be uncertainty about the relationship between the United States and foreign countries, including with respect to trade policies, treaties, government regulations and tariffs. We are unable to predict whether or when tariffs will be imposed or the impact of any such future tariff increases.</w:t>
      </w:r>
    </w:p>
    <w:p>
      <w:pPr>
        <w:spacing w:after="0" w:line="184" w:lineRule="exact"/>
        <w:rPr>
          <w:sz w:val="20"/>
          <w:szCs w:val="20"/>
          <w:color w:val="auto"/>
        </w:rPr>
      </w:pPr>
    </w:p>
    <w:p>
      <w:pPr>
        <w:jc w:val="both"/>
        <w:ind w:right="20"/>
        <w:spacing w:after="0" w:line="277" w:lineRule="auto"/>
        <w:rPr>
          <w:sz w:val="20"/>
          <w:szCs w:val="20"/>
          <w:color w:val="auto"/>
        </w:rPr>
      </w:pPr>
      <w:r>
        <w:rPr>
          <w:rFonts w:ascii="Arial" w:cs="Arial" w:eastAsia="Arial" w:hAnsi="Arial"/>
          <w:sz w:val="18"/>
          <w:szCs w:val="18"/>
          <w:b w:val="1"/>
          <w:bCs w:val="1"/>
          <w:i w:val="1"/>
          <w:iCs w:val="1"/>
          <w:color w:val="auto"/>
        </w:rPr>
        <w:t>We may be the subject of lawsuits from counterparties to acquisitions and divestitures, including an acquiring company or its stockholders, an acquired company</w:t>
      </w:r>
      <w:r>
        <w:rPr>
          <w:rFonts w:ascii="Arial" w:cs="Arial" w:eastAsia="Arial" w:hAnsi="Arial"/>
          <w:sz w:val="18"/>
          <w:szCs w:val="18"/>
          <w:color w:val="auto"/>
        </w:rPr>
        <w:t>’</w:t>
      </w:r>
      <w:r>
        <w:rPr>
          <w:rFonts w:ascii="Arial" w:cs="Arial" w:eastAsia="Arial" w:hAnsi="Arial"/>
          <w:sz w:val="18"/>
          <w:szCs w:val="18"/>
          <w:b w:val="1"/>
          <w:bCs w:val="1"/>
          <w:i w:val="1"/>
          <w:iCs w:val="1"/>
          <w:color w:val="auto"/>
        </w:rPr>
        <w:t>s previous stockholders, a divested company</w:t>
      </w:r>
      <w:r>
        <w:rPr>
          <w:rFonts w:ascii="Arial" w:cs="Arial" w:eastAsia="Arial" w:hAnsi="Arial"/>
          <w:sz w:val="18"/>
          <w:szCs w:val="18"/>
          <w:color w:val="auto"/>
        </w:rPr>
        <w:t>’</w:t>
      </w:r>
      <w:r>
        <w:rPr>
          <w:rFonts w:ascii="Arial" w:cs="Arial" w:eastAsia="Arial" w:hAnsi="Arial"/>
          <w:sz w:val="18"/>
          <w:szCs w:val="18"/>
          <w:b w:val="1"/>
          <w:bCs w:val="1"/>
          <w:i w:val="1"/>
          <w:iCs w:val="1"/>
          <w:color w:val="auto"/>
        </w:rPr>
        <w:t>s stockholders or our current stockholders.</w:t>
      </w:r>
    </w:p>
    <w:p>
      <w:pPr>
        <w:spacing w:after="0" w:line="170" w:lineRule="exact"/>
        <w:rPr>
          <w:sz w:val="20"/>
          <w:szCs w:val="20"/>
          <w:color w:val="auto"/>
        </w:rPr>
      </w:pPr>
    </w:p>
    <w:p>
      <w:pPr>
        <w:jc w:val="both"/>
        <w:ind w:firstLine="648"/>
        <w:spacing w:after="0" w:line="275" w:lineRule="auto"/>
        <w:rPr>
          <w:sz w:val="20"/>
          <w:szCs w:val="20"/>
          <w:color w:val="auto"/>
        </w:rPr>
      </w:pPr>
      <w:r>
        <w:rPr>
          <w:rFonts w:ascii="Arial" w:cs="Arial" w:eastAsia="Arial" w:hAnsi="Arial"/>
          <w:sz w:val="17"/>
          <w:szCs w:val="17"/>
          <w:color w:val="auto"/>
        </w:rPr>
        <w:t>We may be the subject of lawsuits from either an acquiring company or its stockholders, an acquired company’s previous stockholders, a divested company’s stockholders or our current stockholders. Such lawsuits could result from the actions of the acquisition or divestiture target prior to the date of the acquisition or divestiture, from the acquisition or divestiture transaction itself or from actions after the acquisition or divestiture. Defending potential lawsuits could cost us significant expense and detract management’s attention from the operation of the business. Additionally, these lawsuits could result in the cancellation of or the inability to renew certain insurance coverage that would be necessary to protect our assets.</w:t>
      </w:r>
    </w:p>
    <w:p>
      <w:pPr>
        <w:spacing w:after="0" w:line="17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Rising commodity and precious metals costs could adversely impact our profitability.</w:t>
      </w:r>
    </w:p>
    <w:p>
      <w:pPr>
        <w:spacing w:after="0" w:line="225" w:lineRule="exact"/>
        <w:rPr>
          <w:sz w:val="20"/>
          <w:szCs w:val="20"/>
          <w:color w:val="auto"/>
        </w:rPr>
      </w:pPr>
    </w:p>
    <w:p>
      <w:pPr>
        <w:jc w:val="both"/>
        <w:ind w:firstLine="648"/>
        <w:spacing w:after="0" w:line="311" w:lineRule="auto"/>
        <w:rPr>
          <w:sz w:val="20"/>
          <w:szCs w:val="20"/>
          <w:color w:val="auto"/>
        </w:rPr>
      </w:pPr>
      <w:r>
        <w:rPr>
          <w:rFonts w:ascii="Arial" w:cs="Arial" w:eastAsia="Arial" w:hAnsi="Arial"/>
          <w:sz w:val="16"/>
          <w:szCs w:val="16"/>
          <w:color w:val="auto"/>
        </w:rPr>
        <w:t>Raw material commodities such as resins, and precious metal commodities such as platinum are subject to wide price variations. Increases in the costs of these commodities and the costs of energy, transportation and other necessary services may adversely affect our profit margins if we are unable to pass along any higher costs in the form of price increases or otherwise achieve cost efficiencies such as in manufacturing and distribution.</w:t>
      </w:r>
    </w:p>
    <w:p>
      <w:pPr>
        <w:spacing w:after="0" w:line="149"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Provisions of Delaware law, or of our charter and bylaws may make a takeover more difficult, which could cause our stock price to decline.</w:t>
      </w:r>
    </w:p>
    <w:p>
      <w:pPr>
        <w:spacing w:after="0" w:line="237" w:lineRule="exact"/>
        <w:rPr>
          <w:sz w:val="20"/>
          <w:szCs w:val="20"/>
          <w:color w:val="auto"/>
        </w:rPr>
      </w:pPr>
    </w:p>
    <w:p>
      <w:pPr>
        <w:jc w:val="both"/>
        <w:ind w:firstLine="648"/>
        <w:spacing w:after="0" w:line="255" w:lineRule="auto"/>
        <w:rPr>
          <w:sz w:val="20"/>
          <w:szCs w:val="20"/>
          <w:color w:val="auto"/>
        </w:rPr>
      </w:pPr>
      <w:r>
        <w:rPr>
          <w:rFonts w:ascii="Arial" w:cs="Arial" w:eastAsia="Arial" w:hAnsi="Arial"/>
          <w:sz w:val="18"/>
          <w:szCs w:val="18"/>
          <w:color w:val="auto"/>
        </w:rPr>
        <w:t>Provisions in our certificate of incorporation and bylaws and in the Delaware corporate law may make it difficult and expensive for a third party to pursue a tender offer, change in control or takeover attempt, which is opposed by management and the board of directors. Public stockholders who might desire to participate in such a transaction may not have an opportunity to do so. We have a staggered board of directors that makes it difficult for stockholders to change the composition of the board of directors in any one year. These anti-takeover provisions could substantially impede the ability of public stockholders to change our management and board of directors. Such provisions may also limit the price that investors might be willing to pay for shares of our common stock in the future.</w:t>
      </w:r>
    </w:p>
    <w:p>
      <w:pPr>
        <w:spacing w:after="0" w:line="19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18" w:name="page19"/>
    <w:bookmarkEnd w:id="18"/>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21" w:lineRule="exact"/>
        <w:rPr>
          <w:sz w:val="20"/>
          <w:szCs w:val="20"/>
          <w:color w:val="auto"/>
        </w:rPr>
      </w:pPr>
    </w:p>
    <w:p>
      <w:pPr>
        <w:spacing w:after="0"/>
        <w:tabs>
          <w:tab w:leader="none" w:pos="960" w:val="left"/>
        </w:tabs>
        <w:rPr>
          <w:sz w:val="20"/>
          <w:szCs w:val="20"/>
          <w:color w:val="auto"/>
        </w:rPr>
      </w:pPr>
      <w:r>
        <w:rPr>
          <w:rFonts w:ascii="Arial" w:cs="Arial" w:eastAsia="Arial" w:hAnsi="Arial"/>
          <w:sz w:val="18"/>
          <w:szCs w:val="18"/>
          <w:b w:val="1"/>
          <w:bCs w:val="1"/>
          <w:color w:val="auto"/>
        </w:rPr>
        <w:t>Item 1B.</w:t>
      </w:r>
      <w:r>
        <w:rPr>
          <w:sz w:val="20"/>
          <w:szCs w:val="20"/>
          <w:color w:val="auto"/>
        </w:rPr>
        <w:tab/>
      </w:r>
      <w:r>
        <w:rPr>
          <w:rFonts w:ascii="Arial" w:cs="Arial" w:eastAsia="Arial" w:hAnsi="Arial"/>
          <w:sz w:val="15"/>
          <w:szCs w:val="15"/>
          <w:b w:val="1"/>
          <w:bCs w:val="1"/>
          <w:i w:val="1"/>
          <w:iCs w:val="1"/>
          <w:color w:val="auto"/>
        </w:rPr>
        <w:t>Unresolved Staff Comments</w:t>
      </w:r>
      <w:r>
        <w:rPr>
          <w:rFonts w:ascii="Arial" w:cs="Arial" w:eastAsia="Arial" w:hAnsi="Arial"/>
          <w:sz w:val="15"/>
          <w:szCs w:val="15"/>
          <w:b w:val="1"/>
          <w:bCs w:val="1"/>
          <w:color w:val="auto"/>
        </w:rPr>
        <w:t>.</w:t>
      </w:r>
    </w:p>
    <w:p>
      <w:pPr>
        <w:spacing w:after="0" w:line="229" w:lineRule="exact"/>
        <w:rPr>
          <w:sz w:val="20"/>
          <w:szCs w:val="20"/>
          <w:color w:val="auto"/>
        </w:rPr>
      </w:pPr>
    </w:p>
    <w:p>
      <w:pPr>
        <w:jc w:val="center"/>
        <w:ind w:right="9500"/>
        <w:spacing w:after="0"/>
        <w:rPr>
          <w:sz w:val="20"/>
          <w:szCs w:val="20"/>
          <w:color w:val="auto"/>
        </w:rPr>
      </w:pPr>
      <w:r>
        <w:rPr>
          <w:rFonts w:ascii="Arial" w:cs="Arial" w:eastAsia="Arial" w:hAnsi="Arial"/>
          <w:sz w:val="18"/>
          <w:szCs w:val="18"/>
          <w:color w:val="auto"/>
        </w:rPr>
        <w:t>None.</w:t>
      </w:r>
    </w:p>
    <w:p>
      <w:pPr>
        <w:spacing w:after="0" w:line="221" w:lineRule="exact"/>
        <w:rPr>
          <w:sz w:val="20"/>
          <w:szCs w:val="20"/>
          <w:color w:val="auto"/>
        </w:rPr>
      </w:pPr>
    </w:p>
    <w:p>
      <w:pPr>
        <w:spacing w:after="0"/>
        <w:tabs>
          <w:tab w:leader="none" w:pos="960" w:val="left"/>
        </w:tabs>
        <w:rPr>
          <w:sz w:val="20"/>
          <w:szCs w:val="20"/>
          <w:color w:val="auto"/>
        </w:rPr>
      </w:pPr>
      <w:r>
        <w:rPr>
          <w:rFonts w:ascii="Arial" w:cs="Arial" w:eastAsia="Arial" w:hAnsi="Arial"/>
          <w:sz w:val="18"/>
          <w:szCs w:val="18"/>
          <w:b w:val="1"/>
          <w:bCs w:val="1"/>
          <w:color w:val="auto"/>
        </w:rPr>
        <w:t>Item 2.</w:t>
      </w:r>
      <w:r>
        <w:rPr>
          <w:sz w:val="20"/>
          <w:szCs w:val="20"/>
          <w:color w:val="auto"/>
        </w:rPr>
        <w:tab/>
      </w:r>
      <w:r>
        <w:rPr>
          <w:rFonts w:ascii="Arial" w:cs="Arial" w:eastAsia="Arial" w:hAnsi="Arial"/>
          <w:sz w:val="15"/>
          <w:szCs w:val="15"/>
          <w:b w:val="1"/>
          <w:bCs w:val="1"/>
          <w:i w:val="1"/>
          <w:iCs w:val="1"/>
          <w:color w:val="auto"/>
        </w:rPr>
        <w:t>Properties.</w:t>
      </w:r>
    </w:p>
    <w:p>
      <w:pPr>
        <w:spacing w:after="0" w:line="229"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Our facilities perform manufacturing, research and development, sales and marketing, and administration functions. As of December 31, 2021, we leased the following principal facilities:</w:t>
      </w:r>
    </w:p>
    <w:p>
      <w:pPr>
        <w:spacing w:after="0" w:line="166" w:lineRule="exact"/>
        <w:rPr>
          <w:sz w:val="20"/>
          <w:szCs w:val="20"/>
          <w:color w:val="auto"/>
        </w:rPr>
      </w:pPr>
    </w:p>
    <w:tbl>
      <w:tblPr>
        <w:tblLayout w:type="fixed"/>
        <w:tblInd w:w="660" w:type="dxa"/>
        <w:tblCellMar>
          <w:top w:w="0" w:type="dxa"/>
          <w:left w:w="0" w:type="dxa"/>
          <w:bottom w:w="0" w:type="dxa"/>
          <w:right w:w="0" w:type="dxa"/>
        </w:tblCellMar>
      </w:tblPr>
      <w:tr>
        <w:trPr>
          <w:trHeight w:val="216"/>
        </w:trPr>
        <w:tc>
          <w:tcPr>
            <w:tcW w:w="25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6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00" w:type="dxa"/>
            <w:vAlign w:val="bottom"/>
          </w:tcPr>
          <w:p>
            <w:pPr>
              <w:jc w:val="center"/>
              <w:spacing w:after="0"/>
              <w:rPr>
                <w:sz w:val="20"/>
                <w:szCs w:val="20"/>
                <w:color w:val="auto"/>
              </w:rPr>
            </w:pPr>
            <w:r>
              <w:rPr>
                <w:rFonts w:ascii="Arial" w:cs="Arial" w:eastAsia="Arial" w:hAnsi="Arial"/>
                <w:sz w:val="18"/>
                <w:szCs w:val="18"/>
                <w:b w:val="1"/>
                <w:bCs w:val="1"/>
                <w:color w:val="auto"/>
                <w:w w:val="90"/>
              </w:rPr>
              <w:t>Approximate</w:t>
            </w:r>
          </w:p>
        </w:tc>
        <w:tc>
          <w:tcPr>
            <w:tcW w:w="120" w:type="dxa"/>
            <w:vAlign w:val="bottom"/>
          </w:tcPr>
          <w:p>
            <w:pPr>
              <w:spacing w:after="0"/>
              <w:rPr>
                <w:sz w:val="18"/>
                <w:szCs w:val="18"/>
                <w:color w:val="auto"/>
              </w:rPr>
            </w:pPr>
          </w:p>
        </w:tc>
        <w:tc>
          <w:tcPr>
            <w:tcW w:w="1320" w:type="dxa"/>
            <w:vAlign w:val="bottom"/>
          </w:tcPr>
          <w:p>
            <w:pPr>
              <w:spacing w:after="0"/>
              <w:rPr>
                <w:sz w:val="18"/>
                <w:szCs w:val="18"/>
                <w:color w:val="auto"/>
              </w:rPr>
            </w:pPr>
          </w:p>
        </w:tc>
      </w:tr>
      <w:tr>
        <w:trPr>
          <w:trHeight w:val="234"/>
        </w:trPr>
        <w:tc>
          <w:tcPr>
            <w:tcW w:w="2580" w:type="dxa"/>
            <w:vAlign w:val="bottom"/>
            <w:tcBorders>
              <w:bottom w:val="single" w:sz="8" w:color="auto"/>
            </w:tcBorders>
          </w:tcPr>
          <w:p>
            <w:pPr>
              <w:spacing w:after="0"/>
              <w:rPr>
                <w:sz w:val="20"/>
                <w:szCs w:val="20"/>
                <w:color w:val="auto"/>
              </w:rPr>
            </w:pPr>
            <w:r>
              <w:rPr>
                <w:rFonts w:ascii="Arial" w:cs="Arial" w:eastAsia="Arial" w:hAnsi="Arial"/>
                <w:sz w:val="18"/>
                <w:szCs w:val="18"/>
                <w:b w:val="1"/>
                <w:bCs w:val="1"/>
                <w:color w:val="auto"/>
              </w:rPr>
              <w:t>Location</w:t>
            </w:r>
          </w:p>
        </w:tc>
        <w:tc>
          <w:tcPr>
            <w:tcW w:w="120" w:type="dxa"/>
            <w:vAlign w:val="bottom"/>
          </w:tcPr>
          <w:p>
            <w:pPr>
              <w:spacing w:after="0"/>
              <w:rPr>
                <w:sz w:val="20"/>
                <w:szCs w:val="20"/>
                <w:color w:val="auto"/>
              </w:rPr>
            </w:pPr>
          </w:p>
        </w:tc>
        <w:tc>
          <w:tcPr>
            <w:tcW w:w="3680" w:type="dxa"/>
            <w:vAlign w:val="bottom"/>
            <w:tcBorders>
              <w:bottom w:val="single" w:sz="8" w:color="auto"/>
            </w:tcBorders>
          </w:tcPr>
          <w:p>
            <w:pPr>
              <w:ind w:left="1000"/>
              <w:spacing w:after="0"/>
              <w:rPr>
                <w:sz w:val="20"/>
                <w:szCs w:val="20"/>
                <w:color w:val="auto"/>
              </w:rPr>
            </w:pPr>
            <w:r>
              <w:rPr>
                <w:rFonts w:ascii="Arial" w:cs="Arial" w:eastAsia="Arial" w:hAnsi="Arial"/>
                <w:sz w:val="18"/>
                <w:szCs w:val="18"/>
                <w:b w:val="1"/>
                <w:bCs w:val="1"/>
                <w:color w:val="auto"/>
              </w:rPr>
              <w:t>Description of Facility</w:t>
            </w:r>
          </w:p>
        </w:tc>
        <w:tc>
          <w:tcPr>
            <w:tcW w:w="120" w:type="dxa"/>
            <w:vAlign w:val="bottom"/>
          </w:tcPr>
          <w:p>
            <w:pPr>
              <w:spacing w:after="0"/>
              <w:rPr>
                <w:sz w:val="20"/>
                <w:szCs w:val="20"/>
                <w:color w:val="auto"/>
              </w:rPr>
            </w:pPr>
          </w:p>
        </w:tc>
        <w:tc>
          <w:tcPr>
            <w:tcW w:w="1600" w:type="dxa"/>
            <w:vAlign w:val="bottom"/>
            <w:tcBorders>
              <w:bottom w:val="single" w:sz="8" w:color="auto"/>
            </w:tcBorders>
          </w:tcPr>
          <w:p>
            <w:pPr>
              <w:jc w:val="center"/>
              <w:spacing w:after="0"/>
              <w:rPr>
                <w:sz w:val="20"/>
                <w:szCs w:val="20"/>
                <w:color w:val="auto"/>
              </w:rPr>
            </w:pPr>
            <w:r>
              <w:rPr>
                <w:rFonts w:ascii="Arial" w:cs="Arial" w:eastAsia="Arial" w:hAnsi="Arial"/>
                <w:sz w:val="18"/>
                <w:szCs w:val="18"/>
                <w:b w:val="1"/>
                <w:bCs w:val="1"/>
                <w:color w:val="auto"/>
                <w:w w:val="88"/>
              </w:rPr>
              <w:t>Square Footage</w:t>
            </w:r>
          </w:p>
        </w:tc>
        <w:tc>
          <w:tcPr>
            <w:tcW w:w="120" w:type="dxa"/>
            <w:vAlign w:val="bottom"/>
          </w:tcPr>
          <w:p>
            <w:pPr>
              <w:spacing w:after="0"/>
              <w:rPr>
                <w:sz w:val="20"/>
                <w:szCs w:val="20"/>
                <w:color w:val="auto"/>
              </w:rPr>
            </w:pPr>
          </w:p>
        </w:tc>
        <w:tc>
          <w:tcPr>
            <w:tcW w:w="1320" w:type="dxa"/>
            <w:vAlign w:val="bottom"/>
            <w:tcBorders>
              <w:bottom w:val="single" w:sz="8" w:color="auto"/>
            </w:tcBorders>
          </w:tcPr>
          <w:p>
            <w:pPr>
              <w:ind w:left="240"/>
              <w:spacing w:after="0"/>
              <w:rPr>
                <w:sz w:val="20"/>
                <w:szCs w:val="20"/>
                <w:color w:val="auto"/>
              </w:rPr>
            </w:pPr>
            <w:r>
              <w:rPr>
                <w:rFonts w:ascii="Arial" w:cs="Arial" w:eastAsia="Arial" w:hAnsi="Arial"/>
                <w:sz w:val="18"/>
                <w:szCs w:val="18"/>
                <w:b w:val="1"/>
                <w:bCs w:val="1"/>
                <w:color w:val="auto"/>
              </w:rPr>
              <w:t>Expiration</w:t>
            </w:r>
          </w:p>
        </w:tc>
      </w:tr>
      <w:tr>
        <w:trPr>
          <w:trHeight w:val="209"/>
        </w:trPr>
        <w:tc>
          <w:tcPr>
            <w:tcW w:w="2580" w:type="dxa"/>
            <w:vAlign w:val="bottom"/>
            <w:shd w:val="clear" w:color="auto" w:fill="CCEEFF"/>
          </w:tcPr>
          <w:p>
            <w:pPr>
              <w:spacing w:after="0"/>
              <w:rPr>
                <w:sz w:val="20"/>
                <w:szCs w:val="20"/>
                <w:color w:val="auto"/>
              </w:rPr>
            </w:pPr>
            <w:r>
              <w:rPr>
                <w:rFonts w:ascii="Arial" w:cs="Arial" w:eastAsia="Arial" w:hAnsi="Arial"/>
                <w:sz w:val="18"/>
                <w:szCs w:val="18"/>
                <w:color w:val="auto"/>
              </w:rPr>
              <w:t>Holliston, Massachusetts</w:t>
            </w:r>
          </w:p>
        </w:tc>
        <w:tc>
          <w:tcPr>
            <w:tcW w:w="3800" w:type="dxa"/>
            <w:vAlign w:val="bottom"/>
            <w:gridSpan w:val="2"/>
            <w:shd w:val="clear" w:color="auto" w:fill="CCEEFF"/>
          </w:tcPr>
          <w:p>
            <w:pPr>
              <w:ind w:left="120"/>
              <w:spacing w:after="0"/>
              <w:rPr>
                <w:sz w:val="20"/>
                <w:szCs w:val="20"/>
                <w:color w:val="auto"/>
              </w:rPr>
            </w:pPr>
            <w:r>
              <w:rPr>
                <w:rFonts w:ascii="Arial" w:cs="Arial" w:eastAsia="Arial" w:hAnsi="Arial"/>
                <w:sz w:val="18"/>
                <w:szCs w:val="18"/>
                <w:color w:val="auto"/>
                <w:w w:val="92"/>
              </w:rPr>
              <w:t>Manufacturing facility and corporate headquarters</w:t>
            </w:r>
          </w:p>
        </w:tc>
        <w:tc>
          <w:tcPr>
            <w:tcW w:w="1720" w:type="dxa"/>
            <w:vAlign w:val="bottom"/>
            <w:gridSpan w:val="2"/>
            <w:shd w:val="clear" w:color="auto" w:fill="CCEEFF"/>
          </w:tcPr>
          <w:p>
            <w:pPr>
              <w:jc w:val="center"/>
              <w:ind w:left="30"/>
              <w:spacing w:after="0"/>
              <w:rPr>
                <w:sz w:val="20"/>
                <w:szCs w:val="20"/>
                <w:color w:val="auto"/>
              </w:rPr>
            </w:pPr>
            <w:r>
              <w:rPr>
                <w:rFonts w:ascii="Arial" w:cs="Arial" w:eastAsia="Arial" w:hAnsi="Arial"/>
                <w:sz w:val="18"/>
                <w:szCs w:val="18"/>
                <w:color w:val="auto"/>
                <w:w w:val="87"/>
              </w:rPr>
              <w:t>83,000</w:t>
            </w:r>
          </w:p>
        </w:tc>
        <w:tc>
          <w:tcPr>
            <w:tcW w:w="1440" w:type="dxa"/>
            <w:vAlign w:val="bottom"/>
            <w:gridSpan w:val="2"/>
            <w:shd w:val="clear" w:color="auto" w:fill="CCEEFF"/>
          </w:tcPr>
          <w:p>
            <w:pPr>
              <w:jc w:val="center"/>
              <w:ind w:left="30"/>
              <w:spacing w:after="0"/>
              <w:rPr>
                <w:sz w:val="20"/>
                <w:szCs w:val="20"/>
                <w:color w:val="auto"/>
              </w:rPr>
            </w:pPr>
            <w:r>
              <w:rPr>
                <w:rFonts w:ascii="Arial" w:cs="Arial" w:eastAsia="Arial" w:hAnsi="Arial"/>
                <w:sz w:val="18"/>
                <w:szCs w:val="18"/>
                <w:color w:val="auto"/>
                <w:w w:val="89"/>
              </w:rPr>
              <w:t>2024</w:t>
            </w:r>
          </w:p>
        </w:tc>
      </w:tr>
      <w:tr>
        <w:trPr>
          <w:trHeight w:val="216"/>
        </w:trPr>
        <w:tc>
          <w:tcPr>
            <w:tcW w:w="2580" w:type="dxa"/>
            <w:vAlign w:val="bottom"/>
          </w:tcPr>
          <w:p>
            <w:pPr>
              <w:spacing w:after="0"/>
              <w:rPr>
                <w:sz w:val="20"/>
                <w:szCs w:val="20"/>
                <w:color w:val="auto"/>
              </w:rPr>
            </w:pPr>
            <w:r>
              <w:rPr>
                <w:rFonts w:ascii="Arial" w:cs="Arial" w:eastAsia="Arial" w:hAnsi="Arial"/>
                <w:sz w:val="18"/>
                <w:szCs w:val="18"/>
                <w:color w:val="auto"/>
              </w:rPr>
              <w:t>New Brighton, Minnesota</w:t>
            </w:r>
          </w:p>
        </w:tc>
        <w:tc>
          <w:tcPr>
            <w:tcW w:w="3800" w:type="dxa"/>
            <w:vAlign w:val="bottom"/>
            <w:gridSpan w:val="2"/>
          </w:tcPr>
          <w:p>
            <w:pPr>
              <w:ind w:left="120"/>
              <w:spacing w:after="0"/>
              <w:rPr>
                <w:sz w:val="20"/>
                <w:szCs w:val="20"/>
                <w:color w:val="auto"/>
              </w:rPr>
            </w:pPr>
            <w:r>
              <w:rPr>
                <w:rFonts w:ascii="Arial" w:cs="Arial" w:eastAsia="Arial" w:hAnsi="Arial"/>
                <w:sz w:val="18"/>
                <w:szCs w:val="18"/>
                <w:color w:val="auto"/>
              </w:rPr>
              <w:t>Manufacturing facility</w:t>
            </w:r>
          </w:p>
        </w:tc>
        <w:tc>
          <w:tcPr>
            <w:tcW w:w="1720" w:type="dxa"/>
            <w:vAlign w:val="bottom"/>
            <w:gridSpan w:val="2"/>
          </w:tcPr>
          <w:p>
            <w:pPr>
              <w:jc w:val="center"/>
              <w:ind w:left="30"/>
              <w:spacing w:after="0"/>
              <w:rPr>
                <w:sz w:val="20"/>
                <w:szCs w:val="20"/>
                <w:color w:val="auto"/>
              </w:rPr>
            </w:pPr>
            <w:r>
              <w:rPr>
                <w:rFonts w:ascii="Arial" w:cs="Arial" w:eastAsia="Arial" w:hAnsi="Arial"/>
                <w:sz w:val="18"/>
                <w:szCs w:val="18"/>
                <w:color w:val="auto"/>
                <w:w w:val="87"/>
              </w:rPr>
              <w:t>73,000</w:t>
            </w:r>
          </w:p>
        </w:tc>
        <w:tc>
          <w:tcPr>
            <w:tcW w:w="1440" w:type="dxa"/>
            <w:vAlign w:val="bottom"/>
            <w:gridSpan w:val="2"/>
          </w:tcPr>
          <w:p>
            <w:pPr>
              <w:jc w:val="center"/>
              <w:ind w:left="30"/>
              <w:spacing w:after="0"/>
              <w:rPr>
                <w:sz w:val="20"/>
                <w:szCs w:val="20"/>
                <w:color w:val="auto"/>
              </w:rPr>
            </w:pPr>
            <w:r>
              <w:rPr>
                <w:rFonts w:ascii="Arial" w:cs="Arial" w:eastAsia="Arial" w:hAnsi="Arial"/>
                <w:sz w:val="18"/>
                <w:szCs w:val="18"/>
                <w:color w:val="auto"/>
                <w:w w:val="89"/>
              </w:rPr>
              <w:t>2030</w:t>
            </w:r>
          </w:p>
        </w:tc>
      </w:tr>
      <w:tr>
        <w:trPr>
          <w:trHeight w:val="216"/>
        </w:trPr>
        <w:tc>
          <w:tcPr>
            <w:tcW w:w="2580" w:type="dxa"/>
            <w:vAlign w:val="bottom"/>
            <w:shd w:val="clear" w:color="auto" w:fill="CCEEFF"/>
          </w:tcPr>
          <w:p>
            <w:pPr>
              <w:spacing w:after="0"/>
              <w:rPr>
                <w:sz w:val="20"/>
                <w:szCs w:val="20"/>
                <w:color w:val="auto"/>
              </w:rPr>
            </w:pPr>
            <w:r>
              <w:rPr>
                <w:rFonts w:ascii="Arial" w:cs="Arial" w:eastAsia="Arial" w:hAnsi="Arial"/>
                <w:sz w:val="18"/>
                <w:szCs w:val="18"/>
                <w:color w:val="auto"/>
              </w:rPr>
              <w:t>Reutlingen, Germany</w:t>
            </w:r>
          </w:p>
        </w:tc>
        <w:tc>
          <w:tcPr>
            <w:tcW w:w="3800" w:type="dxa"/>
            <w:vAlign w:val="bottom"/>
            <w:gridSpan w:val="2"/>
            <w:shd w:val="clear" w:color="auto" w:fill="CCEEFF"/>
          </w:tcPr>
          <w:p>
            <w:pPr>
              <w:ind w:left="120"/>
              <w:spacing w:after="0"/>
              <w:rPr>
                <w:sz w:val="20"/>
                <w:szCs w:val="20"/>
                <w:color w:val="auto"/>
              </w:rPr>
            </w:pPr>
            <w:r>
              <w:rPr>
                <w:rFonts w:ascii="Arial" w:cs="Arial" w:eastAsia="Arial" w:hAnsi="Arial"/>
                <w:sz w:val="18"/>
                <w:szCs w:val="18"/>
                <w:color w:val="auto"/>
              </w:rPr>
              <w:t>Manufacturing facility</w:t>
            </w:r>
          </w:p>
        </w:tc>
        <w:tc>
          <w:tcPr>
            <w:tcW w:w="1720" w:type="dxa"/>
            <w:vAlign w:val="bottom"/>
            <w:gridSpan w:val="2"/>
            <w:shd w:val="clear" w:color="auto" w:fill="CCEEFF"/>
          </w:tcPr>
          <w:p>
            <w:pPr>
              <w:jc w:val="center"/>
              <w:ind w:left="30"/>
              <w:spacing w:after="0"/>
              <w:rPr>
                <w:sz w:val="20"/>
                <w:szCs w:val="20"/>
                <w:color w:val="auto"/>
              </w:rPr>
            </w:pPr>
            <w:r>
              <w:rPr>
                <w:rFonts w:ascii="Arial" w:cs="Arial" w:eastAsia="Arial" w:hAnsi="Arial"/>
                <w:sz w:val="18"/>
                <w:szCs w:val="18"/>
                <w:color w:val="auto"/>
                <w:w w:val="87"/>
              </w:rPr>
              <w:t>23,000</w:t>
            </w:r>
          </w:p>
        </w:tc>
        <w:tc>
          <w:tcPr>
            <w:tcW w:w="1440" w:type="dxa"/>
            <w:vAlign w:val="bottom"/>
            <w:gridSpan w:val="2"/>
            <w:shd w:val="clear" w:color="auto" w:fill="CCEEFF"/>
          </w:tcPr>
          <w:p>
            <w:pPr>
              <w:jc w:val="center"/>
              <w:ind w:left="30"/>
              <w:spacing w:after="0"/>
              <w:rPr>
                <w:sz w:val="20"/>
                <w:szCs w:val="20"/>
                <w:color w:val="auto"/>
              </w:rPr>
            </w:pPr>
            <w:r>
              <w:rPr>
                <w:rFonts w:ascii="Arial" w:cs="Arial" w:eastAsia="Arial" w:hAnsi="Arial"/>
                <w:sz w:val="18"/>
                <w:szCs w:val="18"/>
                <w:color w:val="auto"/>
                <w:w w:val="89"/>
              </w:rPr>
              <w:t>2024</w:t>
            </w:r>
          </w:p>
        </w:tc>
      </w:tr>
      <w:tr>
        <w:trPr>
          <w:trHeight w:val="216"/>
        </w:trPr>
        <w:tc>
          <w:tcPr>
            <w:tcW w:w="2580" w:type="dxa"/>
            <w:vAlign w:val="bottom"/>
          </w:tcPr>
          <w:p>
            <w:pPr>
              <w:spacing w:after="0"/>
              <w:rPr>
                <w:sz w:val="20"/>
                <w:szCs w:val="20"/>
                <w:color w:val="auto"/>
              </w:rPr>
            </w:pPr>
            <w:r>
              <w:rPr>
                <w:rFonts w:ascii="Arial" w:cs="Arial" w:eastAsia="Arial" w:hAnsi="Arial"/>
                <w:sz w:val="18"/>
                <w:szCs w:val="18"/>
                <w:color w:val="auto"/>
              </w:rPr>
              <w:t>Barcelona, Spain</w:t>
            </w:r>
          </w:p>
        </w:tc>
        <w:tc>
          <w:tcPr>
            <w:tcW w:w="3800" w:type="dxa"/>
            <w:vAlign w:val="bottom"/>
            <w:gridSpan w:val="2"/>
          </w:tcPr>
          <w:p>
            <w:pPr>
              <w:ind w:left="120"/>
              <w:spacing w:after="0"/>
              <w:rPr>
                <w:sz w:val="20"/>
                <w:szCs w:val="20"/>
                <w:color w:val="auto"/>
              </w:rPr>
            </w:pPr>
            <w:r>
              <w:rPr>
                <w:rFonts w:ascii="Arial" w:cs="Arial" w:eastAsia="Arial" w:hAnsi="Arial"/>
                <w:sz w:val="18"/>
                <w:szCs w:val="18"/>
                <w:color w:val="auto"/>
              </w:rPr>
              <w:t>Manufacturing facility</w:t>
            </w:r>
          </w:p>
        </w:tc>
        <w:tc>
          <w:tcPr>
            <w:tcW w:w="1720" w:type="dxa"/>
            <w:vAlign w:val="bottom"/>
            <w:gridSpan w:val="2"/>
          </w:tcPr>
          <w:p>
            <w:pPr>
              <w:jc w:val="center"/>
              <w:ind w:left="30"/>
              <w:spacing w:after="0"/>
              <w:rPr>
                <w:sz w:val="20"/>
                <w:szCs w:val="20"/>
                <w:color w:val="auto"/>
              </w:rPr>
            </w:pPr>
            <w:r>
              <w:rPr>
                <w:rFonts w:ascii="Arial" w:cs="Arial" w:eastAsia="Arial" w:hAnsi="Arial"/>
                <w:sz w:val="18"/>
                <w:szCs w:val="18"/>
                <w:color w:val="auto"/>
                <w:w w:val="87"/>
              </w:rPr>
              <w:t>16,000</w:t>
            </w:r>
          </w:p>
        </w:tc>
        <w:tc>
          <w:tcPr>
            <w:tcW w:w="1440" w:type="dxa"/>
            <w:vAlign w:val="bottom"/>
            <w:gridSpan w:val="2"/>
          </w:tcPr>
          <w:p>
            <w:pPr>
              <w:jc w:val="center"/>
              <w:ind w:left="10"/>
              <w:spacing w:after="0"/>
              <w:rPr>
                <w:sz w:val="20"/>
                <w:szCs w:val="20"/>
                <w:color w:val="auto"/>
              </w:rPr>
            </w:pPr>
            <w:r>
              <w:rPr>
                <w:rFonts w:ascii="Arial" w:cs="Arial" w:eastAsia="Arial" w:hAnsi="Arial"/>
                <w:sz w:val="18"/>
                <w:szCs w:val="18"/>
                <w:color w:val="auto"/>
                <w:w w:val="90"/>
              </w:rPr>
              <w:t>2022-2023</w:t>
            </w:r>
          </w:p>
        </w:tc>
      </w:tr>
      <w:tr>
        <w:trPr>
          <w:trHeight w:val="216"/>
        </w:trPr>
        <w:tc>
          <w:tcPr>
            <w:tcW w:w="2580" w:type="dxa"/>
            <w:vAlign w:val="bottom"/>
            <w:shd w:val="clear" w:color="auto" w:fill="CCEEFF"/>
          </w:tcPr>
          <w:p>
            <w:pPr>
              <w:spacing w:after="0"/>
              <w:rPr>
                <w:sz w:val="20"/>
                <w:szCs w:val="20"/>
                <w:color w:val="auto"/>
              </w:rPr>
            </w:pPr>
            <w:r>
              <w:rPr>
                <w:rFonts w:ascii="Arial" w:cs="Arial" w:eastAsia="Arial" w:hAnsi="Arial"/>
                <w:sz w:val="18"/>
                <w:szCs w:val="18"/>
                <w:color w:val="auto"/>
              </w:rPr>
              <w:t>March-Hugstetten, Germany</w:t>
            </w:r>
          </w:p>
        </w:tc>
        <w:tc>
          <w:tcPr>
            <w:tcW w:w="3800" w:type="dxa"/>
            <w:vAlign w:val="bottom"/>
            <w:gridSpan w:val="2"/>
            <w:shd w:val="clear" w:color="auto" w:fill="CCEEFF"/>
          </w:tcPr>
          <w:p>
            <w:pPr>
              <w:ind w:left="120"/>
              <w:spacing w:after="0"/>
              <w:rPr>
                <w:sz w:val="20"/>
                <w:szCs w:val="20"/>
                <w:color w:val="auto"/>
              </w:rPr>
            </w:pPr>
            <w:r>
              <w:rPr>
                <w:rFonts w:ascii="Arial" w:cs="Arial" w:eastAsia="Arial" w:hAnsi="Arial"/>
                <w:sz w:val="18"/>
                <w:szCs w:val="18"/>
                <w:color w:val="auto"/>
              </w:rPr>
              <w:t>Manufacturing facility</w:t>
            </w:r>
          </w:p>
        </w:tc>
        <w:tc>
          <w:tcPr>
            <w:tcW w:w="1720" w:type="dxa"/>
            <w:vAlign w:val="bottom"/>
            <w:gridSpan w:val="2"/>
            <w:shd w:val="clear" w:color="auto" w:fill="CCEEFF"/>
          </w:tcPr>
          <w:p>
            <w:pPr>
              <w:jc w:val="center"/>
              <w:ind w:left="30"/>
              <w:spacing w:after="0"/>
              <w:rPr>
                <w:sz w:val="20"/>
                <w:szCs w:val="20"/>
                <w:color w:val="auto"/>
              </w:rPr>
            </w:pPr>
            <w:r>
              <w:rPr>
                <w:rFonts w:ascii="Arial" w:cs="Arial" w:eastAsia="Arial" w:hAnsi="Arial"/>
                <w:sz w:val="18"/>
                <w:szCs w:val="18"/>
                <w:color w:val="auto"/>
                <w:w w:val="87"/>
              </w:rPr>
              <w:t>11,000</w:t>
            </w:r>
          </w:p>
        </w:tc>
        <w:tc>
          <w:tcPr>
            <w:tcW w:w="1440" w:type="dxa"/>
            <w:vAlign w:val="bottom"/>
            <w:gridSpan w:val="2"/>
            <w:shd w:val="clear" w:color="auto" w:fill="CCEEFF"/>
          </w:tcPr>
          <w:p>
            <w:pPr>
              <w:jc w:val="center"/>
              <w:ind w:left="30"/>
              <w:spacing w:after="0"/>
              <w:rPr>
                <w:sz w:val="20"/>
                <w:szCs w:val="20"/>
                <w:color w:val="auto"/>
              </w:rPr>
            </w:pPr>
            <w:r>
              <w:rPr>
                <w:rFonts w:ascii="Arial" w:cs="Arial" w:eastAsia="Arial" w:hAnsi="Arial"/>
                <w:sz w:val="18"/>
                <w:szCs w:val="18"/>
                <w:color w:val="auto"/>
                <w:w w:val="89"/>
              </w:rPr>
              <w:t>2024</w:t>
            </w:r>
          </w:p>
        </w:tc>
      </w:tr>
    </w:tbl>
    <w:p>
      <w:pPr>
        <w:spacing w:after="0" w:line="202"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We also lease additional facilities in Cambridge, England; Kista, Sweden; Shanghai, China; St. Augustin, Germany; and Montreal, Canada. We believe our current facilities are adequate for our needs for the foreseeable future.</w:t>
      </w:r>
    </w:p>
    <w:p>
      <w:pPr>
        <w:spacing w:after="0" w:line="166" w:lineRule="exact"/>
        <w:rPr>
          <w:sz w:val="20"/>
          <w:szCs w:val="20"/>
          <w:color w:val="auto"/>
        </w:rPr>
      </w:pPr>
    </w:p>
    <w:p>
      <w:pPr>
        <w:spacing w:after="0"/>
        <w:tabs>
          <w:tab w:leader="none" w:pos="960" w:val="left"/>
        </w:tabs>
        <w:rPr>
          <w:sz w:val="20"/>
          <w:szCs w:val="20"/>
          <w:color w:val="auto"/>
        </w:rPr>
      </w:pPr>
      <w:r>
        <w:rPr>
          <w:rFonts w:ascii="Arial" w:cs="Arial" w:eastAsia="Arial" w:hAnsi="Arial"/>
          <w:sz w:val="18"/>
          <w:szCs w:val="18"/>
          <w:b w:val="1"/>
          <w:bCs w:val="1"/>
          <w:color w:val="auto"/>
        </w:rPr>
        <w:t>Item 3.</w:t>
      </w:r>
      <w:r>
        <w:rPr>
          <w:sz w:val="20"/>
          <w:szCs w:val="20"/>
          <w:color w:val="auto"/>
        </w:rPr>
        <w:tab/>
      </w:r>
      <w:r>
        <w:rPr>
          <w:rFonts w:ascii="Arial" w:cs="Arial" w:eastAsia="Arial" w:hAnsi="Arial"/>
          <w:sz w:val="15"/>
          <w:szCs w:val="15"/>
          <w:b w:val="1"/>
          <w:bCs w:val="1"/>
          <w:i w:val="1"/>
          <w:iCs w:val="1"/>
          <w:color w:val="auto"/>
        </w:rPr>
        <w:t>Legal Proceedings.</w:t>
      </w:r>
    </w:p>
    <w:p>
      <w:pPr>
        <w:spacing w:after="0" w:line="229" w:lineRule="exact"/>
        <w:rPr>
          <w:sz w:val="20"/>
          <w:szCs w:val="20"/>
          <w:color w:val="auto"/>
        </w:rPr>
      </w:pPr>
    </w:p>
    <w:p>
      <w:pPr>
        <w:ind w:left="660"/>
        <w:spacing w:after="0"/>
        <w:rPr>
          <w:sz w:val="20"/>
          <w:szCs w:val="20"/>
          <w:color w:val="auto"/>
        </w:rPr>
      </w:pPr>
      <w:r>
        <w:rPr>
          <w:rFonts w:ascii="Arial" w:cs="Arial" w:eastAsia="Arial" w:hAnsi="Arial"/>
          <w:sz w:val="16"/>
          <w:szCs w:val="16"/>
          <w:color w:val="auto"/>
        </w:rPr>
        <w:t>For information related to legal proceedings, see the discussion in Note 14 to the Consolidated Financial Statements included in “Part IV, Item 15.</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Exhibits, Financial Statement Schedules” of this report, which information is incorporated by reference into this Item 3.</w:t>
      </w:r>
    </w:p>
    <w:p>
      <w:pPr>
        <w:spacing w:after="0" w:line="207" w:lineRule="exact"/>
        <w:rPr>
          <w:sz w:val="20"/>
          <w:szCs w:val="20"/>
          <w:color w:val="auto"/>
        </w:rPr>
      </w:pPr>
    </w:p>
    <w:p>
      <w:pPr>
        <w:spacing w:after="0"/>
        <w:tabs>
          <w:tab w:leader="none" w:pos="960" w:val="left"/>
        </w:tabs>
        <w:rPr>
          <w:sz w:val="20"/>
          <w:szCs w:val="20"/>
          <w:color w:val="auto"/>
        </w:rPr>
      </w:pPr>
      <w:r>
        <w:rPr>
          <w:rFonts w:ascii="Arial" w:cs="Arial" w:eastAsia="Arial" w:hAnsi="Arial"/>
          <w:sz w:val="18"/>
          <w:szCs w:val="18"/>
          <w:b w:val="1"/>
          <w:bCs w:val="1"/>
          <w:color w:val="auto"/>
        </w:rPr>
        <w:t>Item 4.</w:t>
      </w:r>
      <w:r>
        <w:rPr>
          <w:sz w:val="20"/>
          <w:szCs w:val="20"/>
          <w:color w:val="auto"/>
        </w:rPr>
        <w:tab/>
      </w:r>
      <w:r>
        <w:rPr>
          <w:rFonts w:ascii="Arial" w:cs="Arial" w:eastAsia="Arial" w:hAnsi="Arial"/>
          <w:sz w:val="15"/>
          <w:szCs w:val="15"/>
          <w:b w:val="1"/>
          <w:bCs w:val="1"/>
          <w:i w:val="1"/>
          <w:iCs w:val="1"/>
          <w:color w:val="auto"/>
        </w:rPr>
        <w:t>Mine Safety Disclosures</w:t>
      </w:r>
    </w:p>
    <w:p>
      <w:pPr>
        <w:spacing w:after="0" w:line="229" w:lineRule="exact"/>
        <w:rPr>
          <w:sz w:val="20"/>
          <w:szCs w:val="20"/>
          <w:color w:val="auto"/>
        </w:rPr>
      </w:pPr>
    </w:p>
    <w:p>
      <w:pPr>
        <w:ind w:left="660"/>
        <w:spacing w:after="0"/>
        <w:rPr>
          <w:sz w:val="20"/>
          <w:szCs w:val="20"/>
          <w:color w:val="auto"/>
        </w:rPr>
      </w:pPr>
      <w:r>
        <w:rPr>
          <w:rFonts w:ascii="Arial" w:cs="Arial" w:eastAsia="Arial" w:hAnsi="Arial"/>
          <w:sz w:val="18"/>
          <w:szCs w:val="18"/>
          <w:color w:val="auto"/>
        </w:rPr>
        <w:t>Not Applicable.</w:t>
      </w:r>
    </w:p>
    <w:p>
      <w:pPr>
        <w:spacing w:after="0" w:line="221" w:lineRule="exact"/>
        <w:rPr>
          <w:sz w:val="20"/>
          <w:szCs w:val="20"/>
          <w:color w:val="auto"/>
        </w:rPr>
      </w:pPr>
    </w:p>
    <w:p>
      <w:pPr>
        <w:jc w:val="center"/>
        <w:ind w:right="-159"/>
        <w:spacing w:after="0"/>
        <w:rPr>
          <w:sz w:val="20"/>
          <w:szCs w:val="20"/>
          <w:color w:val="auto"/>
        </w:rPr>
      </w:pPr>
      <w:r>
        <w:rPr>
          <w:rFonts w:ascii="Arial" w:cs="Arial" w:eastAsia="Arial" w:hAnsi="Arial"/>
          <w:sz w:val="18"/>
          <w:szCs w:val="18"/>
          <w:b w:val="1"/>
          <w:bCs w:val="1"/>
          <w:color w:val="auto"/>
        </w:rPr>
        <w:t>PART II</w:t>
      </w:r>
    </w:p>
    <w:p>
      <w:pPr>
        <w:spacing w:after="0" w:line="225" w:lineRule="exact"/>
        <w:rPr>
          <w:sz w:val="20"/>
          <w:szCs w:val="20"/>
          <w:color w:val="auto"/>
        </w:rPr>
      </w:pPr>
    </w:p>
    <w:p>
      <w:pPr>
        <w:spacing w:after="0"/>
        <w:tabs>
          <w:tab w:leader="none" w:pos="960" w:val="left"/>
        </w:tabs>
        <w:rPr>
          <w:sz w:val="20"/>
          <w:szCs w:val="20"/>
          <w:color w:val="auto"/>
        </w:rPr>
      </w:pPr>
      <w:r>
        <w:rPr>
          <w:rFonts w:ascii="Arial" w:cs="Arial" w:eastAsia="Arial" w:hAnsi="Arial"/>
          <w:sz w:val="18"/>
          <w:szCs w:val="18"/>
          <w:b w:val="1"/>
          <w:bCs w:val="1"/>
          <w:color w:val="auto"/>
        </w:rPr>
        <w:t>Item 5.</w:t>
      </w:r>
      <w:r>
        <w:rPr>
          <w:sz w:val="20"/>
          <w:szCs w:val="20"/>
          <w:color w:val="auto"/>
        </w:rPr>
        <w:tab/>
      </w:r>
      <w:r>
        <w:rPr>
          <w:rFonts w:ascii="Arial" w:cs="Arial" w:eastAsia="Arial" w:hAnsi="Arial"/>
          <w:sz w:val="15"/>
          <w:szCs w:val="15"/>
          <w:b w:val="1"/>
          <w:bCs w:val="1"/>
          <w:i w:val="1"/>
          <w:iCs w:val="1"/>
          <w:color w:val="auto"/>
        </w:rPr>
        <w:t>Market for Registrant</w:t>
      </w:r>
      <w:r>
        <w:rPr>
          <w:rFonts w:ascii="Arial" w:cs="Arial" w:eastAsia="Arial" w:hAnsi="Arial"/>
          <w:sz w:val="15"/>
          <w:szCs w:val="15"/>
          <w:color w:val="auto"/>
        </w:rPr>
        <w:t>’</w:t>
      </w:r>
      <w:r>
        <w:rPr>
          <w:rFonts w:ascii="Arial" w:cs="Arial" w:eastAsia="Arial" w:hAnsi="Arial"/>
          <w:sz w:val="15"/>
          <w:szCs w:val="15"/>
          <w:b w:val="1"/>
          <w:bCs w:val="1"/>
          <w:i w:val="1"/>
          <w:iCs w:val="1"/>
          <w:color w:val="auto"/>
        </w:rPr>
        <w:t>s Common Equity, Related Stockholder Matters and Issuer Purchases of Equity Securities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Market Information</w:t>
      </w:r>
    </w:p>
    <w:p>
      <w:pPr>
        <w:spacing w:after="0" w:line="225"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Our common stock has been quoted on the Nasdaq Global Market since our initial public offering on December 7, 2000, and trades under the symbol “HBIO.”</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color w:val="auto"/>
        </w:rPr>
        <w:t>Stockholders</w:t>
      </w:r>
    </w:p>
    <w:p>
      <w:pPr>
        <w:spacing w:after="0" w:line="225" w:lineRule="exact"/>
        <w:rPr>
          <w:sz w:val="20"/>
          <w:szCs w:val="20"/>
          <w:color w:val="auto"/>
        </w:rPr>
      </w:pPr>
    </w:p>
    <w:p>
      <w:pPr>
        <w:jc w:val="both"/>
        <w:ind w:firstLine="648"/>
        <w:spacing w:after="0" w:line="263" w:lineRule="auto"/>
        <w:rPr>
          <w:sz w:val="20"/>
          <w:szCs w:val="20"/>
          <w:color w:val="auto"/>
        </w:rPr>
      </w:pPr>
      <w:r>
        <w:rPr>
          <w:rFonts w:ascii="Arial" w:cs="Arial" w:eastAsia="Arial" w:hAnsi="Arial"/>
          <w:sz w:val="18"/>
          <w:szCs w:val="18"/>
          <w:color w:val="auto"/>
        </w:rPr>
        <w:t>There were 94 holders of record of our common stock as of March 4, 2022. The number of record holders was determined from the records of our transfer agent and does not include beneficial owners of our common stock whose shares are held in the names of various security brokers, dealers, and registered clearing agencies.</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color w:val="auto"/>
        </w:rPr>
        <w:t>Dividend Policy</w:t>
      </w:r>
    </w:p>
    <w:p>
      <w:pPr>
        <w:spacing w:after="0" w:line="225" w:lineRule="exact"/>
        <w:rPr>
          <w:sz w:val="20"/>
          <w:szCs w:val="20"/>
          <w:color w:val="auto"/>
        </w:rPr>
      </w:pPr>
    </w:p>
    <w:p>
      <w:pPr>
        <w:jc w:val="both"/>
        <w:ind w:firstLine="648"/>
        <w:spacing w:after="0" w:line="263" w:lineRule="auto"/>
        <w:rPr>
          <w:sz w:val="20"/>
          <w:szCs w:val="20"/>
          <w:color w:val="auto"/>
        </w:rPr>
      </w:pPr>
      <w:r>
        <w:rPr>
          <w:rFonts w:ascii="Arial" w:cs="Arial" w:eastAsia="Arial" w:hAnsi="Arial"/>
          <w:sz w:val="18"/>
          <w:szCs w:val="18"/>
          <w:color w:val="auto"/>
        </w:rPr>
        <w:t>We have never declared or paid cash dividends on our common stock in the past and do not intend to pay cash dividends on our common stock in the foreseeable future. Any future determination to pay cash dividends will be at the discretion of our Board of Directors and will depend on our financial condition, results of operations, capital requirements and other factors our Board of Directors deems relevant.</w:t>
      </w:r>
    </w:p>
    <w:p>
      <w:pPr>
        <w:spacing w:after="0" w:line="180" w:lineRule="exact"/>
        <w:rPr>
          <w:sz w:val="20"/>
          <w:szCs w:val="20"/>
          <w:color w:val="auto"/>
        </w:rPr>
      </w:pPr>
    </w:p>
    <w:p>
      <w:pPr>
        <w:spacing w:after="0"/>
        <w:tabs>
          <w:tab w:leader="none" w:pos="960" w:val="left"/>
        </w:tabs>
        <w:rPr>
          <w:sz w:val="20"/>
          <w:szCs w:val="20"/>
          <w:color w:val="auto"/>
        </w:rPr>
      </w:pPr>
      <w:r>
        <w:rPr>
          <w:rFonts w:ascii="Arial" w:cs="Arial" w:eastAsia="Arial" w:hAnsi="Arial"/>
          <w:sz w:val="18"/>
          <w:szCs w:val="18"/>
          <w:b w:val="1"/>
          <w:bCs w:val="1"/>
          <w:color w:val="auto"/>
        </w:rPr>
        <w:t>Item 6</w:t>
      </w:r>
      <w:r>
        <w:rPr>
          <w:rFonts w:ascii="Arial" w:cs="Arial" w:eastAsia="Arial" w:hAnsi="Arial"/>
          <w:sz w:val="18"/>
          <w:szCs w:val="18"/>
          <w:b w:val="1"/>
          <w:bCs w:val="1"/>
          <w:i w:val="1"/>
          <w:iCs w:val="1"/>
          <w:color w:val="auto"/>
        </w:rPr>
        <w:t>.</w:t>
      </w:r>
      <w:r>
        <w:rPr>
          <w:sz w:val="20"/>
          <w:szCs w:val="20"/>
          <w:color w:val="auto"/>
        </w:rPr>
        <w:tab/>
      </w:r>
      <w:r>
        <w:rPr>
          <w:rFonts w:ascii="Arial" w:cs="Arial" w:eastAsia="Arial" w:hAnsi="Arial"/>
          <w:sz w:val="15"/>
          <w:szCs w:val="15"/>
          <w:b w:val="1"/>
          <w:bCs w:val="1"/>
          <w:i w:val="1"/>
          <w:iCs w:val="1"/>
          <w:color w:val="auto"/>
        </w:rPr>
        <w:t>[Reserved]</w:t>
      </w:r>
    </w:p>
    <w:p>
      <w:pPr>
        <w:spacing w:after="0" w:line="200" w:lineRule="exact"/>
        <w:rPr>
          <w:sz w:val="20"/>
          <w:szCs w:val="20"/>
          <w:color w:val="auto"/>
        </w:rPr>
      </w:pPr>
    </w:p>
    <w:p>
      <w:pPr>
        <w:spacing w:after="0" w:line="24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19" w:name="page20"/>
    <w:bookmarkEnd w:id="19"/>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21" w:lineRule="exact"/>
        <w:rPr>
          <w:sz w:val="20"/>
          <w:szCs w:val="20"/>
          <w:color w:val="auto"/>
        </w:rPr>
      </w:pPr>
    </w:p>
    <w:p>
      <w:pPr>
        <w:spacing w:after="0"/>
        <w:tabs>
          <w:tab w:leader="none" w:pos="960" w:val="left"/>
        </w:tabs>
        <w:rPr>
          <w:sz w:val="20"/>
          <w:szCs w:val="20"/>
          <w:color w:val="auto"/>
        </w:rPr>
      </w:pPr>
      <w:r>
        <w:rPr>
          <w:rFonts w:ascii="Arial" w:cs="Arial" w:eastAsia="Arial" w:hAnsi="Arial"/>
          <w:sz w:val="18"/>
          <w:szCs w:val="18"/>
          <w:b w:val="1"/>
          <w:bCs w:val="1"/>
          <w:color w:val="auto"/>
        </w:rPr>
        <w:t>Item 7.</w:t>
      </w:r>
      <w:r>
        <w:rPr>
          <w:sz w:val="20"/>
          <w:szCs w:val="20"/>
          <w:color w:val="auto"/>
        </w:rPr>
        <w:tab/>
      </w:r>
      <w:r>
        <w:rPr>
          <w:rFonts w:ascii="Arial" w:cs="Arial" w:eastAsia="Arial" w:hAnsi="Arial"/>
          <w:sz w:val="15"/>
          <w:szCs w:val="15"/>
          <w:b w:val="1"/>
          <w:bCs w:val="1"/>
          <w:i w:val="1"/>
          <w:iCs w:val="1"/>
          <w:color w:val="auto"/>
        </w:rPr>
        <w:t>Management</w:t>
      </w:r>
      <w:r>
        <w:rPr>
          <w:rFonts w:ascii="Arial" w:cs="Arial" w:eastAsia="Arial" w:hAnsi="Arial"/>
          <w:sz w:val="15"/>
          <w:szCs w:val="15"/>
          <w:color w:val="auto"/>
        </w:rPr>
        <w:t>’</w:t>
      </w:r>
      <w:r>
        <w:rPr>
          <w:rFonts w:ascii="Arial" w:cs="Arial" w:eastAsia="Arial" w:hAnsi="Arial"/>
          <w:sz w:val="15"/>
          <w:szCs w:val="15"/>
          <w:b w:val="1"/>
          <w:bCs w:val="1"/>
          <w:i w:val="1"/>
          <w:iCs w:val="1"/>
          <w:color w:val="auto"/>
        </w:rPr>
        <w:t>s Discussion and Analysis of Financial Condition and Results of Operations.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Forward-Looking Statements</w:t>
      </w:r>
    </w:p>
    <w:p>
      <w:pPr>
        <w:spacing w:after="0" w:line="225" w:lineRule="exact"/>
        <w:rPr>
          <w:sz w:val="20"/>
          <w:szCs w:val="20"/>
          <w:color w:val="auto"/>
        </w:rPr>
      </w:pPr>
    </w:p>
    <w:p>
      <w:pPr>
        <w:jc w:val="both"/>
        <w:ind w:firstLine="648"/>
        <w:spacing w:after="0" w:line="272" w:lineRule="auto"/>
        <w:rPr>
          <w:sz w:val="20"/>
          <w:szCs w:val="20"/>
          <w:color w:val="auto"/>
        </w:rPr>
      </w:pPr>
      <w:r>
        <w:rPr>
          <w:rFonts w:ascii="Arial" w:cs="Arial" w:eastAsia="Arial" w:hAnsi="Arial"/>
          <w:sz w:val="17"/>
          <w:szCs w:val="17"/>
          <w:color w:val="auto"/>
        </w:rPr>
        <w:t>The following section of this Annual Report on Form 10-K contains statements that are not statements of historical fact and are forward-looking statements within the meaning of federal securities laws. These statements involve known and unknown risks, uncertainties and other factors that may cause our actual results, performance or achievements to be materially different from any future results, performance or achievements expressed or implied by the forward-looking statements. These statements reflect our current views with respect to future events and are based on assumptions and subject to risks and uncertainties. Factors that may cause our actual results to differ materially from those in the forward-looking statements include those factors described in “Item 1A. Risk Factors” in this Annual Report on Form 10-K. You should carefully review all of these factors, as well as the comprehensive discussion of forward-looking statements on page 1 of this Annual Report on Form 10-K.</w:t>
      </w:r>
    </w:p>
    <w:p>
      <w:pPr>
        <w:spacing w:after="0" w:line="173" w:lineRule="exact"/>
        <w:rPr>
          <w:sz w:val="20"/>
          <w:szCs w:val="20"/>
          <w:color w:val="auto"/>
        </w:rPr>
      </w:pPr>
    </w:p>
    <w:p>
      <w:pPr>
        <w:ind w:left="660"/>
        <w:spacing w:after="0"/>
        <w:rPr>
          <w:sz w:val="20"/>
          <w:szCs w:val="20"/>
          <w:color w:val="auto"/>
        </w:rPr>
      </w:pPr>
      <w:r>
        <w:rPr>
          <w:rFonts w:ascii="Arial" w:cs="Arial" w:eastAsia="Arial" w:hAnsi="Arial"/>
          <w:sz w:val="18"/>
          <w:szCs w:val="18"/>
          <w:b w:val="1"/>
          <w:bCs w:val="1"/>
          <w:color w:val="auto"/>
        </w:rPr>
        <w:t>Overview</w:t>
      </w:r>
    </w:p>
    <w:p>
      <w:pPr>
        <w:spacing w:after="0" w:line="229"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Harvard Bioscience is a leading developer, manufacturer and seller of technologies, products and services that enable fundamental research, discovery, and preclinical testing for drug development. Our customers range from renowned academic institutions and government laboratories to the world’s leading pharmaceutical, biotechnology and contract research organizations. With operations in North America, Europe, and China, we sell through a combination of direct and distribution channels to customers around the world.</w:t>
      </w:r>
    </w:p>
    <w:p>
      <w:pPr>
        <w:spacing w:after="0" w:line="183" w:lineRule="exact"/>
        <w:rPr>
          <w:sz w:val="20"/>
          <w:szCs w:val="20"/>
          <w:color w:val="auto"/>
        </w:rPr>
      </w:pPr>
    </w:p>
    <w:p>
      <w:pPr>
        <w:ind w:left="660"/>
        <w:spacing w:after="0"/>
        <w:rPr>
          <w:sz w:val="20"/>
          <w:szCs w:val="20"/>
          <w:color w:val="auto"/>
        </w:rPr>
      </w:pPr>
      <w:r>
        <w:rPr>
          <w:rFonts w:ascii="Arial" w:cs="Arial" w:eastAsia="Arial" w:hAnsi="Arial"/>
          <w:sz w:val="18"/>
          <w:szCs w:val="18"/>
          <w:b w:val="1"/>
          <w:bCs w:val="1"/>
          <w:color w:val="auto"/>
        </w:rPr>
        <w:t>Recent Developments</w:t>
      </w:r>
    </w:p>
    <w:p>
      <w:pPr>
        <w:spacing w:after="0" w:line="229" w:lineRule="exact"/>
        <w:rPr>
          <w:sz w:val="20"/>
          <w:szCs w:val="20"/>
          <w:color w:val="auto"/>
        </w:rPr>
      </w:pPr>
    </w:p>
    <w:p>
      <w:pPr>
        <w:ind w:left="660"/>
        <w:spacing w:after="0"/>
        <w:rPr>
          <w:sz w:val="20"/>
          <w:szCs w:val="20"/>
          <w:color w:val="auto"/>
        </w:rPr>
      </w:pPr>
      <w:r>
        <w:rPr>
          <w:rFonts w:ascii="Arial" w:cs="Arial" w:eastAsia="Arial" w:hAnsi="Arial"/>
          <w:sz w:val="18"/>
          <w:szCs w:val="18"/>
          <w:b w:val="1"/>
          <w:bCs w:val="1"/>
          <w:i w:val="1"/>
          <w:iCs w:val="1"/>
          <w:color w:val="auto"/>
        </w:rPr>
        <w:t>COVID-19</w:t>
      </w:r>
    </w:p>
    <w:p>
      <w:pPr>
        <w:spacing w:after="0" w:line="225" w:lineRule="exact"/>
        <w:rPr>
          <w:sz w:val="20"/>
          <w:szCs w:val="20"/>
          <w:color w:val="auto"/>
        </w:rPr>
      </w:pPr>
    </w:p>
    <w:p>
      <w:pPr>
        <w:jc w:val="both"/>
        <w:ind w:firstLine="648"/>
        <w:spacing w:after="0" w:line="269" w:lineRule="auto"/>
        <w:rPr>
          <w:sz w:val="20"/>
          <w:szCs w:val="20"/>
          <w:color w:val="auto"/>
        </w:rPr>
      </w:pPr>
      <w:r>
        <w:rPr>
          <w:rFonts w:ascii="Arial" w:cs="Arial" w:eastAsia="Arial" w:hAnsi="Arial"/>
          <w:sz w:val="17"/>
          <w:szCs w:val="17"/>
          <w:color w:val="auto"/>
        </w:rPr>
        <w:t>The COVID-19 pandemic has had a negative impact on our operations since its onset in March 2020. While the Company has improved revenues and operations during 2021, a higher degree of volatility and uncertainty in the global economy has been observed during this period, and with it uncertainty around economic impacts. Since the global outbreak of COVID-19, many customers, particularly academic research institutions, have reduced laboratory work which has negatively impacted, and will continue to negatively impact, our sales. While many of our customers, including academic labs, have reopened, a significant number of them remained closed or at significantly lower capacity levels during 2021. Additionally, to ensure business continuity while maintaining a safe environment for employees aligned with guidance from government and health organizations, we transitioned a significant portion of our workforce to work-from-home while implementing social distancing requirements and other measures to allow manufacturing and other personnel essential to production to continue work within our facilities. Business travel was significantly reduced during this period. While a portion of the workforce has returned to in-office work and travel is less restricted, we continue to have restrictions which represent disruptions which can impact productivity including sales and marketing activities.</w:t>
      </w:r>
    </w:p>
    <w:p>
      <w:pPr>
        <w:spacing w:after="0" w:line="185" w:lineRule="exact"/>
        <w:rPr>
          <w:sz w:val="20"/>
          <w:szCs w:val="20"/>
          <w:color w:val="auto"/>
        </w:rPr>
      </w:pPr>
    </w:p>
    <w:p>
      <w:pPr>
        <w:jc w:val="both"/>
        <w:ind w:firstLine="648"/>
        <w:spacing w:after="0" w:line="279" w:lineRule="auto"/>
        <w:rPr>
          <w:sz w:val="20"/>
          <w:szCs w:val="20"/>
          <w:color w:val="auto"/>
        </w:rPr>
      </w:pPr>
      <w:r>
        <w:rPr>
          <w:rFonts w:ascii="Arial" w:cs="Arial" w:eastAsia="Arial" w:hAnsi="Arial"/>
          <w:sz w:val="17"/>
          <w:szCs w:val="17"/>
          <w:color w:val="auto"/>
        </w:rPr>
        <w:t>The global supply chain experienced significant disruptions during 2021 due to electronic component and labor shortages and other macroeconomic factors, which have emerged since the onset of the COVID-19 pandemic, leading to increased cost of freight, purchased materials and manufacturing labor costs, while also delaying customer shipments. We believe these supply chain trends will continue through 2022. These conditions in addition to the overall impact on the global economy have negatively impacted our results of operations and cash flows.</w:t>
      </w:r>
    </w:p>
    <w:p>
      <w:pPr>
        <w:spacing w:after="0" w:line="171" w:lineRule="exact"/>
        <w:rPr>
          <w:sz w:val="20"/>
          <w:szCs w:val="20"/>
          <w:color w:val="auto"/>
        </w:rPr>
      </w:pPr>
    </w:p>
    <w:p>
      <w:pPr>
        <w:jc w:val="both"/>
        <w:ind w:firstLine="648"/>
        <w:spacing w:after="0" w:line="311" w:lineRule="auto"/>
        <w:rPr>
          <w:sz w:val="20"/>
          <w:szCs w:val="20"/>
          <w:color w:val="auto"/>
        </w:rPr>
      </w:pPr>
      <w:r>
        <w:rPr>
          <w:rFonts w:ascii="Arial" w:cs="Arial" w:eastAsia="Arial" w:hAnsi="Arial"/>
          <w:sz w:val="16"/>
          <w:szCs w:val="16"/>
          <w:color w:val="auto"/>
        </w:rPr>
        <w:t>Revenues for the years ending December 31, 2021 and 2020, were negatively impacted due to the conditions noted. If business interruptions resulting from COVID-19 were to be more prolonged or expanded in scope, our business, financial condition, results of operations and cash flows would be further negatively impacted. We will continue to actively monitor this situation and will implement actions necessary to maintain business continuity.</w:t>
      </w:r>
    </w:p>
    <w:p>
      <w:pPr>
        <w:spacing w:after="0" w:line="149"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See Part I, Item 1. “Business–Our History and Strategy” of this report for a discussion of recent significant acquisitions, divestitures and other developments.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20" w:name="page21"/>
    <w:bookmarkEnd w:id="20"/>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ind w:left="660"/>
        <w:spacing w:after="0"/>
        <w:rPr>
          <w:sz w:val="20"/>
          <w:szCs w:val="20"/>
          <w:color w:val="auto"/>
        </w:rPr>
      </w:pPr>
      <w:r>
        <w:rPr>
          <w:rFonts w:ascii="Arial" w:cs="Arial" w:eastAsia="Arial" w:hAnsi="Arial"/>
          <w:sz w:val="18"/>
          <w:szCs w:val="18"/>
          <w:b w:val="1"/>
          <w:bCs w:val="1"/>
          <w:i w:val="1"/>
          <w:iCs w:val="1"/>
          <w:color w:val="auto"/>
        </w:rPr>
        <w:t>July 2019 Restructuring Plan</w:t>
      </w:r>
    </w:p>
    <w:p>
      <w:pPr>
        <w:spacing w:after="0" w:line="225" w:lineRule="exact"/>
        <w:rPr>
          <w:sz w:val="20"/>
          <w:szCs w:val="20"/>
          <w:color w:val="auto"/>
        </w:rPr>
      </w:pPr>
    </w:p>
    <w:p>
      <w:pPr>
        <w:jc w:val="both"/>
        <w:ind w:firstLine="648"/>
        <w:spacing w:after="0" w:line="275" w:lineRule="auto"/>
        <w:rPr>
          <w:sz w:val="20"/>
          <w:szCs w:val="20"/>
          <w:color w:val="auto"/>
        </w:rPr>
      </w:pPr>
      <w:r>
        <w:rPr>
          <w:rFonts w:ascii="Arial" w:cs="Arial" w:eastAsia="Arial" w:hAnsi="Arial"/>
          <w:sz w:val="17"/>
          <w:szCs w:val="17"/>
          <w:color w:val="auto"/>
        </w:rPr>
        <w:t>In December 2019, we implemented the July 2019 Restructuring Plan (the “Restructuring Plan”) to deliver significant cost savings beginning in 2020 and to support delivery of the strategic action plan we announced in September 2019. The Restructuring Plan included consolidation of our Connecticut manufacturing plant with our existing Massachusetts site, downsizing of operations in the United Kingdom and a reduction in force across the business equal to approximately 10% of our headcount. The Restructuring Plan is expected to deliver annualized run-rate savings of $4.0 million to $5.0 million. The original initiatives under the Restructuring Plan were completed in the second half of 2020.</w:t>
      </w:r>
    </w:p>
    <w:p>
      <w:pPr>
        <w:spacing w:after="0" w:line="176"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We continued to execute the Restructuring Plan during the COVID-19 pandemic and expanded the scope of the restructuring by realigning our organizational structure to reduce management layers and accelerated our efforts to move to a leaner organization and operation. As a result of this expanded scope, we eliminated additional headcount during 2020, and in the first quarter of 2021, communicated to employees our plan to consolidate certain engineering operations and eliminate two small facilities in Europe.</w:t>
      </w:r>
    </w:p>
    <w:p>
      <w:pPr>
        <w:spacing w:after="0" w:line="187" w:lineRule="exact"/>
        <w:rPr>
          <w:sz w:val="20"/>
          <w:szCs w:val="20"/>
          <w:color w:val="auto"/>
        </w:rPr>
      </w:pPr>
    </w:p>
    <w:p>
      <w:pPr>
        <w:jc w:val="both"/>
        <w:ind w:firstLine="648"/>
        <w:spacing w:after="0" w:line="301" w:lineRule="auto"/>
        <w:rPr>
          <w:sz w:val="20"/>
          <w:szCs w:val="20"/>
          <w:color w:val="auto"/>
        </w:rPr>
      </w:pPr>
      <w:r>
        <w:rPr>
          <w:rFonts w:ascii="Arial" w:cs="Arial" w:eastAsia="Arial" w:hAnsi="Arial"/>
          <w:sz w:val="16"/>
          <w:szCs w:val="16"/>
          <w:color w:val="auto"/>
        </w:rPr>
        <w:t>We incurred cash outlays of $9.0 million as a result of the actions taken under the Restructuring Plan and incremental cost reduction actions taken and other business improvements. The Restructuring Plan generated significant cost savings while removing waste and inefficiency and improving our overall skillset in our workforce. A portion of these savings have been reinvested in sales, marketing and other areas to support profitable growth, as well as additional labor costs added in 2021 to address the global supply chain and other macroeconomic impacts discussed throughout this MD&amp;A.</w:t>
      </w:r>
    </w:p>
    <w:p>
      <w:pPr>
        <w:spacing w:after="0" w:line="15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Selected Results of Operations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Year ended December 31, 2021 compared to year ended December 31, 2020</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In the table below, we provide an overview of selected operating metrics.</w:t>
      </w:r>
    </w:p>
    <w:p>
      <w:pPr>
        <w:spacing w:after="0" w:line="221"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660" w:type="dxa"/>
            <w:vAlign w:val="bottom"/>
          </w:tcPr>
          <w:p>
            <w:pPr>
              <w:spacing w:after="0"/>
              <w:rPr>
                <w:sz w:val="20"/>
                <w:szCs w:val="20"/>
                <w:color w:val="auto"/>
              </w:rPr>
            </w:pPr>
          </w:p>
        </w:tc>
        <w:tc>
          <w:tcPr>
            <w:tcW w:w="362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1120" w:type="dxa"/>
            <w:vAlign w:val="bottom"/>
            <w:tcBorders>
              <w:bottom w:val="single" w:sz="8" w:color="auto"/>
            </w:tcBorders>
          </w:tcPr>
          <w:p>
            <w:pPr>
              <w:spacing w:after="0"/>
              <w:rPr>
                <w:sz w:val="20"/>
                <w:szCs w:val="20"/>
                <w:color w:val="auto"/>
              </w:rPr>
            </w:pPr>
          </w:p>
        </w:tc>
        <w:tc>
          <w:tcPr>
            <w:tcW w:w="2840" w:type="dxa"/>
            <w:vAlign w:val="bottom"/>
            <w:tcBorders>
              <w:bottom w:val="single" w:sz="8" w:color="auto"/>
            </w:tcBorders>
            <w:gridSpan w:val="4"/>
          </w:tcPr>
          <w:p>
            <w:pPr>
              <w:jc w:val="right"/>
              <w:ind w:right="370"/>
              <w:spacing w:after="0"/>
              <w:rPr>
                <w:sz w:val="20"/>
                <w:szCs w:val="20"/>
                <w:color w:val="auto"/>
              </w:rPr>
            </w:pPr>
            <w:r>
              <w:rPr>
                <w:rFonts w:ascii="Arial" w:cs="Arial" w:eastAsia="Arial" w:hAnsi="Arial"/>
                <w:sz w:val="18"/>
                <w:szCs w:val="18"/>
                <w:b w:val="1"/>
                <w:bCs w:val="1"/>
                <w:color w:val="auto"/>
              </w:rPr>
              <w:t>Year Ended December 31,</w:t>
            </w:r>
          </w:p>
        </w:tc>
        <w:tc>
          <w:tcPr>
            <w:tcW w:w="1420" w:type="dxa"/>
            <w:vAlign w:val="bottom"/>
            <w:tcBorders>
              <w:bottom w:val="single" w:sz="8" w:color="auto"/>
            </w:tcBorders>
          </w:tcPr>
          <w:p>
            <w:pPr>
              <w:spacing w:after="0"/>
              <w:rPr>
                <w:sz w:val="20"/>
                <w:szCs w:val="20"/>
                <w:color w:val="auto"/>
              </w:rPr>
            </w:pPr>
          </w:p>
        </w:tc>
        <w:tc>
          <w:tcPr>
            <w:tcW w:w="480" w:type="dxa"/>
            <w:vAlign w:val="bottom"/>
          </w:tcPr>
          <w:p>
            <w:pPr>
              <w:spacing w:after="0"/>
              <w:rPr>
                <w:sz w:val="20"/>
                <w:szCs w:val="20"/>
                <w:color w:val="auto"/>
              </w:rPr>
            </w:pPr>
          </w:p>
        </w:tc>
      </w:tr>
      <w:tr>
        <w:trPr>
          <w:trHeight w:val="209"/>
        </w:trPr>
        <w:tc>
          <w:tcPr>
            <w:tcW w:w="660" w:type="dxa"/>
            <w:vAlign w:val="bottom"/>
          </w:tcPr>
          <w:p>
            <w:pPr>
              <w:spacing w:after="0"/>
              <w:rPr>
                <w:sz w:val="18"/>
                <w:szCs w:val="18"/>
                <w:color w:val="auto"/>
              </w:rPr>
            </w:pPr>
          </w:p>
        </w:tc>
        <w:tc>
          <w:tcPr>
            <w:tcW w:w="3620" w:type="dxa"/>
            <w:vAlign w:val="bottom"/>
          </w:tcPr>
          <w:p>
            <w:pPr>
              <w:spacing w:after="0"/>
              <w:rPr>
                <w:sz w:val="20"/>
                <w:szCs w:val="20"/>
                <w:color w:val="auto"/>
              </w:rPr>
            </w:pPr>
            <w:r>
              <w:rPr>
                <w:rFonts w:ascii="Arial" w:cs="Arial" w:eastAsia="Arial" w:hAnsi="Arial"/>
                <w:sz w:val="18"/>
                <w:szCs w:val="18"/>
                <w:color w:val="auto"/>
              </w:rPr>
              <w:t>(dollars in thousands)</w:t>
            </w:r>
          </w:p>
        </w:tc>
        <w:tc>
          <w:tcPr>
            <w:tcW w:w="880" w:type="dxa"/>
            <w:vAlign w:val="bottom"/>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1120" w:type="dxa"/>
            <w:vAlign w:val="bottom"/>
            <w:tcBorders>
              <w:bottom w:val="single" w:sz="8" w:color="auto"/>
            </w:tcBorders>
          </w:tcPr>
          <w:p>
            <w:pPr>
              <w:jc w:val="right"/>
              <w:ind w:right="470"/>
              <w:spacing w:after="0"/>
              <w:rPr>
                <w:sz w:val="20"/>
                <w:szCs w:val="20"/>
                <w:color w:val="auto"/>
              </w:rPr>
            </w:pPr>
            <w:r>
              <w:rPr>
                <w:rFonts w:ascii="Arial" w:cs="Arial" w:eastAsia="Arial" w:hAnsi="Arial"/>
                <w:sz w:val="18"/>
                <w:szCs w:val="18"/>
                <w:b w:val="1"/>
                <w:bCs w:val="1"/>
                <w:color w:val="auto"/>
              </w:rPr>
              <w:t>2021</w:t>
            </w:r>
          </w:p>
        </w:tc>
        <w:tc>
          <w:tcPr>
            <w:tcW w:w="1400" w:type="dxa"/>
            <w:vAlign w:val="bottom"/>
            <w:tcBorders>
              <w:bottom w:val="single" w:sz="8" w:color="auto"/>
            </w:tcBorders>
          </w:tcPr>
          <w:p>
            <w:pPr>
              <w:jc w:val="right"/>
              <w:ind w:right="150"/>
              <w:spacing w:after="0"/>
              <w:rPr>
                <w:sz w:val="20"/>
                <w:szCs w:val="20"/>
                <w:color w:val="auto"/>
              </w:rPr>
            </w:pPr>
            <w:r>
              <w:rPr>
                <w:rFonts w:ascii="Arial" w:cs="Arial" w:eastAsia="Arial" w:hAnsi="Arial"/>
                <w:sz w:val="18"/>
                <w:szCs w:val="18"/>
                <w:b w:val="1"/>
                <w:bCs w:val="1"/>
                <w:color w:val="auto"/>
              </w:rPr>
              <w:t>% of revenue</w:t>
            </w:r>
          </w:p>
        </w:tc>
        <w:tc>
          <w:tcPr>
            <w:tcW w:w="100" w:type="dxa"/>
            <w:vAlign w:val="bottom"/>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1080" w:type="dxa"/>
            <w:vAlign w:val="bottom"/>
            <w:tcBorders>
              <w:bottom w:val="single" w:sz="8" w:color="auto"/>
            </w:tcBorders>
          </w:tcPr>
          <w:p>
            <w:pPr>
              <w:jc w:val="right"/>
              <w:ind w:right="470"/>
              <w:spacing w:after="0"/>
              <w:rPr>
                <w:sz w:val="20"/>
                <w:szCs w:val="20"/>
                <w:color w:val="auto"/>
              </w:rPr>
            </w:pPr>
            <w:r>
              <w:rPr>
                <w:rFonts w:ascii="Arial" w:cs="Arial" w:eastAsia="Arial" w:hAnsi="Arial"/>
                <w:sz w:val="18"/>
                <w:szCs w:val="18"/>
                <w:b w:val="1"/>
                <w:bCs w:val="1"/>
                <w:color w:val="auto"/>
              </w:rPr>
              <w:t>2020</w:t>
            </w:r>
          </w:p>
        </w:tc>
        <w:tc>
          <w:tcPr>
            <w:tcW w:w="1420" w:type="dxa"/>
            <w:vAlign w:val="bottom"/>
            <w:tcBorders>
              <w:bottom w:val="single" w:sz="8" w:color="auto"/>
            </w:tcBorders>
          </w:tcPr>
          <w:p>
            <w:pPr>
              <w:jc w:val="right"/>
              <w:ind w:right="170"/>
              <w:spacing w:after="0"/>
              <w:rPr>
                <w:sz w:val="20"/>
                <w:szCs w:val="20"/>
                <w:color w:val="auto"/>
              </w:rPr>
            </w:pPr>
            <w:r>
              <w:rPr>
                <w:rFonts w:ascii="Arial" w:cs="Arial" w:eastAsia="Arial" w:hAnsi="Arial"/>
                <w:sz w:val="18"/>
                <w:szCs w:val="18"/>
                <w:b w:val="1"/>
                <w:bCs w:val="1"/>
                <w:color w:val="auto"/>
              </w:rPr>
              <w:t>% of revenue</w:t>
            </w:r>
          </w:p>
        </w:tc>
        <w:tc>
          <w:tcPr>
            <w:tcW w:w="480" w:type="dxa"/>
            <w:vAlign w:val="bottom"/>
          </w:tcPr>
          <w:p>
            <w:pPr>
              <w:spacing w:after="0"/>
              <w:rPr>
                <w:sz w:val="18"/>
                <w:szCs w:val="18"/>
                <w:color w:val="auto"/>
              </w:rPr>
            </w:pPr>
          </w:p>
        </w:tc>
      </w:tr>
      <w:tr>
        <w:trPr>
          <w:trHeight w:val="209"/>
        </w:trPr>
        <w:tc>
          <w:tcPr>
            <w:tcW w:w="660" w:type="dxa"/>
            <w:vAlign w:val="bottom"/>
          </w:tcPr>
          <w:p>
            <w:pPr>
              <w:spacing w:after="0"/>
              <w:rPr>
                <w:sz w:val="18"/>
                <w:szCs w:val="18"/>
                <w:color w:val="auto"/>
              </w:rPr>
            </w:pPr>
          </w:p>
        </w:tc>
        <w:tc>
          <w:tcPr>
            <w:tcW w:w="3620" w:type="dxa"/>
            <w:vAlign w:val="bottom"/>
            <w:shd w:val="clear" w:color="auto" w:fill="CCEEFF"/>
          </w:tcPr>
          <w:p>
            <w:pPr>
              <w:spacing w:after="0"/>
              <w:rPr>
                <w:sz w:val="20"/>
                <w:szCs w:val="20"/>
                <w:color w:val="auto"/>
              </w:rPr>
            </w:pPr>
            <w:r>
              <w:rPr>
                <w:rFonts w:ascii="Arial" w:cs="Arial" w:eastAsia="Arial" w:hAnsi="Arial"/>
                <w:sz w:val="18"/>
                <w:szCs w:val="18"/>
                <w:color w:val="auto"/>
              </w:rPr>
              <w:t>Revenues</w:t>
            </w:r>
          </w:p>
        </w:tc>
        <w:tc>
          <w:tcPr>
            <w:tcW w:w="110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112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rPr>
              <w:t>118,904</w:t>
            </w:r>
          </w:p>
        </w:tc>
        <w:tc>
          <w:tcPr>
            <w:tcW w:w="1760" w:type="dxa"/>
            <w:vAlign w:val="bottom"/>
            <w:gridSpan w:val="3"/>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108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rPr>
              <w:t>102,100</w:t>
            </w:r>
          </w:p>
        </w:tc>
        <w:tc>
          <w:tcPr>
            <w:tcW w:w="1420" w:type="dxa"/>
            <w:vAlign w:val="bottom"/>
            <w:shd w:val="clear" w:color="auto" w:fill="CCEEFF"/>
          </w:tcPr>
          <w:p>
            <w:pPr>
              <w:spacing w:after="0"/>
              <w:rPr>
                <w:sz w:val="18"/>
                <w:szCs w:val="18"/>
                <w:color w:val="auto"/>
              </w:rPr>
            </w:pPr>
          </w:p>
        </w:tc>
        <w:tc>
          <w:tcPr>
            <w:tcW w:w="480" w:type="dxa"/>
            <w:vAlign w:val="bottom"/>
          </w:tcPr>
          <w:p>
            <w:pPr>
              <w:spacing w:after="0"/>
              <w:rPr>
                <w:sz w:val="18"/>
                <w:szCs w:val="18"/>
                <w:color w:val="auto"/>
              </w:rPr>
            </w:pPr>
          </w:p>
        </w:tc>
      </w:tr>
      <w:tr>
        <w:trPr>
          <w:trHeight w:val="216"/>
        </w:trPr>
        <w:tc>
          <w:tcPr>
            <w:tcW w:w="660" w:type="dxa"/>
            <w:vAlign w:val="bottom"/>
          </w:tcPr>
          <w:p>
            <w:pPr>
              <w:spacing w:after="0"/>
              <w:rPr>
                <w:sz w:val="18"/>
                <w:szCs w:val="18"/>
                <w:color w:val="auto"/>
              </w:rPr>
            </w:pPr>
          </w:p>
        </w:tc>
        <w:tc>
          <w:tcPr>
            <w:tcW w:w="3620" w:type="dxa"/>
            <w:vAlign w:val="bottom"/>
          </w:tcPr>
          <w:p>
            <w:pPr>
              <w:spacing w:after="0"/>
              <w:rPr>
                <w:sz w:val="20"/>
                <w:szCs w:val="20"/>
                <w:color w:val="auto"/>
              </w:rPr>
            </w:pPr>
            <w:r>
              <w:rPr>
                <w:rFonts w:ascii="Arial" w:cs="Arial" w:eastAsia="Arial" w:hAnsi="Arial"/>
                <w:sz w:val="18"/>
                <w:szCs w:val="18"/>
                <w:color w:val="auto"/>
              </w:rPr>
              <w:t>Gross profit</w:t>
            </w:r>
          </w:p>
        </w:tc>
        <w:tc>
          <w:tcPr>
            <w:tcW w:w="8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20" w:type="dxa"/>
            <w:vAlign w:val="bottom"/>
          </w:tcPr>
          <w:p>
            <w:pPr>
              <w:jc w:val="right"/>
              <w:ind w:right="50"/>
              <w:spacing w:after="0"/>
              <w:rPr>
                <w:sz w:val="20"/>
                <w:szCs w:val="20"/>
                <w:color w:val="auto"/>
              </w:rPr>
            </w:pPr>
            <w:r>
              <w:rPr>
                <w:rFonts w:ascii="Arial" w:cs="Arial" w:eastAsia="Arial" w:hAnsi="Arial"/>
                <w:sz w:val="18"/>
                <w:szCs w:val="18"/>
                <w:color w:val="auto"/>
              </w:rPr>
              <w:t>67,652</w:t>
            </w:r>
          </w:p>
        </w:tc>
        <w:tc>
          <w:tcPr>
            <w:tcW w:w="1400" w:type="dxa"/>
            <w:vAlign w:val="bottom"/>
          </w:tcPr>
          <w:p>
            <w:pPr>
              <w:jc w:val="right"/>
              <w:spacing w:after="0"/>
              <w:rPr>
                <w:sz w:val="20"/>
                <w:szCs w:val="20"/>
                <w:color w:val="auto"/>
              </w:rPr>
            </w:pPr>
            <w:r>
              <w:rPr>
                <w:rFonts w:ascii="Arial" w:cs="Arial" w:eastAsia="Arial" w:hAnsi="Arial"/>
                <w:sz w:val="18"/>
                <w:szCs w:val="18"/>
                <w:color w:val="auto"/>
              </w:rPr>
              <w:t>56.9%</w:t>
            </w: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80" w:type="dxa"/>
            <w:vAlign w:val="bottom"/>
          </w:tcPr>
          <w:p>
            <w:pPr>
              <w:jc w:val="right"/>
              <w:ind w:right="50"/>
              <w:spacing w:after="0"/>
              <w:rPr>
                <w:sz w:val="20"/>
                <w:szCs w:val="20"/>
                <w:color w:val="auto"/>
              </w:rPr>
            </w:pPr>
            <w:r>
              <w:rPr>
                <w:rFonts w:ascii="Arial" w:cs="Arial" w:eastAsia="Arial" w:hAnsi="Arial"/>
                <w:sz w:val="18"/>
                <w:szCs w:val="18"/>
                <w:color w:val="auto"/>
              </w:rPr>
              <w:t>58,041</w:t>
            </w:r>
          </w:p>
        </w:tc>
        <w:tc>
          <w:tcPr>
            <w:tcW w:w="1420" w:type="dxa"/>
            <w:vAlign w:val="bottom"/>
          </w:tcPr>
          <w:p>
            <w:pPr>
              <w:jc w:val="right"/>
              <w:spacing w:after="0"/>
              <w:rPr>
                <w:sz w:val="20"/>
                <w:szCs w:val="20"/>
                <w:color w:val="auto"/>
              </w:rPr>
            </w:pPr>
            <w:r>
              <w:rPr>
                <w:rFonts w:ascii="Arial" w:cs="Arial" w:eastAsia="Arial" w:hAnsi="Arial"/>
                <w:sz w:val="18"/>
                <w:szCs w:val="18"/>
                <w:color w:val="auto"/>
              </w:rPr>
              <w:t>56.8%</w:t>
            </w:r>
          </w:p>
        </w:tc>
        <w:tc>
          <w:tcPr>
            <w:tcW w:w="480" w:type="dxa"/>
            <w:vAlign w:val="bottom"/>
          </w:tcPr>
          <w:p>
            <w:pPr>
              <w:spacing w:after="0"/>
              <w:rPr>
                <w:sz w:val="18"/>
                <w:szCs w:val="18"/>
                <w:color w:val="auto"/>
              </w:rPr>
            </w:pPr>
          </w:p>
        </w:tc>
      </w:tr>
      <w:tr>
        <w:trPr>
          <w:trHeight w:val="216"/>
        </w:trPr>
        <w:tc>
          <w:tcPr>
            <w:tcW w:w="660" w:type="dxa"/>
            <w:vAlign w:val="bottom"/>
          </w:tcPr>
          <w:p>
            <w:pPr>
              <w:spacing w:after="0"/>
              <w:rPr>
                <w:sz w:val="18"/>
                <w:szCs w:val="18"/>
                <w:color w:val="auto"/>
              </w:rPr>
            </w:pPr>
          </w:p>
        </w:tc>
        <w:tc>
          <w:tcPr>
            <w:tcW w:w="3620" w:type="dxa"/>
            <w:vAlign w:val="bottom"/>
            <w:shd w:val="clear" w:color="auto" w:fill="CCEEFF"/>
          </w:tcPr>
          <w:p>
            <w:pPr>
              <w:spacing w:after="0"/>
              <w:rPr>
                <w:sz w:val="20"/>
                <w:szCs w:val="20"/>
                <w:color w:val="auto"/>
              </w:rPr>
            </w:pPr>
            <w:r>
              <w:rPr>
                <w:rFonts w:ascii="Arial" w:cs="Arial" w:eastAsia="Arial" w:hAnsi="Arial"/>
                <w:sz w:val="18"/>
                <w:szCs w:val="18"/>
                <w:color w:val="auto"/>
              </w:rPr>
              <w:t>Sales and marketing expenses</w:t>
            </w:r>
          </w:p>
        </w:tc>
        <w:tc>
          <w:tcPr>
            <w:tcW w:w="8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12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rPr>
              <w:t>24,642</w:t>
            </w:r>
          </w:p>
        </w:tc>
        <w:tc>
          <w:tcPr>
            <w:tcW w:w="14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20.7%</w:t>
            </w:r>
          </w:p>
        </w:tc>
        <w:tc>
          <w:tcPr>
            <w:tcW w:w="1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08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rPr>
              <w:t>19,916</w:t>
            </w:r>
          </w:p>
        </w:tc>
        <w:tc>
          <w:tcPr>
            <w:tcW w:w="14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19.5%</w:t>
            </w:r>
          </w:p>
        </w:tc>
        <w:tc>
          <w:tcPr>
            <w:tcW w:w="480" w:type="dxa"/>
            <w:vAlign w:val="bottom"/>
          </w:tcPr>
          <w:p>
            <w:pPr>
              <w:spacing w:after="0"/>
              <w:rPr>
                <w:sz w:val="18"/>
                <w:szCs w:val="18"/>
                <w:color w:val="auto"/>
              </w:rPr>
            </w:pPr>
          </w:p>
        </w:tc>
      </w:tr>
      <w:tr>
        <w:trPr>
          <w:trHeight w:val="216"/>
        </w:trPr>
        <w:tc>
          <w:tcPr>
            <w:tcW w:w="660" w:type="dxa"/>
            <w:vAlign w:val="bottom"/>
          </w:tcPr>
          <w:p>
            <w:pPr>
              <w:spacing w:after="0"/>
              <w:rPr>
                <w:sz w:val="18"/>
                <w:szCs w:val="18"/>
                <w:color w:val="auto"/>
              </w:rPr>
            </w:pPr>
          </w:p>
        </w:tc>
        <w:tc>
          <w:tcPr>
            <w:tcW w:w="3620" w:type="dxa"/>
            <w:vAlign w:val="bottom"/>
          </w:tcPr>
          <w:p>
            <w:pPr>
              <w:spacing w:after="0"/>
              <w:rPr>
                <w:sz w:val="20"/>
                <w:szCs w:val="20"/>
                <w:color w:val="auto"/>
              </w:rPr>
            </w:pPr>
            <w:r>
              <w:rPr>
                <w:rFonts w:ascii="Arial" w:cs="Arial" w:eastAsia="Arial" w:hAnsi="Arial"/>
                <w:sz w:val="18"/>
                <w:szCs w:val="18"/>
                <w:color w:val="auto"/>
              </w:rPr>
              <w:t>General and administrative expenses</w:t>
            </w:r>
          </w:p>
        </w:tc>
        <w:tc>
          <w:tcPr>
            <w:tcW w:w="8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20" w:type="dxa"/>
            <w:vAlign w:val="bottom"/>
          </w:tcPr>
          <w:p>
            <w:pPr>
              <w:jc w:val="right"/>
              <w:ind w:right="50"/>
              <w:spacing w:after="0"/>
              <w:rPr>
                <w:sz w:val="20"/>
                <w:szCs w:val="20"/>
                <w:color w:val="auto"/>
              </w:rPr>
            </w:pPr>
            <w:r>
              <w:rPr>
                <w:rFonts w:ascii="Arial" w:cs="Arial" w:eastAsia="Arial" w:hAnsi="Arial"/>
                <w:sz w:val="18"/>
                <w:szCs w:val="18"/>
                <w:color w:val="auto"/>
              </w:rPr>
              <w:t>24,305</w:t>
            </w:r>
          </w:p>
        </w:tc>
        <w:tc>
          <w:tcPr>
            <w:tcW w:w="1400" w:type="dxa"/>
            <w:vAlign w:val="bottom"/>
          </w:tcPr>
          <w:p>
            <w:pPr>
              <w:jc w:val="right"/>
              <w:spacing w:after="0"/>
              <w:rPr>
                <w:sz w:val="20"/>
                <w:szCs w:val="20"/>
                <w:color w:val="auto"/>
              </w:rPr>
            </w:pPr>
            <w:r>
              <w:rPr>
                <w:rFonts w:ascii="Arial" w:cs="Arial" w:eastAsia="Arial" w:hAnsi="Arial"/>
                <w:sz w:val="18"/>
                <w:szCs w:val="18"/>
                <w:color w:val="auto"/>
              </w:rPr>
              <w:t>20.4%</w:t>
            </w: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80" w:type="dxa"/>
            <w:vAlign w:val="bottom"/>
          </w:tcPr>
          <w:p>
            <w:pPr>
              <w:jc w:val="right"/>
              <w:ind w:right="50"/>
              <w:spacing w:after="0"/>
              <w:rPr>
                <w:sz w:val="20"/>
                <w:szCs w:val="20"/>
                <w:color w:val="auto"/>
              </w:rPr>
            </w:pPr>
            <w:r>
              <w:rPr>
                <w:rFonts w:ascii="Arial" w:cs="Arial" w:eastAsia="Arial" w:hAnsi="Arial"/>
                <w:sz w:val="18"/>
                <w:szCs w:val="18"/>
                <w:color w:val="auto"/>
              </w:rPr>
              <w:t>23,509</w:t>
            </w:r>
          </w:p>
        </w:tc>
        <w:tc>
          <w:tcPr>
            <w:tcW w:w="1420" w:type="dxa"/>
            <w:vAlign w:val="bottom"/>
          </w:tcPr>
          <w:p>
            <w:pPr>
              <w:jc w:val="right"/>
              <w:spacing w:after="0"/>
              <w:rPr>
                <w:sz w:val="20"/>
                <w:szCs w:val="20"/>
                <w:color w:val="auto"/>
              </w:rPr>
            </w:pPr>
            <w:r>
              <w:rPr>
                <w:rFonts w:ascii="Arial" w:cs="Arial" w:eastAsia="Arial" w:hAnsi="Arial"/>
                <w:sz w:val="18"/>
                <w:szCs w:val="18"/>
                <w:color w:val="auto"/>
              </w:rPr>
              <w:t>23.0%</w:t>
            </w:r>
          </w:p>
        </w:tc>
        <w:tc>
          <w:tcPr>
            <w:tcW w:w="480" w:type="dxa"/>
            <w:vAlign w:val="bottom"/>
          </w:tcPr>
          <w:p>
            <w:pPr>
              <w:spacing w:after="0"/>
              <w:rPr>
                <w:sz w:val="18"/>
                <w:szCs w:val="18"/>
                <w:color w:val="auto"/>
              </w:rPr>
            </w:pPr>
          </w:p>
        </w:tc>
      </w:tr>
      <w:tr>
        <w:trPr>
          <w:trHeight w:val="216"/>
        </w:trPr>
        <w:tc>
          <w:tcPr>
            <w:tcW w:w="660" w:type="dxa"/>
            <w:vAlign w:val="bottom"/>
          </w:tcPr>
          <w:p>
            <w:pPr>
              <w:spacing w:after="0"/>
              <w:rPr>
                <w:sz w:val="18"/>
                <w:szCs w:val="18"/>
                <w:color w:val="auto"/>
              </w:rPr>
            </w:pPr>
          </w:p>
        </w:tc>
        <w:tc>
          <w:tcPr>
            <w:tcW w:w="3620" w:type="dxa"/>
            <w:vAlign w:val="bottom"/>
            <w:shd w:val="clear" w:color="auto" w:fill="CCEEFF"/>
          </w:tcPr>
          <w:p>
            <w:pPr>
              <w:spacing w:after="0"/>
              <w:rPr>
                <w:sz w:val="20"/>
                <w:szCs w:val="20"/>
                <w:color w:val="auto"/>
              </w:rPr>
            </w:pPr>
            <w:r>
              <w:rPr>
                <w:rFonts w:ascii="Arial" w:cs="Arial" w:eastAsia="Arial" w:hAnsi="Arial"/>
                <w:sz w:val="18"/>
                <w:szCs w:val="18"/>
                <w:color w:val="auto"/>
              </w:rPr>
              <w:t>Research and development expenses</w:t>
            </w:r>
          </w:p>
        </w:tc>
        <w:tc>
          <w:tcPr>
            <w:tcW w:w="8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12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rPr>
              <w:t>10,799</w:t>
            </w:r>
          </w:p>
        </w:tc>
        <w:tc>
          <w:tcPr>
            <w:tcW w:w="14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9.1%</w:t>
            </w:r>
          </w:p>
        </w:tc>
        <w:tc>
          <w:tcPr>
            <w:tcW w:w="1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08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rPr>
              <w:t>8,685</w:t>
            </w:r>
          </w:p>
        </w:tc>
        <w:tc>
          <w:tcPr>
            <w:tcW w:w="14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8.5%</w:t>
            </w:r>
          </w:p>
        </w:tc>
        <w:tc>
          <w:tcPr>
            <w:tcW w:w="480" w:type="dxa"/>
            <w:vAlign w:val="bottom"/>
          </w:tcPr>
          <w:p>
            <w:pPr>
              <w:spacing w:after="0"/>
              <w:rPr>
                <w:sz w:val="18"/>
                <w:szCs w:val="18"/>
                <w:color w:val="auto"/>
              </w:rPr>
            </w:pPr>
          </w:p>
        </w:tc>
      </w:tr>
      <w:tr>
        <w:trPr>
          <w:trHeight w:val="216"/>
        </w:trPr>
        <w:tc>
          <w:tcPr>
            <w:tcW w:w="660" w:type="dxa"/>
            <w:vAlign w:val="bottom"/>
          </w:tcPr>
          <w:p>
            <w:pPr>
              <w:spacing w:after="0"/>
              <w:rPr>
                <w:sz w:val="18"/>
                <w:szCs w:val="18"/>
                <w:color w:val="auto"/>
              </w:rPr>
            </w:pPr>
          </w:p>
        </w:tc>
        <w:tc>
          <w:tcPr>
            <w:tcW w:w="3620" w:type="dxa"/>
            <w:vAlign w:val="bottom"/>
          </w:tcPr>
          <w:p>
            <w:pPr>
              <w:spacing w:after="0"/>
              <w:rPr>
                <w:sz w:val="20"/>
                <w:szCs w:val="20"/>
                <w:color w:val="auto"/>
              </w:rPr>
            </w:pPr>
            <w:r>
              <w:rPr>
                <w:rFonts w:ascii="Arial" w:cs="Arial" w:eastAsia="Arial" w:hAnsi="Arial"/>
                <w:sz w:val="18"/>
                <w:szCs w:val="18"/>
                <w:color w:val="auto"/>
              </w:rPr>
              <w:t>Amortization of intangible assets</w:t>
            </w:r>
          </w:p>
        </w:tc>
        <w:tc>
          <w:tcPr>
            <w:tcW w:w="8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20" w:type="dxa"/>
            <w:vAlign w:val="bottom"/>
          </w:tcPr>
          <w:p>
            <w:pPr>
              <w:jc w:val="right"/>
              <w:ind w:right="50"/>
              <w:spacing w:after="0"/>
              <w:rPr>
                <w:sz w:val="20"/>
                <w:szCs w:val="20"/>
                <w:color w:val="auto"/>
              </w:rPr>
            </w:pPr>
            <w:r>
              <w:rPr>
                <w:rFonts w:ascii="Arial" w:cs="Arial" w:eastAsia="Arial" w:hAnsi="Arial"/>
                <w:sz w:val="18"/>
                <w:szCs w:val="18"/>
                <w:color w:val="auto"/>
              </w:rPr>
              <w:t>5,840</w:t>
            </w:r>
          </w:p>
        </w:tc>
        <w:tc>
          <w:tcPr>
            <w:tcW w:w="1400" w:type="dxa"/>
            <w:vAlign w:val="bottom"/>
          </w:tcPr>
          <w:p>
            <w:pPr>
              <w:jc w:val="right"/>
              <w:spacing w:after="0"/>
              <w:rPr>
                <w:sz w:val="20"/>
                <w:szCs w:val="20"/>
                <w:color w:val="auto"/>
              </w:rPr>
            </w:pPr>
            <w:r>
              <w:rPr>
                <w:rFonts w:ascii="Arial" w:cs="Arial" w:eastAsia="Arial" w:hAnsi="Arial"/>
                <w:sz w:val="18"/>
                <w:szCs w:val="18"/>
                <w:color w:val="auto"/>
              </w:rPr>
              <w:t>4.9%</w:t>
            </w: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80" w:type="dxa"/>
            <w:vAlign w:val="bottom"/>
          </w:tcPr>
          <w:p>
            <w:pPr>
              <w:jc w:val="right"/>
              <w:ind w:right="50"/>
              <w:spacing w:after="0"/>
              <w:rPr>
                <w:sz w:val="20"/>
                <w:szCs w:val="20"/>
                <w:color w:val="auto"/>
              </w:rPr>
            </w:pPr>
            <w:r>
              <w:rPr>
                <w:rFonts w:ascii="Arial" w:cs="Arial" w:eastAsia="Arial" w:hAnsi="Arial"/>
                <w:sz w:val="18"/>
                <w:szCs w:val="18"/>
                <w:color w:val="auto"/>
              </w:rPr>
              <w:t>5,710</w:t>
            </w:r>
          </w:p>
        </w:tc>
        <w:tc>
          <w:tcPr>
            <w:tcW w:w="1420" w:type="dxa"/>
            <w:vAlign w:val="bottom"/>
          </w:tcPr>
          <w:p>
            <w:pPr>
              <w:jc w:val="right"/>
              <w:spacing w:after="0"/>
              <w:rPr>
                <w:sz w:val="20"/>
                <w:szCs w:val="20"/>
                <w:color w:val="auto"/>
              </w:rPr>
            </w:pPr>
            <w:r>
              <w:rPr>
                <w:rFonts w:ascii="Arial" w:cs="Arial" w:eastAsia="Arial" w:hAnsi="Arial"/>
                <w:sz w:val="18"/>
                <w:szCs w:val="18"/>
                <w:color w:val="auto"/>
              </w:rPr>
              <w:t>5.6%</w:t>
            </w:r>
          </w:p>
        </w:tc>
        <w:tc>
          <w:tcPr>
            <w:tcW w:w="480" w:type="dxa"/>
            <w:vAlign w:val="bottom"/>
          </w:tcPr>
          <w:p>
            <w:pPr>
              <w:spacing w:after="0"/>
              <w:rPr>
                <w:sz w:val="18"/>
                <w:szCs w:val="18"/>
                <w:color w:val="auto"/>
              </w:rPr>
            </w:pPr>
          </w:p>
        </w:tc>
      </w:tr>
      <w:tr>
        <w:trPr>
          <w:trHeight w:val="216"/>
        </w:trPr>
        <w:tc>
          <w:tcPr>
            <w:tcW w:w="660" w:type="dxa"/>
            <w:vAlign w:val="bottom"/>
          </w:tcPr>
          <w:p>
            <w:pPr>
              <w:spacing w:after="0"/>
              <w:rPr>
                <w:sz w:val="18"/>
                <w:szCs w:val="18"/>
                <w:color w:val="auto"/>
              </w:rPr>
            </w:pPr>
          </w:p>
        </w:tc>
        <w:tc>
          <w:tcPr>
            <w:tcW w:w="3620" w:type="dxa"/>
            <w:vAlign w:val="bottom"/>
            <w:shd w:val="clear" w:color="auto" w:fill="CCEEFF"/>
          </w:tcPr>
          <w:p>
            <w:pPr>
              <w:spacing w:after="0"/>
              <w:rPr>
                <w:sz w:val="20"/>
                <w:szCs w:val="20"/>
                <w:color w:val="auto"/>
              </w:rPr>
            </w:pPr>
            <w:r>
              <w:rPr>
                <w:rFonts w:ascii="Arial" w:cs="Arial" w:eastAsia="Arial" w:hAnsi="Arial"/>
                <w:sz w:val="18"/>
                <w:szCs w:val="18"/>
                <w:color w:val="auto"/>
              </w:rPr>
              <w:t>Interest expense</w:t>
            </w:r>
          </w:p>
        </w:tc>
        <w:tc>
          <w:tcPr>
            <w:tcW w:w="8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12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rPr>
              <w:t>1,540</w:t>
            </w:r>
          </w:p>
        </w:tc>
        <w:tc>
          <w:tcPr>
            <w:tcW w:w="14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w:t>
            </w:r>
          </w:p>
        </w:tc>
        <w:tc>
          <w:tcPr>
            <w:tcW w:w="1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08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rPr>
              <w:t>4,831</w:t>
            </w:r>
          </w:p>
        </w:tc>
        <w:tc>
          <w:tcPr>
            <w:tcW w:w="14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4.7%</w:t>
            </w:r>
          </w:p>
        </w:tc>
        <w:tc>
          <w:tcPr>
            <w:tcW w:w="480" w:type="dxa"/>
            <w:vAlign w:val="bottom"/>
          </w:tcPr>
          <w:p>
            <w:pPr>
              <w:spacing w:after="0"/>
              <w:rPr>
                <w:sz w:val="18"/>
                <w:szCs w:val="18"/>
                <w:color w:val="auto"/>
              </w:rPr>
            </w:pPr>
          </w:p>
        </w:tc>
      </w:tr>
      <w:tr>
        <w:trPr>
          <w:trHeight w:val="216"/>
        </w:trPr>
        <w:tc>
          <w:tcPr>
            <w:tcW w:w="660" w:type="dxa"/>
            <w:vAlign w:val="bottom"/>
          </w:tcPr>
          <w:p>
            <w:pPr>
              <w:spacing w:after="0"/>
              <w:rPr>
                <w:sz w:val="18"/>
                <w:szCs w:val="18"/>
                <w:color w:val="auto"/>
              </w:rPr>
            </w:pPr>
          </w:p>
        </w:tc>
        <w:tc>
          <w:tcPr>
            <w:tcW w:w="3620" w:type="dxa"/>
            <w:vAlign w:val="bottom"/>
          </w:tcPr>
          <w:p>
            <w:pPr>
              <w:spacing w:after="0"/>
              <w:rPr>
                <w:sz w:val="20"/>
                <w:szCs w:val="20"/>
                <w:color w:val="auto"/>
              </w:rPr>
            </w:pPr>
            <w:r>
              <w:rPr>
                <w:rFonts w:ascii="Arial" w:cs="Arial" w:eastAsia="Arial" w:hAnsi="Arial"/>
                <w:sz w:val="18"/>
                <w:szCs w:val="18"/>
                <w:color w:val="auto"/>
              </w:rPr>
              <w:t>Debt extinguishment and related costs</w:t>
            </w:r>
          </w:p>
        </w:tc>
        <w:tc>
          <w:tcPr>
            <w:tcW w:w="8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20" w:type="dxa"/>
            <w:vAlign w:val="bottom"/>
          </w:tcPr>
          <w:p>
            <w:pPr>
              <w:jc w:val="right"/>
              <w:ind w:right="50"/>
              <w:spacing w:after="0"/>
              <w:rPr>
                <w:sz w:val="20"/>
                <w:szCs w:val="20"/>
                <w:color w:val="auto"/>
              </w:rPr>
            </w:pPr>
            <w:r>
              <w:rPr>
                <w:rFonts w:ascii="Arial" w:cs="Arial" w:eastAsia="Arial" w:hAnsi="Arial"/>
                <w:sz w:val="18"/>
                <w:szCs w:val="18"/>
                <w:color w:val="auto"/>
              </w:rPr>
              <w:t>-</w:t>
            </w:r>
          </w:p>
        </w:tc>
        <w:tc>
          <w:tcPr>
            <w:tcW w:w="1400" w:type="dxa"/>
            <w:vAlign w:val="bottom"/>
          </w:tcPr>
          <w:p>
            <w:pPr>
              <w:jc w:val="right"/>
              <w:spacing w:after="0"/>
              <w:rPr>
                <w:sz w:val="20"/>
                <w:szCs w:val="20"/>
                <w:color w:val="auto"/>
              </w:rPr>
            </w:pPr>
            <w:r>
              <w:rPr>
                <w:rFonts w:ascii="Arial" w:cs="Arial" w:eastAsia="Arial" w:hAnsi="Arial"/>
                <w:sz w:val="18"/>
                <w:szCs w:val="18"/>
                <w:color w:val="auto"/>
              </w:rPr>
              <w:t>0.0%</w:t>
            </w: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80" w:type="dxa"/>
            <w:vAlign w:val="bottom"/>
          </w:tcPr>
          <w:p>
            <w:pPr>
              <w:jc w:val="right"/>
              <w:ind w:right="50"/>
              <w:spacing w:after="0"/>
              <w:rPr>
                <w:sz w:val="20"/>
                <w:szCs w:val="20"/>
                <w:color w:val="auto"/>
              </w:rPr>
            </w:pPr>
            <w:r>
              <w:rPr>
                <w:rFonts w:ascii="Arial" w:cs="Arial" w:eastAsia="Arial" w:hAnsi="Arial"/>
                <w:sz w:val="18"/>
                <w:szCs w:val="18"/>
                <w:color w:val="auto"/>
              </w:rPr>
              <w:t>1,876</w:t>
            </w:r>
          </w:p>
        </w:tc>
        <w:tc>
          <w:tcPr>
            <w:tcW w:w="1420" w:type="dxa"/>
            <w:vAlign w:val="bottom"/>
          </w:tcPr>
          <w:p>
            <w:pPr>
              <w:jc w:val="right"/>
              <w:spacing w:after="0"/>
              <w:rPr>
                <w:sz w:val="20"/>
                <w:szCs w:val="20"/>
                <w:color w:val="auto"/>
              </w:rPr>
            </w:pPr>
            <w:r>
              <w:rPr>
                <w:rFonts w:ascii="Arial" w:cs="Arial" w:eastAsia="Arial" w:hAnsi="Arial"/>
                <w:sz w:val="18"/>
                <w:szCs w:val="18"/>
                <w:color w:val="auto"/>
              </w:rPr>
              <w:t>1.8%</w:t>
            </w:r>
          </w:p>
        </w:tc>
        <w:tc>
          <w:tcPr>
            <w:tcW w:w="480" w:type="dxa"/>
            <w:vAlign w:val="bottom"/>
          </w:tcPr>
          <w:p>
            <w:pPr>
              <w:spacing w:after="0"/>
              <w:rPr>
                <w:sz w:val="18"/>
                <w:szCs w:val="18"/>
                <w:color w:val="auto"/>
              </w:rPr>
            </w:pPr>
          </w:p>
        </w:tc>
      </w:tr>
      <w:tr>
        <w:trPr>
          <w:trHeight w:val="216"/>
        </w:trPr>
        <w:tc>
          <w:tcPr>
            <w:tcW w:w="660" w:type="dxa"/>
            <w:vAlign w:val="bottom"/>
          </w:tcPr>
          <w:p>
            <w:pPr>
              <w:spacing w:after="0"/>
              <w:rPr>
                <w:sz w:val="18"/>
                <w:szCs w:val="18"/>
                <w:color w:val="auto"/>
              </w:rPr>
            </w:pPr>
          </w:p>
        </w:tc>
        <w:tc>
          <w:tcPr>
            <w:tcW w:w="3620" w:type="dxa"/>
            <w:vAlign w:val="bottom"/>
            <w:shd w:val="clear" w:color="auto" w:fill="CCEEFF"/>
          </w:tcPr>
          <w:p>
            <w:pPr>
              <w:spacing w:after="0"/>
              <w:rPr>
                <w:sz w:val="20"/>
                <w:szCs w:val="20"/>
                <w:color w:val="auto"/>
              </w:rPr>
            </w:pPr>
            <w:r>
              <w:rPr>
                <w:rFonts w:ascii="Arial" w:cs="Arial" w:eastAsia="Arial" w:hAnsi="Arial"/>
                <w:sz w:val="18"/>
                <w:szCs w:val="18"/>
                <w:color w:val="auto"/>
              </w:rPr>
              <w:t>Income tax expense</w:t>
            </w:r>
          </w:p>
        </w:tc>
        <w:tc>
          <w:tcPr>
            <w:tcW w:w="8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12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rPr>
              <w:t>148</w:t>
            </w:r>
          </w:p>
        </w:tc>
        <w:tc>
          <w:tcPr>
            <w:tcW w:w="14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0.1%</w:t>
            </w:r>
          </w:p>
        </w:tc>
        <w:tc>
          <w:tcPr>
            <w:tcW w:w="1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08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rPr>
              <w:t>518</w:t>
            </w:r>
          </w:p>
        </w:tc>
        <w:tc>
          <w:tcPr>
            <w:tcW w:w="14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0.5%</w:t>
            </w:r>
          </w:p>
        </w:tc>
        <w:tc>
          <w:tcPr>
            <w:tcW w:w="480" w:type="dxa"/>
            <w:vAlign w:val="bottom"/>
          </w:tcPr>
          <w:p>
            <w:pPr>
              <w:spacing w:after="0"/>
              <w:rPr>
                <w:sz w:val="18"/>
                <w:szCs w:val="18"/>
                <w:color w:val="auto"/>
              </w:rPr>
            </w:pPr>
          </w:p>
        </w:tc>
      </w:tr>
      <w:tr>
        <w:trPr>
          <w:trHeight w:val="648"/>
        </w:trPr>
        <w:tc>
          <w:tcPr>
            <w:tcW w:w="660" w:type="dxa"/>
            <w:vAlign w:val="bottom"/>
          </w:tcPr>
          <w:p>
            <w:pPr>
              <w:spacing w:after="0"/>
              <w:rPr>
                <w:sz w:val="24"/>
                <w:szCs w:val="24"/>
                <w:color w:val="auto"/>
              </w:rPr>
            </w:pPr>
          </w:p>
        </w:tc>
        <w:tc>
          <w:tcPr>
            <w:tcW w:w="362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120" w:type="dxa"/>
            <w:vAlign w:val="bottom"/>
          </w:tcPr>
          <w:p>
            <w:pPr>
              <w:jc w:val="right"/>
              <w:ind w:right="690"/>
              <w:spacing w:after="0"/>
              <w:rPr>
                <w:sz w:val="20"/>
                <w:szCs w:val="20"/>
                <w:color w:val="auto"/>
              </w:rPr>
            </w:pPr>
            <w:r>
              <w:rPr>
                <w:rFonts w:ascii="Arial" w:cs="Arial" w:eastAsia="Arial" w:hAnsi="Arial"/>
                <w:sz w:val="18"/>
                <w:szCs w:val="18"/>
                <w:color w:val="auto"/>
              </w:rPr>
              <w:t>18</w:t>
            </w:r>
          </w:p>
        </w:tc>
        <w:tc>
          <w:tcPr>
            <w:tcW w:w="14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1420" w:type="dxa"/>
            <w:vAlign w:val="bottom"/>
          </w:tcPr>
          <w:p>
            <w:pPr>
              <w:spacing w:after="0"/>
              <w:rPr>
                <w:sz w:val="24"/>
                <w:szCs w:val="24"/>
                <w:color w:val="auto"/>
              </w:rPr>
            </w:pPr>
          </w:p>
        </w:tc>
        <w:tc>
          <w:tcPr>
            <w:tcW w:w="480" w:type="dxa"/>
            <w:vAlign w:val="bottom"/>
          </w:tcPr>
          <w:p>
            <w:pPr>
              <w:spacing w:after="0"/>
              <w:rPr>
                <w:sz w:val="24"/>
                <w:szCs w:val="24"/>
                <w:color w:val="auto"/>
              </w:rPr>
            </w:pPr>
          </w:p>
        </w:tc>
      </w:tr>
      <w:tr>
        <w:trPr>
          <w:trHeight w:val="115"/>
        </w:trPr>
        <w:tc>
          <w:tcPr>
            <w:tcW w:w="660" w:type="dxa"/>
            <w:vAlign w:val="bottom"/>
            <w:tcBorders>
              <w:bottom w:val="single" w:sz="8" w:color="auto"/>
            </w:tcBorders>
          </w:tcPr>
          <w:p>
            <w:pPr>
              <w:spacing w:after="0"/>
              <w:rPr>
                <w:sz w:val="10"/>
                <w:szCs w:val="10"/>
                <w:color w:val="auto"/>
              </w:rPr>
            </w:pPr>
          </w:p>
        </w:tc>
        <w:tc>
          <w:tcPr>
            <w:tcW w:w="3620" w:type="dxa"/>
            <w:vAlign w:val="bottom"/>
            <w:tcBorders>
              <w:bottom w:val="single" w:sz="8" w:color="auto"/>
            </w:tcBorders>
          </w:tcPr>
          <w:p>
            <w:pPr>
              <w:spacing w:after="0"/>
              <w:rPr>
                <w:sz w:val="10"/>
                <w:szCs w:val="10"/>
                <w:color w:val="auto"/>
              </w:rPr>
            </w:pPr>
          </w:p>
        </w:tc>
        <w:tc>
          <w:tcPr>
            <w:tcW w:w="880" w:type="dxa"/>
            <w:vAlign w:val="bottom"/>
            <w:tcBorders>
              <w:bottom w:val="single" w:sz="8" w:color="auto"/>
            </w:tcBorders>
          </w:tcPr>
          <w:p>
            <w:pPr>
              <w:spacing w:after="0"/>
              <w:rPr>
                <w:sz w:val="10"/>
                <w:szCs w:val="10"/>
                <w:color w:val="auto"/>
              </w:rPr>
            </w:pPr>
          </w:p>
        </w:tc>
        <w:tc>
          <w:tcPr>
            <w:tcW w:w="220" w:type="dxa"/>
            <w:vAlign w:val="bottom"/>
            <w:tcBorders>
              <w:bottom w:val="single" w:sz="8" w:color="auto"/>
            </w:tcBorders>
          </w:tcPr>
          <w:p>
            <w:pPr>
              <w:spacing w:after="0"/>
              <w:rPr>
                <w:sz w:val="10"/>
                <w:szCs w:val="10"/>
                <w:color w:val="auto"/>
              </w:rPr>
            </w:pPr>
          </w:p>
        </w:tc>
        <w:tc>
          <w:tcPr>
            <w:tcW w:w="1120" w:type="dxa"/>
            <w:vAlign w:val="bottom"/>
            <w:tcBorders>
              <w:bottom w:val="single" w:sz="8" w:color="auto"/>
            </w:tcBorders>
          </w:tcPr>
          <w:p>
            <w:pPr>
              <w:spacing w:after="0"/>
              <w:rPr>
                <w:sz w:val="10"/>
                <w:szCs w:val="10"/>
                <w:color w:val="auto"/>
              </w:rPr>
            </w:pPr>
          </w:p>
        </w:tc>
        <w:tc>
          <w:tcPr>
            <w:tcW w:w="1400" w:type="dxa"/>
            <w:vAlign w:val="bottom"/>
            <w:tcBorders>
              <w:bottom w:val="single" w:sz="8" w:color="auto"/>
            </w:tcBorders>
          </w:tcPr>
          <w:p>
            <w:pPr>
              <w:spacing w:after="0"/>
              <w:rPr>
                <w:sz w:val="10"/>
                <w:szCs w:val="10"/>
                <w:color w:val="auto"/>
              </w:rPr>
            </w:pPr>
          </w:p>
        </w:tc>
        <w:tc>
          <w:tcPr>
            <w:tcW w:w="100" w:type="dxa"/>
            <w:vAlign w:val="bottom"/>
            <w:tcBorders>
              <w:bottom w:val="single" w:sz="8" w:color="auto"/>
            </w:tcBorders>
          </w:tcPr>
          <w:p>
            <w:pPr>
              <w:spacing w:after="0"/>
              <w:rPr>
                <w:sz w:val="10"/>
                <w:szCs w:val="10"/>
                <w:color w:val="auto"/>
              </w:rPr>
            </w:pPr>
          </w:p>
        </w:tc>
        <w:tc>
          <w:tcPr>
            <w:tcW w:w="260" w:type="dxa"/>
            <w:vAlign w:val="bottom"/>
            <w:tcBorders>
              <w:bottom w:val="single" w:sz="8" w:color="auto"/>
            </w:tcBorders>
          </w:tcPr>
          <w:p>
            <w:pPr>
              <w:spacing w:after="0"/>
              <w:rPr>
                <w:sz w:val="10"/>
                <w:szCs w:val="10"/>
                <w:color w:val="auto"/>
              </w:rPr>
            </w:pPr>
          </w:p>
        </w:tc>
        <w:tc>
          <w:tcPr>
            <w:tcW w:w="1080" w:type="dxa"/>
            <w:vAlign w:val="bottom"/>
            <w:tcBorders>
              <w:bottom w:val="single" w:sz="8" w:color="auto"/>
            </w:tcBorders>
          </w:tcPr>
          <w:p>
            <w:pPr>
              <w:spacing w:after="0"/>
              <w:rPr>
                <w:sz w:val="10"/>
                <w:szCs w:val="10"/>
                <w:color w:val="auto"/>
              </w:rPr>
            </w:pPr>
          </w:p>
        </w:tc>
        <w:tc>
          <w:tcPr>
            <w:tcW w:w="1420" w:type="dxa"/>
            <w:vAlign w:val="bottom"/>
            <w:tcBorders>
              <w:bottom w:val="single" w:sz="8" w:color="auto"/>
            </w:tcBorders>
          </w:tcPr>
          <w:p>
            <w:pPr>
              <w:spacing w:after="0"/>
              <w:rPr>
                <w:sz w:val="10"/>
                <w:szCs w:val="10"/>
                <w:color w:val="auto"/>
              </w:rPr>
            </w:pPr>
          </w:p>
        </w:tc>
        <w:tc>
          <w:tcPr>
            <w:tcW w:w="480" w:type="dxa"/>
            <w:vAlign w:val="bottom"/>
            <w:tcBorders>
              <w:bottom w:val="single" w:sz="8" w:color="auto"/>
            </w:tcBorders>
          </w:tcPr>
          <w:p>
            <w:pPr>
              <w:spacing w:after="0"/>
              <w:rPr>
                <w:sz w:val="10"/>
                <w:szCs w:val="10"/>
                <w:color w:val="auto"/>
              </w:rPr>
            </w:pPr>
          </w:p>
        </w:tc>
      </w:tr>
    </w:tbl>
    <w:p>
      <w:pPr>
        <w:sectPr>
          <w:pgSz w:w="11900" w:h="16838" w:orient="portrait"/>
          <w:cols w:equalWidth="0" w:num="1">
            <w:col w:w="11240"/>
          </w:cols>
          <w:pgMar w:left="320" w:top="125" w:right="339" w:bottom="1440" w:gutter="0" w:footer="0" w:header="0"/>
        </w:sectPr>
      </w:pPr>
    </w:p>
    <w:bookmarkStart w:id="21" w:name="page22"/>
    <w:bookmarkEnd w:id="21"/>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Revenues</w:t>
      </w:r>
    </w:p>
    <w:p>
      <w:pPr>
        <w:spacing w:after="0" w:line="225" w:lineRule="exact"/>
        <w:rPr>
          <w:sz w:val="20"/>
          <w:szCs w:val="20"/>
          <w:color w:val="auto"/>
        </w:rPr>
      </w:pPr>
    </w:p>
    <w:p>
      <w:pPr>
        <w:jc w:val="both"/>
        <w:ind w:firstLine="648"/>
        <w:spacing w:after="0" w:line="273" w:lineRule="auto"/>
        <w:rPr>
          <w:sz w:val="20"/>
          <w:szCs w:val="20"/>
          <w:color w:val="auto"/>
        </w:rPr>
      </w:pPr>
      <w:r>
        <w:rPr>
          <w:rFonts w:ascii="Arial" w:cs="Arial" w:eastAsia="Arial" w:hAnsi="Arial"/>
          <w:sz w:val="17"/>
          <w:szCs w:val="17"/>
          <w:color w:val="auto"/>
        </w:rPr>
        <w:t>Revenues for the year ended December 31, 2021, were $118.9 million, an increase of approximately $16.8 million, or 16.5%, compared to revenues of $102.1 million for the year ended December 31, 2020. As a result of the COVID-19 pandemic, many customers, particularly academic research institutions, had been unable to maintain laboratory work resulting in a large number of academic labs were closed during 2020. Revenue improved significantly in 2021 due to academic labs reopening. We believe that academic lab activity was below pre-COVID levels for the majority of 2021, but activity was significantly higher than prior year. Revenue also increased due to improved sales of products from our Preclinical product family associated with improved sales processes, market growth in Asia, and product enhancements released in 2020.</w:t>
      </w:r>
    </w:p>
    <w:p>
      <w:pPr>
        <w:spacing w:after="0" w:line="178"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Gross profit</w:t>
      </w:r>
    </w:p>
    <w:p>
      <w:pPr>
        <w:spacing w:after="0" w:line="225" w:lineRule="exact"/>
        <w:rPr>
          <w:sz w:val="20"/>
          <w:szCs w:val="20"/>
          <w:color w:val="auto"/>
        </w:rPr>
      </w:pPr>
    </w:p>
    <w:p>
      <w:pPr>
        <w:jc w:val="both"/>
        <w:ind w:firstLine="648"/>
        <w:spacing w:after="0" w:line="257" w:lineRule="auto"/>
        <w:rPr>
          <w:sz w:val="20"/>
          <w:szCs w:val="20"/>
          <w:color w:val="auto"/>
        </w:rPr>
      </w:pPr>
      <w:r>
        <w:rPr>
          <w:rFonts w:ascii="Arial" w:cs="Arial" w:eastAsia="Arial" w:hAnsi="Arial"/>
          <w:sz w:val="18"/>
          <w:szCs w:val="18"/>
          <w:color w:val="auto"/>
        </w:rPr>
        <w:t>Gross profit increased $9.7 million, or 16.6%, to $67.7 million for the year ended December 31, 2021, compared with $58.0 million for the year ended December 31, 2020, due primarily to the increase in revenue noted. Gross margin improved due to improved product mix and higher volume but was adversely impacted by higher supply chain, logistics and manufacturing labor costs . The global supply chain has experienced significant disruptions during 2021 due to electronic component and labor shortages and other macroeconomic factors, leading to the increased cost noted. We believe these supply chain trends will continue in 2022.</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Sales and marketing expenses</w:t>
      </w:r>
    </w:p>
    <w:p>
      <w:pPr>
        <w:spacing w:after="0" w:line="225"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Sales and marketing expenses increased $4.7 million, or 23.7%, to $24.6 million for the year ended December 31, 2021, compared to $19.9 million during the same period in 2020. The increase was primarily due to investments in new marketing and sales support personnel and related costs as more of our employees returned from part-time to full-time status and higher variable sales costs associated with the increase in sales as compared to the prior period.</w:t>
      </w:r>
    </w:p>
    <w:p>
      <w:pPr>
        <w:spacing w:after="0" w:line="18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General and administrative expenses</w:t>
      </w:r>
    </w:p>
    <w:p>
      <w:pPr>
        <w:spacing w:after="0" w:line="225"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General and administrative expenses were $24.3 million for the year ended December 31, 2021, an increase of $0.8 million, or 3.4%, compared with $23.5 million for the year ended December 31, 2020. The increase was due to higher compensation costs as our employees returned from part-time to full-time status and higher stock-based compensation costs which were partially offset by lower restructuring and related initiative costs as compared to the prior period.</w:t>
      </w:r>
    </w:p>
    <w:p>
      <w:pPr>
        <w:spacing w:after="0" w:line="18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Research and development expenses</w:t>
      </w:r>
    </w:p>
    <w:p>
      <w:pPr>
        <w:spacing w:after="0" w:line="225" w:lineRule="exact"/>
        <w:rPr>
          <w:sz w:val="20"/>
          <w:szCs w:val="20"/>
          <w:color w:val="auto"/>
        </w:rPr>
      </w:pPr>
    </w:p>
    <w:p>
      <w:pPr>
        <w:jc w:val="both"/>
        <w:ind w:firstLine="648"/>
        <w:spacing w:after="0" w:line="263" w:lineRule="auto"/>
        <w:rPr>
          <w:sz w:val="20"/>
          <w:szCs w:val="20"/>
          <w:color w:val="auto"/>
        </w:rPr>
      </w:pPr>
      <w:r>
        <w:rPr>
          <w:rFonts w:ascii="Arial" w:cs="Arial" w:eastAsia="Arial" w:hAnsi="Arial"/>
          <w:sz w:val="18"/>
          <w:szCs w:val="18"/>
          <w:color w:val="auto"/>
        </w:rPr>
        <w:t>Research and development expenses were $10.8 million for the year ended December 31, 2021, an increase of $2.1 million, or 24.3%, compared with $8.7 million for the year ended December 31, 2020. The increase was due to higher compensation costs as our employees returned from part-time to full-time status and increased project related costs aligned with our organic growth initiatives noted.</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Amortization of intangible assets</w:t>
      </w:r>
    </w:p>
    <w:p>
      <w:pPr>
        <w:spacing w:after="0" w:line="225"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Amortization of intangible asset expenses was $5.8 million for the year ended December 31, 2021, compared to $5.7 million for the year ended December 31, 2020.</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Interest expense</w:t>
      </w:r>
    </w:p>
    <w:p>
      <w:pPr>
        <w:spacing w:after="0" w:line="225" w:lineRule="exact"/>
        <w:rPr>
          <w:sz w:val="20"/>
          <w:szCs w:val="20"/>
          <w:color w:val="auto"/>
        </w:rPr>
      </w:pPr>
    </w:p>
    <w:p>
      <w:pPr>
        <w:jc w:val="both"/>
        <w:ind w:firstLine="648"/>
        <w:spacing w:after="0" w:line="263" w:lineRule="auto"/>
        <w:rPr>
          <w:sz w:val="20"/>
          <w:szCs w:val="20"/>
          <w:color w:val="auto"/>
        </w:rPr>
      </w:pPr>
      <w:r>
        <w:rPr>
          <w:rFonts w:ascii="Arial" w:cs="Arial" w:eastAsia="Arial" w:hAnsi="Arial"/>
          <w:sz w:val="18"/>
          <w:szCs w:val="18"/>
          <w:color w:val="auto"/>
        </w:rPr>
        <w:t>Interest expense was $1.5 million for the year ended December 31, 2021, a decrease of $3.3 million, or 68.1%, compared with $4.8 million for the year ended December 31, 2020. The decrease was primarily due to lower interest rates under our new Credit Agreement entered into on December 22, 2020.</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Debt extinguishment and related costs</w:t>
      </w:r>
    </w:p>
    <w:p>
      <w:pPr>
        <w:spacing w:after="0" w:line="225" w:lineRule="exact"/>
        <w:rPr>
          <w:sz w:val="20"/>
          <w:szCs w:val="20"/>
          <w:color w:val="auto"/>
        </w:rPr>
      </w:pPr>
    </w:p>
    <w:p>
      <w:pPr>
        <w:jc w:val="both"/>
        <w:ind w:firstLine="648"/>
        <w:spacing w:after="0" w:line="263" w:lineRule="auto"/>
        <w:rPr>
          <w:sz w:val="20"/>
          <w:szCs w:val="20"/>
          <w:color w:val="auto"/>
        </w:rPr>
      </w:pPr>
      <w:r>
        <w:rPr>
          <w:rFonts w:ascii="Arial" w:cs="Arial" w:eastAsia="Arial" w:hAnsi="Arial"/>
          <w:sz w:val="18"/>
          <w:szCs w:val="18"/>
          <w:color w:val="auto"/>
        </w:rPr>
        <w:t>On December 22, 2020, we entered into the Credit Agreement which replaced our prior credit facility. In connection with our entry into the Credit Agreement, we paid $0.6 million in debt extinguishment costs, wrote off $0.8 million of unamortized debt issuance costs, and paid $0.5 million to terminate our interest rate swap agreements.</w:t>
      </w:r>
    </w:p>
    <w:p>
      <w:pPr>
        <w:spacing w:after="0" w:line="40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22" w:name="page23"/>
    <w:bookmarkEnd w:id="22"/>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Income tax expense</w:t>
      </w:r>
    </w:p>
    <w:p>
      <w:pPr>
        <w:spacing w:after="0" w:line="225" w:lineRule="exact"/>
        <w:rPr>
          <w:sz w:val="20"/>
          <w:szCs w:val="20"/>
          <w:color w:val="auto"/>
        </w:rPr>
      </w:pPr>
    </w:p>
    <w:p>
      <w:pPr>
        <w:jc w:val="both"/>
        <w:ind w:firstLine="648"/>
        <w:spacing w:after="0" w:line="257" w:lineRule="auto"/>
        <w:rPr>
          <w:sz w:val="20"/>
          <w:szCs w:val="20"/>
          <w:color w:val="auto"/>
        </w:rPr>
      </w:pPr>
      <w:r>
        <w:rPr>
          <w:rFonts w:ascii="Arial" w:cs="Arial" w:eastAsia="Arial" w:hAnsi="Arial"/>
          <w:sz w:val="18"/>
          <w:szCs w:val="18"/>
          <w:color w:val="auto"/>
        </w:rPr>
        <w:t>Income tax expense for the year ended December 31, 2021 and 2020 was $0.1 million and $0.5 million, respectively. The effective tax rates for the year ended December 31, 2021 and 2020 were (106)% and (7)%, respectively. The difference between our effective tax rates in 2021 and 2020 compared to the U.S. statutory tax rate of 21% is primarily due to changes in valuation allowances associated with our assessment of the likelihood of the recoverability of our deferred tax assets. We currently have valuation allowances against substantially all of our net operating loss carryforwards and tax credit carryforwards.</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Liquidity and Capital Resources</w:t>
      </w:r>
    </w:p>
    <w:p>
      <w:pPr>
        <w:spacing w:after="0" w:line="229" w:lineRule="exact"/>
        <w:rPr>
          <w:sz w:val="20"/>
          <w:szCs w:val="20"/>
          <w:color w:val="auto"/>
        </w:rPr>
      </w:pPr>
    </w:p>
    <w:p>
      <w:pPr>
        <w:jc w:val="both"/>
        <w:ind w:firstLine="648"/>
        <w:spacing w:after="0" w:line="263" w:lineRule="auto"/>
        <w:rPr>
          <w:sz w:val="20"/>
          <w:szCs w:val="20"/>
          <w:color w:val="auto"/>
        </w:rPr>
      </w:pPr>
      <w:r>
        <w:rPr>
          <w:rFonts w:ascii="Arial" w:cs="Arial" w:eastAsia="Arial" w:hAnsi="Arial"/>
          <w:sz w:val="18"/>
          <w:szCs w:val="18"/>
          <w:color w:val="auto"/>
        </w:rPr>
        <w:t>Our primary sources of liquidity are cash and cash equivalents, internally generated cash flow from operations and our revolving credit facility. Our expected cash outlays relate primarily to cash payments due under our Credit Agreement described below as well as capital expenditures, severance and other payments associated with ongoing restructuring and cost reduction initiatives.</w:t>
      </w:r>
    </w:p>
    <w:p>
      <w:pPr>
        <w:spacing w:after="0" w:line="184" w:lineRule="exact"/>
        <w:rPr>
          <w:sz w:val="20"/>
          <w:szCs w:val="20"/>
          <w:color w:val="auto"/>
        </w:rPr>
      </w:pPr>
    </w:p>
    <w:p>
      <w:pPr>
        <w:jc w:val="both"/>
        <w:ind w:firstLine="648"/>
        <w:spacing w:after="0" w:line="263" w:lineRule="auto"/>
        <w:rPr>
          <w:sz w:val="20"/>
          <w:szCs w:val="20"/>
          <w:color w:val="auto"/>
        </w:rPr>
      </w:pPr>
      <w:r>
        <w:rPr>
          <w:rFonts w:ascii="Arial" w:cs="Arial" w:eastAsia="Arial" w:hAnsi="Arial"/>
          <w:sz w:val="18"/>
          <w:szCs w:val="18"/>
          <w:color w:val="auto"/>
        </w:rPr>
        <w:t>On December 22, 2020, we entered into the Credit Agreement that provides for a term loan of $40.0 million and a $25.0 million senior revolving credit facility (including a $10.0 million sub-facility for the issuance of letters of credit and a $10.0 million swingline loan sub-facility). Our borrowings under the Credit Agreement mature on December 22, 2025.</w:t>
      </w:r>
    </w:p>
    <w:p>
      <w:pPr>
        <w:spacing w:after="0" w:line="184" w:lineRule="exact"/>
        <w:rPr>
          <w:sz w:val="20"/>
          <w:szCs w:val="20"/>
          <w:color w:val="auto"/>
        </w:rPr>
      </w:pPr>
    </w:p>
    <w:p>
      <w:pPr>
        <w:jc w:val="both"/>
        <w:ind w:firstLine="648"/>
        <w:spacing w:after="0" w:line="263" w:lineRule="auto"/>
        <w:rPr>
          <w:sz w:val="20"/>
          <w:szCs w:val="20"/>
          <w:color w:val="auto"/>
        </w:rPr>
      </w:pPr>
      <w:r>
        <w:rPr>
          <w:rFonts w:ascii="Arial" w:cs="Arial" w:eastAsia="Arial" w:hAnsi="Arial"/>
          <w:sz w:val="18"/>
          <w:szCs w:val="18"/>
          <w:color w:val="auto"/>
        </w:rPr>
        <w:t>The Credit Agreement replaced the prior credit facility which consisted of a revolving credit facility and a term loan and was scheduled to expire on January 31, 2023. In connection with entering into the Credit Agreement, we paid off the prior credit facility with borrowings under the Credit Agreement and incurred $1.9 million in fees and expenses.</w:t>
      </w:r>
    </w:p>
    <w:p>
      <w:pPr>
        <w:spacing w:after="0" w:line="184"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As of December 31, 2021, we held cash and cash equivalents of $7.8 million, compared with $8.3 million at December 31, 2020. Borrowings outstanding was $49.4 million as of both December 31, 2021 and December 31, 2020. Total debt, net of cash and cash equivalents, was $41.6 million at December 31, 2021, compared to $41.1 million at December 31, 2020. As of December 31, 2021 and December 31, 2020, cash held by our foreign subsidiaries was $2.8 million and $2.5 million.</w:t>
      </w:r>
    </w:p>
    <w:p>
      <w:pPr>
        <w:spacing w:after="0" w:line="183" w:lineRule="exact"/>
        <w:rPr>
          <w:sz w:val="20"/>
          <w:szCs w:val="20"/>
          <w:color w:val="auto"/>
        </w:rPr>
      </w:pPr>
    </w:p>
    <w:p>
      <w:pPr>
        <w:jc w:val="center"/>
        <w:ind w:right="-159"/>
        <w:spacing w:after="0"/>
        <w:rPr>
          <w:sz w:val="20"/>
          <w:szCs w:val="20"/>
          <w:color w:val="auto"/>
        </w:rPr>
      </w:pPr>
      <w:r>
        <w:rPr>
          <w:rFonts w:ascii="Arial" w:cs="Arial" w:eastAsia="Arial" w:hAnsi="Arial"/>
          <w:sz w:val="18"/>
          <w:szCs w:val="18"/>
          <w:b w:val="1"/>
          <w:bCs w:val="1"/>
          <w:color w:val="auto"/>
        </w:rPr>
        <w:t>Condensed Consolidated Cash Flow Statements</w:t>
      </w:r>
    </w:p>
    <w:p>
      <w:pPr>
        <w:sectPr>
          <w:pgSz w:w="11900" w:h="16838" w:orient="portrait"/>
          <w:cols w:equalWidth="0" w:num="1">
            <w:col w:w="11240"/>
          </w:cols>
          <w:pgMar w:left="320" w:top="125" w:right="339" w:bottom="1440" w:gutter="0" w:footer="0" w:header="0"/>
        </w:sectPr>
      </w:pPr>
    </w:p>
    <w:p>
      <w:pPr>
        <w:spacing w:after="0" w:line="200" w:lineRule="exact"/>
        <w:rPr>
          <w:sz w:val="20"/>
          <w:szCs w:val="20"/>
          <w:color w:val="auto"/>
        </w:rPr>
      </w:pPr>
    </w:p>
    <w:p>
      <w:pPr>
        <w:spacing w:after="0" w:line="272" w:lineRule="exact"/>
        <w:rPr>
          <w:sz w:val="20"/>
          <w:szCs w:val="20"/>
          <w:color w:val="auto"/>
        </w:rPr>
      </w:pPr>
    </w:p>
    <w:p>
      <w:pPr>
        <w:ind w:left="660"/>
        <w:spacing w:after="0"/>
        <w:rPr>
          <w:sz w:val="20"/>
          <w:szCs w:val="20"/>
          <w:color w:val="auto"/>
        </w:rPr>
      </w:pPr>
      <w:r>
        <w:rPr>
          <w:rFonts w:ascii="Arial" w:cs="Arial" w:eastAsia="Arial" w:hAnsi="Arial"/>
          <w:sz w:val="18"/>
          <w:szCs w:val="18"/>
          <w:color w:val="auto"/>
        </w:rPr>
        <w:t>(in thousands)</w:t>
      </w:r>
    </w:p>
    <w:p>
      <w:pPr>
        <w:spacing w:after="0" w:line="23" w:lineRule="exact"/>
        <w:rPr>
          <w:sz w:val="20"/>
          <w:szCs w:val="20"/>
          <w:color w:val="auto"/>
        </w:rPr>
      </w:pPr>
    </w:p>
    <w:p>
      <w:pPr>
        <w:ind w:left="660"/>
        <w:spacing w:after="0"/>
        <w:rPr>
          <w:sz w:val="20"/>
          <w:szCs w:val="20"/>
          <w:color w:val="auto"/>
        </w:rPr>
      </w:pPr>
      <w:r>
        <w:rPr>
          <w:rFonts w:ascii="Arial" w:cs="Arial" w:eastAsia="Arial" w:hAnsi="Arial"/>
          <w:sz w:val="17"/>
          <w:szCs w:val="17"/>
          <w:color w:val="auto"/>
        </w:rPr>
        <w:t>Cash provided by operating activities</w:t>
      </w:r>
    </w:p>
    <w:p>
      <w:pPr>
        <w:spacing w:after="0" w:line="21" w:lineRule="exact"/>
        <w:rPr>
          <w:sz w:val="20"/>
          <w:szCs w:val="20"/>
          <w:color w:val="auto"/>
        </w:rPr>
      </w:pPr>
    </w:p>
    <w:p>
      <w:pPr>
        <w:ind w:left="660"/>
        <w:spacing w:after="0"/>
        <w:rPr>
          <w:sz w:val="20"/>
          <w:szCs w:val="20"/>
          <w:color w:val="auto"/>
        </w:rPr>
      </w:pPr>
      <w:r>
        <w:rPr>
          <w:rFonts w:ascii="Arial" w:cs="Arial" w:eastAsia="Arial" w:hAnsi="Arial"/>
          <w:sz w:val="18"/>
          <w:szCs w:val="18"/>
          <w:color w:val="auto"/>
        </w:rPr>
        <w:t>Cash used in investing activities</w:t>
      </w:r>
    </w:p>
    <w:p>
      <w:pPr>
        <w:spacing w:after="0" w:line="9" w:lineRule="exact"/>
        <w:rPr>
          <w:sz w:val="20"/>
          <w:szCs w:val="20"/>
          <w:color w:val="auto"/>
        </w:rPr>
      </w:pPr>
    </w:p>
    <w:p>
      <w:pPr>
        <w:ind w:left="660"/>
        <w:spacing w:after="0"/>
        <w:rPr>
          <w:sz w:val="20"/>
          <w:szCs w:val="20"/>
          <w:color w:val="auto"/>
        </w:rPr>
      </w:pPr>
      <w:r>
        <w:rPr>
          <w:rFonts w:ascii="Arial" w:cs="Arial" w:eastAsia="Arial" w:hAnsi="Arial"/>
          <w:sz w:val="18"/>
          <w:szCs w:val="18"/>
          <w:color w:val="auto"/>
        </w:rPr>
        <w:t>Cash used in financing activities</w:t>
      </w:r>
    </w:p>
    <w:p>
      <w:pPr>
        <w:spacing w:after="0" w:line="9" w:lineRule="exact"/>
        <w:rPr>
          <w:sz w:val="20"/>
          <w:szCs w:val="20"/>
          <w:color w:val="auto"/>
        </w:rPr>
      </w:pPr>
    </w:p>
    <w:p>
      <w:pPr>
        <w:ind w:left="660"/>
        <w:spacing w:after="0"/>
        <w:rPr>
          <w:sz w:val="20"/>
          <w:szCs w:val="20"/>
          <w:color w:val="auto"/>
        </w:rPr>
      </w:pPr>
      <w:r>
        <w:rPr>
          <w:rFonts w:ascii="Arial" w:cs="Arial" w:eastAsia="Arial" w:hAnsi="Arial"/>
          <w:sz w:val="15"/>
          <w:szCs w:val="15"/>
          <w:color w:val="auto"/>
        </w:rPr>
        <w:t>Effect of exchange rate changes on cash</w:t>
      </w:r>
    </w:p>
    <w:p>
      <w:pPr>
        <w:spacing w:after="0" w:line="83" w:lineRule="exact"/>
        <w:rPr>
          <w:sz w:val="20"/>
          <w:szCs w:val="20"/>
          <w:color w:val="auto"/>
        </w:rPr>
      </w:pPr>
    </w:p>
    <w:p>
      <w:pPr>
        <w:ind w:left="660"/>
        <w:spacing w:after="0"/>
        <w:rPr>
          <w:sz w:val="20"/>
          <w:szCs w:val="20"/>
          <w:color w:val="auto"/>
        </w:rPr>
      </w:pPr>
      <w:r>
        <w:rPr>
          <w:rFonts w:ascii="Arial" w:cs="Arial" w:eastAsia="Arial" w:hAnsi="Arial"/>
          <w:sz w:val="16"/>
          <w:szCs w:val="16"/>
          <w:color w:val="auto"/>
        </w:rPr>
        <w:t>Decrease in cash and cash equivalents</w:t>
      </w:r>
    </w:p>
    <w:p>
      <w:pPr>
        <w:spacing w:after="0" w:line="20" w:lineRule="exact"/>
        <w:rPr>
          <w:sz w:val="20"/>
          <w:szCs w:val="20"/>
          <w:color w:val="auto"/>
        </w:rPr>
      </w:pPr>
      <w:r>
        <w:rPr>
          <w:sz w:val="20"/>
          <w:szCs w:val="20"/>
          <w:color w:val="auto"/>
        </w:rPr>
        <w:br w:type="column"/>
      </w:r>
    </w:p>
    <w:p>
      <w:pPr>
        <w:spacing w:after="0" w:line="205" w:lineRule="exact"/>
        <w:rPr>
          <w:sz w:val="20"/>
          <w:szCs w:val="20"/>
          <w:color w:val="auto"/>
        </w:rPr>
      </w:pPr>
    </w:p>
    <w:p>
      <w:pPr>
        <w:ind w:left="600"/>
        <w:spacing w:after="0"/>
        <w:rPr>
          <w:sz w:val="20"/>
          <w:szCs w:val="20"/>
          <w:color w:val="auto"/>
        </w:rPr>
      </w:pPr>
      <w:r>
        <w:rPr>
          <w:rFonts w:ascii="Arial" w:cs="Arial" w:eastAsia="Arial" w:hAnsi="Arial"/>
          <w:sz w:val="18"/>
          <w:szCs w:val="18"/>
          <w:b w:val="1"/>
          <w:bCs w:val="1"/>
          <w:color w:val="auto"/>
        </w:rPr>
        <w:t>Year Ended December 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17145</wp:posOffset>
            </wp:positionV>
            <wp:extent cx="2108835" cy="825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2108835" cy="8255"/>
                    </a:xfrm>
                    <a:prstGeom prst="rect">
                      <a:avLst/>
                    </a:prstGeom>
                    <a:noFill/>
                  </pic:spPr>
                </pic:pic>
              </a:graphicData>
            </a:graphic>
          </wp:anchor>
        </w:drawing>
      </w:r>
    </w:p>
    <w:p>
      <w:pPr>
        <w:spacing w:after="0" w:line="7" w:lineRule="exact"/>
        <w:rPr>
          <w:sz w:val="20"/>
          <w:szCs w:val="20"/>
          <w:color w:val="auto"/>
        </w:rPr>
      </w:pPr>
    </w:p>
    <w:p>
      <w:pPr>
        <w:ind w:left="580"/>
        <w:spacing w:after="0"/>
        <w:tabs>
          <w:tab w:leader="none" w:pos="2280" w:val="left"/>
        </w:tabs>
        <w:rPr>
          <w:sz w:val="20"/>
          <w:szCs w:val="20"/>
          <w:color w:val="auto"/>
        </w:rPr>
      </w:pPr>
      <w:r>
        <w:rPr>
          <w:rFonts w:ascii="Arial" w:cs="Arial" w:eastAsia="Arial" w:hAnsi="Arial"/>
          <w:sz w:val="18"/>
          <w:szCs w:val="18"/>
          <w:b w:val="1"/>
          <w:bCs w:val="1"/>
          <w:color w:val="auto"/>
        </w:rPr>
        <w:t>2021</w:t>
      </w:r>
      <w:r>
        <w:rPr>
          <w:sz w:val="20"/>
          <w:szCs w:val="20"/>
          <w:color w:val="auto"/>
        </w:rPr>
        <w:tab/>
      </w:r>
      <w:r>
        <w:rPr>
          <w:rFonts w:ascii="Arial" w:cs="Arial" w:eastAsia="Arial" w:hAnsi="Arial"/>
          <w:sz w:val="18"/>
          <w:szCs w:val="18"/>
          <w:b w:val="1"/>
          <w:bCs w:val="1"/>
          <w:color w:val="auto"/>
        </w:rPr>
        <w:t>2020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-4307205</wp:posOffset>
            </wp:positionH>
            <wp:positionV relativeFrom="paragraph">
              <wp:posOffset>22860</wp:posOffset>
            </wp:positionV>
            <wp:extent cx="6412230" cy="137160"/>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6412230" cy="137160"/>
                    </a:xfrm>
                    <a:prstGeom prst="rect">
                      <a:avLst/>
                    </a:prstGeom>
                    <a:noFill/>
                  </pic:spPr>
                </pic:pic>
              </a:graphicData>
            </a:graphic>
          </wp:anchor>
        </w:drawing>
      </w:r>
    </w:p>
    <w:p>
      <w:pPr>
        <w:spacing w:after="0" w:line="3" w:lineRule="exact"/>
        <w:rPr>
          <w:sz w:val="20"/>
          <w:szCs w:val="20"/>
          <w:color w:val="auto"/>
        </w:rPr>
      </w:pPr>
    </w:p>
    <w:tbl>
      <w:tblPr>
        <w:tblLayout w:type="fixed"/>
        <w:tblInd w:w="0" w:type="dxa"/>
        <w:tblCellMar>
          <w:top w:w="0" w:type="dxa"/>
          <w:left w:w="0" w:type="dxa"/>
          <w:bottom w:w="0" w:type="dxa"/>
          <w:right w:w="0" w:type="dxa"/>
        </w:tblCellMar>
      </w:tblPr>
      <w:tr>
        <w:trPr>
          <w:trHeight w:val="195"/>
        </w:trPr>
        <w:tc>
          <w:tcPr>
            <w:tcW w:w="560" w:type="dxa"/>
            <w:vAlign w:val="bottom"/>
            <w:tcBorders>
              <w:top w:val="single" w:sz="8" w:color="auto"/>
            </w:tcBorders>
          </w:tcPr>
          <w:p>
            <w:pPr>
              <w:jc w:val="right"/>
              <w:ind w:right="407"/>
              <w:spacing w:after="0"/>
              <w:rPr>
                <w:sz w:val="20"/>
                <w:szCs w:val="20"/>
                <w:color w:val="auto"/>
              </w:rPr>
            </w:pPr>
            <w:r>
              <w:rPr>
                <w:rFonts w:ascii="Arial" w:cs="Arial" w:eastAsia="Arial" w:hAnsi="Arial"/>
                <w:sz w:val="15"/>
                <w:szCs w:val="15"/>
                <w:color w:val="auto"/>
                <w:w w:val="71"/>
              </w:rPr>
              <w:t>$</w:t>
            </w:r>
          </w:p>
        </w:tc>
        <w:tc>
          <w:tcPr>
            <w:tcW w:w="1060" w:type="dxa"/>
            <w:vAlign w:val="bottom"/>
            <w:tcBorders>
              <w:top w:val="single" w:sz="8" w:color="auto"/>
            </w:tcBorders>
          </w:tcPr>
          <w:p>
            <w:pPr>
              <w:jc w:val="right"/>
              <w:ind w:right="10"/>
              <w:spacing w:after="0" w:line="195" w:lineRule="exact"/>
              <w:rPr>
                <w:sz w:val="20"/>
                <w:szCs w:val="20"/>
                <w:color w:val="auto"/>
              </w:rPr>
            </w:pPr>
            <w:r>
              <w:rPr>
                <w:rFonts w:ascii="Arial" w:cs="Arial" w:eastAsia="Arial" w:hAnsi="Arial"/>
                <w:sz w:val="18"/>
                <w:szCs w:val="18"/>
                <w:color w:val="auto"/>
              </w:rPr>
              <w:t>1,262</w:t>
            </w:r>
          </w:p>
        </w:tc>
        <w:tc>
          <w:tcPr>
            <w:tcW w:w="100" w:type="dxa"/>
            <w:vAlign w:val="bottom"/>
          </w:tcPr>
          <w:p>
            <w:pPr>
              <w:spacing w:after="0"/>
              <w:rPr>
                <w:sz w:val="16"/>
                <w:szCs w:val="16"/>
                <w:color w:val="auto"/>
              </w:rPr>
            </w:pPr>
          </w:p>
        </w:tc>
        <w:tc>
          <w:tcPr>
            <w:tcW w:w="560" w:type="dxa"/>
            <w:vAlign w:val="bottom"/>
            <w:tcBorders>
              <w:top w:val="single" w:sz="8" w:color="auto"/>
            </w:tcBorders>
          </w:tcPr>
          <w:p>
            <w:pPr>
              <w:jc w:val="right"/>
              <w:ind w:right="370"/>
              <w:spacing w:after="0" w:line="195" w:lineRule="exact"/>
              <w:rPr>
                <w:sz w:val="20"/>
                <w:szCs w:val="20"/>
                <w:color w:val="auto"/>
              </w:rPr>
            </w:pPr>
            <w:r>
              <w:rPr>
                <w:rFonts w:ascii="Arial" w:cs="Arial" w:eastAsia="Arial" w:hAnsi="Arial"/>
                <w:sz w:val="18"/>
                <w:szCs w:val="18"/>
                <w:color w:val="auto"/>
                <w:w w:val="79"/>
              </w:rPr>
              <w:t>$</w:t>
            </w:r>
          </w:p>
        </w:tc>
        <w:tc>
          <w:tcPr>
            <w:tcW w:w="1040" w:type="dxa"/>
            <w:vAlign w:val="bottom"/>
            <w:tcBorders>
              <w:top w:val="single" w:sz="8" w:color="auto"/>
            </w:tcBorders>
          </w:tcPr>
          <w:p>
            <w:pPr>
              <w:jc w:val="right"/>
              <w:ind w:right="10"/>
              <w:spacing w:after="0" w:line="195" w:lineRule="exact"/>
              <w:rPr>
                <w:sz w:val="20"/>
                <w:szCs w:val="20"/>
                <w:color w:val="auto"/>
              </w:rPr>
            </w:pPr>
            <w:r>
              <w:rPr>
                <w:rFonts w:ascii="Arial" w:cs="Arial" w:eastAsia="Arial" w:hAnsi="Arial"/>
                <w:sz w:val="18"/>
                <w:szCs w:val="18"/>
                <w:color w:val="auto"/>
              </w:rPr>
              <w:t>9,331</w:t>
            </w:r>
          </w:p>
        </w:tc>
      </w:tr>
      <w:tr>
        <w:trPr>
          <w:trHeight w:val="216"/>
        </w:trPr>
        <w:tc>
          <w:tcPr>
            <w:tcW w:w="56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(1,345)</w:t>
            </w:r>
          </w:p>
        </w:tc>
        <w:tc>
          <w:tcPr>
            <w:tcW w:w="10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(1,402)</w:t>
            </w:r>
          </w:p>
        </w:tc>
      </w:tr>
      <w:tr>
        <w:trPr>
          <w:trHeight w:val="216"/>
        </w:trPr>
        <w:tc>
          <w:tcPr>
            <w:tcW w:w="56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(252)</w:t>
            </w:r>
          </w:p>
        </w:tc>
        <w:tc>
          <w:tcPr>
            <w:tcW w:w="10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(7,967)</w:t>
            </w:r>
          </w:p>
        </w:tc>
      </w:tr>
      <w:tr>
        <w:trPr>
          <w:trHeight w:val="230"/>
        </w:trPr>
        <w:tc>
          <w:tcPr>
            <w:tcW w:w="560" w:type="dxa"/>
            <w:vAlign w:val="bottom"/>
            <w:tcBorders>
              <w:bottom w:val="single" w:sz="8" w:color="auto"/>
            </w:tcBorders>
          </w:tcPr>
          <w:p>
            <w:pPr>
              <w:spacing w:after="0"/>
              <w:rPr>
                <w:sz w:val="20"/>
                <w:szCs w:val="20"/>
                <w:color w:val="auto"/>
              </w:rPr>
            </w:pP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(161)</w:t>
            </w:r>
          </w:p>
        </w:tc>
        <w:tc>
          <w:tcPr>
            <w:tcW w:w="100" w:type="dxa"/>
            <w:vAlign w:val="bottom"/>
          </w:tcPr>
          <w:p>
            <w:pPr>
              <w:spacing w:after="0"/>
              <w:rPr>
                <w:sz w:val="20"/>
                <w:szCs w:val="20"/>
                <w:color w:val="auto"/>
              </w:rPr>
            </w:pPr>
          </w:p>
        </w:tc>
        <w:tc>
          <w:tcPr>
            <w:tcW w:w="560" w:type="dxa"/>
            <w:vAlign w:val="bottom"/>
            <w:tcBorders>
              <w:bottom w:val="single" w:sz="8" w:color="auto"/>
            </w:tcBorders>
          </w:tcPr>
          <w:p>
            <w:pPr>
              <w:spacing w:after="0"/>
              <w:rPr>
                <w:sz w:val="20"/>
                <w:szCs w:val="20"/>
                <w:color w:val="auto"/>
              </w:rPr>
            </w:pPr>
          </w:p>
        </w:tc>
        <w:tc>
          <w:tcPr>
            <w:tcW w:w="104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20</w:t>
            </w:r>
          </w:p>
        </w:tc>
      </w:tr>
      <w:tr>
        <w:trPr>
          <w:trHeight w:val="209"/>
        </w:trPr>
        <w:tc>
          <w:tcPr>
            <w:tcW w:w="560" w:type="dxa"/>
            <w:vAlign w:val="bottom"/>
            <w:tcBorders>
              <w:bottom w:val="single" w:sz="8" w:color="auto"/>
            </w:tcBorders>
          </w:tcPr>
          <w:p>
            <w:pPr>
              <w:jc w:val="right"/>
              <w:ind w:right="407"/>
              <w:spacing w:after="0"/>
              <w:rPr>
                <w:sz w:val="20"/>
                <w:szCs w:val="20"/>
                <w:color w:val="auto"/>
              </w:rPr>
            </w:pPr>
            <w:r>
              <w:rPr>
                <w:rFonts w:ascii="Arial" w:cs="Arial" w:eastAsia="Arial" w:hAnsi="Arial"/>
                <w:sz w:val="15"/>
                <w:szCs w:val="15"/>
                <w:color w:val="auto"/>
                <w:w w:val="71"/>
              </w:rPr>
              <w:t>$</w:t>
            </w: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(496)</w:t>
            </w:r>
          </w:p>
        </w:tc>
        <w:tc>
          <w:tcPr>
            <w:tcW w:w="100" w:type="dxa"/>
            <w:vAlign w:val="bottom"/>
          </w:tcPr>
          <w:p>
            <w:pPr>
              <w:spacing w:after="0"/>
              <w:rPr>
                <w:sz w:val="18"/>
                <w:szCs w:val="18"/>
                <w:color w:val="auto"/>
              </w:rPr>
            </w:pPr>
          </w:p>
        </w:tc>
        <w:tc>
          <w:tcPr>
            <w:tcW w:w="560" w:type="dxa"/>
            <w:vAlign w:val="bottom"/>
            <w:tcBorders>
              <w:bottom w:val="single" w:sz="8" w:color="auto"/>
            </w:tcBorders>
          </w:tcPr>
          <w:p>
            <w:pPr>
              <w:jc w:val="right"/>
              <w:ind w:right="370"/>
              <w:spacing w:after="0"/>
              <w:rPr>
                <w:sz w:val="20"/>
                <w:szCs w:val="20"/>
                <w:color w:val="auto"/>
              </w:rPr>
            </w:pPr>
            <w:r>
              <w:rPr>
                <w:rFonts w:ascii="Arial" w:cs="Arial" w:eastAsia="Arial" w:hAnsi="Arial"/>
                <w:sz w:val="18"/>
                <w:szCs w:val="18"/>
                <w:color w:val="auto"/>
                <w:w w:val="79"/>
              </w:rPr>
              <w:t>$</w:t>
            </w: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(18)</w:t>
            </w:r>
          </w:p>
        </w:tc>
      </w:tr>
      <w:tr>
        <w:trPr>
          <w:trHeight w:val="20"/>
        </w:trPr>
        <w:tc>
          <w:tcPr>
            <w:tcW w:w="56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-4307205</wp:posOffset>
            </wp:positionH>
            <wp:positionV relativeFrom="paragraph">
              <wp:posOffset>-445135</wp:posOffset>
            </wp:positionV>
            <wp:extent cx="6412230" cy="137160"/>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6412230" cy="137160"/>
                    </a:xfrm>
                    <a:prstGeom prst="rect">
                      <a:avLst/>
                    </a:prstGeom>
                    <a:noFill/>
                  </pic:spPr>
                </pic:pic>
              </a:graphicData>
            </a:graphic>
          </wp:anchor>
        </w:drawing>
        <w:drawing>
          <wp:anchor simplePos="0" relativeHeight="251657728" behindDoc="1" locked="0" layoutInCell="0" allowOverlap="1">
            <wp:simplePos x="0" y="0"/>
            <wp:positionH relativeFrom="column">
              <wp:posOffset>-4307205</wp:posOffset>
            </wp:positionH>
            <wp:positionV relativeFrom="paragraph">
              <wp:posOffset>-162560</wp:posOffset>
            </wp:positionV>
            <wp:extent cx="6412230" cy="16319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6412230" cy="163195"/>
                    </a:xfrm>
                    <a:prstGeom prst="rect">
                      <a:avLst/>
                    </a:prstGeom>
                    <a:noFill/>
                  </pic:spPr>
                </pic:pic>
              </a:graphicData>
            </a:graphic>
          </wp:anchor>
        </w:drawing>
      </w:r>
    </w:p>
    <w:p>
      <w:pPr>
        <w:spacing w:after="0" w:line="200" w:lineRule="exact"/>
        <w:rPr>
          <w:sz w:val="20"/>
          <w:szCs w:val="20"/>
          <w:color w:val="auto"/>
        </w:rPr>
      </w:pPr>
    </w:p>
    <w:p>
      <w:pPr>
        <w:sectPr>
          <w:pgSz w:w="11900" w:h="16838" w:orient="portrait"/>
          <w:cols w:equalWidth="0" w:num="2">
            <w:col w:w="6720" w:space="720"/>
            <w:col w:w="3800"/>
          </w:cols>
          <w:pgMar w:left="320" w:top="125" w:right="339" w:bottom="1440" w:gutter="0" w:footer="0" w:header="0"/>
          <w:type w:val="continuous"/>
        </w:sectPr>
      </w:pPr>
    </w:p>
    <w:p>
      <w:pPr>
        <w:spacing w:after="0" w:line="2" w:lineRule="exact"/>
        <w:rPr>
          <w:sz w:val="20"/>
          <w:szCs w:val="20"/>
          <w:color w:val="auto"/>
        </w:rPr>
      </w:pPr>
    </w:p>
    <w:p>
      <w:pPr>
        <w:jc w:val="both"/>
        <w:ind w:firstLine="648"/>
        <w:spacing w:after="0" w:line="273" w:lineRule="auto"/>
        <w:rPr>
          <w:sz w:val="20"/>
          <w:szCs w:val="20"/>
          <w:color w:val="auto"/>
        </w:rPr>
      </w:pPr>
      <w:r>
        <w:rPr>
          <w:rFonts w:ascii="Arial" w:cs="Arial" w:eastAsia="Arial" w:hAnsi="Arial"/>
          <w:sz w:val="17"/>
          <w:szCs w:val="17"/>
          <w:color w:val="auto"/>
        </w:rPr>
        <w:t>Cash provided by operations was $1.3 million and $9.3 million for the year ended December 31, 2021 and 2020, respectively. Cash flow from operations for year ended December 31, 2021, was lower than the prior year period due to higher levels of working capital. During 2021 we experienced longer supplier lead times due to global supply chain disruptions as well as an overall increase in customer demand and orders. Accordingly, inventory purchasing has increased to ensure continuity of supply for order fulfillment. Also, accounts receivable has increased due to revenue growth. Cash flow from operations for the year ended December 31, 2020, was positively impacted by reductions in working capital due to lower revenue and management efforts to offset the initial significant negative impacts that the COVID-19 pandemic had on revenue.</w:t>
      </w:r>
    </w:p>
    <w:p>
      <w:pPr>
        <w:spacing w:after="0" w:line="178" w:lineRule="exact"/>
        <w:rPr>
          <w:sz w:val="20"/>
          <w:szCs w:val="20"/>
          <w:color w:val="auto"/>
        </w:rPr>
      </w:pPr>
    </w:p>
    <w:p>
      <w:pPr>
        <w:jc w:val="both"/>
        <w:ind w:right="20" w:firstLine="648"/>
        <w:spacing w:after="0" w:line="277" w:lineRule="auto"/>
        <w:rPr>
          <w:sz w:val="20"/>
          <w:szCs w:val="20"/>
          <w:color w:val="auto"/>
        </w:rPr>
      </w:pPr>
      <w:r>
        <w:rPr>
          <w:rFonts w:ascii="Arial" w:cs="Arial" w:eastAsia="Arial" w:hAnsi="Arial"/>
          <w:sz w:val="18"/>
          <w:szCs w:val="18"/>
          <w:color w:val="auto"/>
        </w:rPr>
        <w:t>Cash used in investing activities was $1.3 million and $1.4 million for the years ended December 31, 2021 and 2020, respectively, and consisted primarily of capital expenditures in manufacturing and information technology infrastructure.</w:t>
      </w:r>
    </w:p>
    <w:p>
      <w:pPr>
        <w:spacing w:after="0" w:line="170" w:lineRule="exact"/>
        <w:rPr>
          <w:sz w:val="20"/>
          <w:szCs w:val="20"/>
          <w:color w:val="auto"/>
        </w:rPr>
      </w:pPr>
    </w:p>
    <w:p>
      <w:pPr>
        <w:jc w:val="both"/>
        <w:ind w:firstLine="648"/>
        <w:spacing w:after="0" w:line="311" w:lineRule="auto"/>
        <w:rPr>
          <w:sz w:val="20"/>
          <w:szCs w:val="20"/>
          <w:color w:val="auto"/>
        </w:rPr>
      </w:pPr>
      <w:r>
        <w:rPr>
          <w:rFonts w:ascii="Arial" w:cs="Arial" w:eastAsia="Arial" w:hAnsi="Arial"/>
          <w:sz w:val="16"/>
          <w:szCs w:val="16"/>
          <w:color w:val="auto"/>
        </w:rPr>
        <w:t>Cash used in financing activities was $0.3 million for the year ended December 31, 2021. During this period, we made term loan installments payments under the Credit Agreement of $2.0 million, with net borrowings of $2.0 million under the revolving facility. We also received proceeds of $3.3 million from the exercise of stock options and employee stock purchases and paid $3.5 million for taxes related to net share settlement of equity awards.</w:t>
      </w:r>
    </w:p>
    <w:p>
      <w:pPr>
        <w:spacing w:after="0" w:line="200" w:lineRule="exact"/>
        <w:rPr>
          <w:sz w:val="20"/>
          <w:szCs w:val="20"/>
          <w:color w:val="auto"/>
        </w:rPr>
      </w:pPr>
    </w:p>
    <w:p>
      <w:pPr>
        <w:spacing w:after="0" w:line="38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type w:val="continuous"/>
        </w:sectPr>
      </w:pPr>
    </w:p>
    <w:bookmarkStart w:id="23" w:name="page24"/>
    <w:bookmarkEnd w:id="23"/>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jc w:val="both"/>
        <w:ind w:firstLine="648"/>
        <w:spacing w:after="0" w:line="254" w:lineRule="auto"/>
        <w:rPr>
          <w:sz w:val="20"/>
          <w:szCs w:val="20"/>
          <w:color w:val="auto"/>
        </w:rPr>
      </w:pPr>
      <w:r>
        <w:rPr>
          <w:rFonts w:ascii="Arial" w:cs="Arial" w:eastAsia="Arial" w:hAnsi="Arial"/>
          <w:sz w:val="18"/>
          <w:szCs w:val="18"/>
          <w:color w:val="auto"/>
        </w:rPr>
        <w:t>Cash used in financing activities was $8.0 million for the year ended December 31, 2020. During this period, we made net payments to reduce total debt by $5.6 million. Prior to entering the Credit Agreement, we made payments under the prior credit facility of $11.1 million to reduce term loan borrowings, with net borrowings of $2.8 million under the revolving facility. At the closing of the Credit Agreement, we repaid in full the prior credit facility, which included $43.9 million of term loan borrowings and $2.8 million of outstanding revolver borrowings. Under the Credit Agreement, we borrowed $49.4 million, consisting of a $40.0 million term loan and $9.4 million drawn on the revolving loan. We paid $1.9 million of costs associated with the debt refinancing. We also received proceeds of $0.7 million from the exercise of stock options and employee stock purchases and paid $1.1 million for taxes related to net share settlement of equity awards.</w:t>
      </w:r>
    </w:p>
    <w:p>
      <w:pPr>
        <w:spacing w:after="0" w:line="19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Borrowing</w:t>
      </w:r>
    </w:p>
    <w:p>
      <w:pPr>
        <w:spacing w:after="0" w:line="225" w:lineRule="exact"/>
        <w:rPr>
          <w:sz w:val="20"/>
          <w:szCs w:val="20"/>
          <w:color w:val="auto"/>
        </w:rPr>
      </w:pPr>
    </w:p>
    <w:p>
      <w:pPr>
        <w:jc w:val="both"/>
        <w:ind w:firstLine="648"/>
        <w:spacing w:after="0" w:line="296" w:lineRule="auto"/>
        <w:rPr>
          <w:sz w:val="20"/>
          <w:szCs w:val="20"/>
          <w:color w:val="auto"/>
        </w:rPr>
      </w:pPr>
      <w:r>
        <w:rPr>
          <w:rFonts w:ascii="Arial" w:cs="Arial" w:eastAsia="Arial" w:hAnsi="Arial"/>
          <w:sz w:val="16"/>
          <w:szCs w:val="16"/>
          <w:color w:val="auto"/>
        </w:rPr>
        <w:t>On December 22, 2020, we entered into the Credit Agreement which provides for a term loan of $40.0 million and a $25.0 million senior revolving credit facility (including a $10.0 million sub-facility for the issuance of letters of credit and a $ 10.0 million swingline loan sub-facility). Obligations under the Credit Agreement are secured by substantially all of our assets and are guaranteed by certain of our direct, domestic wholly-owned subsidiaries. We are compliant with all covenants under the Credit Agreement as of December 31, 2021. Our borrowings under the Credit Agreement will mature on December 22, 2025. See Note 11 to the Consolidated Financial Statements for a detailed discussion regarding our Credit Agreement.</w:t>
      </w:r>
    </w:p>
    <w:p>
      <w:pPr>
        <w:spacing w:after="0" w:line="161" w:lineRule="exact"/>
        <w:rPr>
          <w:sz w:val="20"/>
          <w:szCs w:val="20"/>
          <w:color w:val="auto"/>
        </w:rPr>
      </w:pPr>
    </w:p>
    <w:p>
      <w:pPr>
        <w:jc w:val="both"/>
        <w:ind w:firstLine="648"/>
        <w:spacing w:after="0" w:line="263" w:lineRule="auto"/>
        <w:rPr>
          <w:sz w:val="20"/>
          <w:szCs w:val="20"/>
          <w:color w:val="auto"/>
        </w:rPr>
      </w:pPr>
      <w:r>
        <w:rPr>
          <w:rFonts w:ascii="Arial" w:cs="Arial" w:eastAsia="Arial" w:hAnsi="Arial"/>
          <w:sz w:val="18"/>
          <w:szCs w:val="18"/>
          <w:color w:val="auto"/>
        </w:rPr>
        <w:t>We had borrowings of $49.4 million outstanding as of both December 31, 2021 and December 31, 2020. Available borrowing capacity under the revolving line of credit was $13.6 million as of December 31, 2021. As of December 31, 2021 and 2020, the interest rate on our borrowings was 3.0% and 3.25%, respectively.</w:t>
      </w:r>
    </w:p>
    <w:p>
      <w:pPr>
        <w:spacing w:after="0" w:line="184" w:lineRule="exact"/>
        <w:rPr>
          <w:sz w:val="20"/>
          <w:szCs w:val="20"/>
          <w:color w:val="auto"/>
        </w:rPr>
      </w:pPr>
    </w:p>
    <w:p>
      <w:pPr>
        <w:jc w:val="both"/>
        <w:ind w:firstLine="648"/>
        <w:spacing w:after="0" w:line="257" w:lineRule="auto"/>
        <w:rPr>
          <w:sz w:val="20"/>
          <w:szCs w:val="20"/>
          <w:color w:val="auto"/>
        </w:rPr>
      </w:pPr>
      <w:r>
        <w:rPr>
          <w:rFonts w:ascii="Arial" w:cs="Arial" w:eastAsia="Arial" w:hAnsi="Arial"/>
          <w:sz w:val="18"/>
          <w:szCs w:val="18"/>
          <w:color w:val="auto"/>
        </w:rPr>
        <w:t>Based on our current operating plans, we expect that our available cash, cash generated from current operations and debt capacity will be sufficient to finance current operations, any costs associated with restructuring activities and capital expenditures for at least the next 12 months. This assessment includes consideration of our best estimates of the impact of the COVID-19 pandemic on our financial results described above. Our forecast of the period of time through which our financial resources will be adequate to support our operations is a forward-looking statement that involves risks and uncertainties, and actual results could vary as a result of a number of factors.</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Impact of Foreign Currencies</w:t>
      </w:r>
    </w:p>
    <w:p>
      <w:pPr>
        <w:spacing w:after="0" w:line="229" w:lineRule="exact"/>
        <w:rPr>
          <w:sz w:val="20"/>
          <w:szCs w:val="20"/>
          <w:color w:val="auto"/>
        </w:rPr>
      </w:pPr>
    </w:p>
    <w:p>
      <w:pPr>
        <w:jc w:val="both"/>
        <w:ind w:firstLine="648"/>
        <w:spacing w:after="0" w:line="342" w:lineRule="auto"/>
        <w:rPr>
          <w:sz w:val="20"/>
          <w:szCs w:val="20"/>
          <w:color w:val="auto"/>
        </w:rPr>
      </w:pPr>
      <w:r>
        <w:rPr>
          <w:rFonts w:ascii="Arial" w:cs="Arial" w:eastAsia="Arial" w:hAnsi="Arial"/>
          <w:sz w:val="16"/>
          <w:szCs w:val="16"/>
          <w:color w:val="auto"/>
        </w:rPr>
        <w:t>Our international operations in some instances operate in a natural hedge as we sell our products in many countries and a substantial portion of our revenues, costs and expenses are denominated in foreign currencies, primarily the British pound, the euro, the Canadian dollar and the Swedish krona.</w:t>
      </w:r>
    </w:p>
    <w:p>
      <w:pPr>
        <w:spacing w:after="0" w:line="124" w:lineRule="exact"/>
        <w:rPr>
          <w:sz w:val="20"/>
          <w:szCs w:val="20"/>
          <w:color w:val="auto"/>
        </w:rPr>
      </w:pPr>
    </w:p>
    <w:p>
      <w:pPr>
        <w:jc w:val="both"/>
        <w:ind w:firstLine="648"/>
        <w:spacing w:after="0" w:line="263" w:lineRule="auto"/>
        <w:rPr>
          <w:sz w:val="20"/>
          <w:szCs w:val="20"/>
          <w:color w:val="auto"/>
        </w:rPr>
      </w:pPr>
      <w:r>
        <w:rPr>
          <w:rFonts w:ascii="Arial" w:cs="Arial" w:eastAsia="Arial" w:hAnsi="Arial"/>
          <w:sz w:val="18"/>
          <w:szCs w:val="18"/>
          <w:color w:val="auto"/>
        </w:rPr>
        <w:t>During the year ended December 31, 2021, changes in foreign currency exchange rates resulted in a favorable translation effect on our consolidated revenues and on our consolidated net loss. Changes in foreign currency exchange rates resulted in a favorable effect on revenues of approximately $1.7 million and an unfavorable effect on expenses of approximately $1.8 million.</w:t>
      </w:r>
    </w:p>
    <w:p>
      <w:pPr>
        <w:spacing w:after="0" w:line="184" w:lineRule="exact"/>
        <w:rPr>
          <w:sz w:val="20"/>
          <w:szCs w:val="20"/>
          <w:color w:val="auto"/>
        </w:rPr>
      </w:pPr>
    </w:p>
    <w:p>
      <w:pPr>
        <w:jc w:val="both"/>
        <w:ind w:firstLine="648"/>
        <w:spacing w:after="0" w:line="308" w:lineRule="auto"/>
        <w:rPr>
          <w:sz w:val="20"/>
          <w:szCs w:val="20"/>
          <w:color w:val="auto"/>
        </w:rPr>
      </w:pPr>
      <w:r>
        <w:rPr>
          <w:rFonts w:ascii="Arial" w:cs="Arial" w:eastAsia="Arial" w:hAnsi="Arial"/>
          <w:sz w:val="17"/>
          <w:szCs w:val="17"/>
          <w:color w:val="auto"/>
        </w:rPr>
        <w:t>The translation of foreign currency into U.S. dollars included as a component of comprehensive income during the year ended December 31, 2021 resulted in a loss of approximately $2.4 million, compared to a gain of $1.7 million for the year ended December 31, 2020.</w:t>
      </w:r>
    </w:p>
    <w:p>
      <w:pPr>
        <w:spacing w:after="0" w:line="146"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In addition, the currency exchange rate fluctuations included as a component of net loss resulted in approximately $(0.1) million and $(0.5) million in currency loss during the year ended December 31, 2021 and 2020, respectively.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24" w:name="page25"/>
    <w:bookmarkEnd w:id="24"/>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Recent Accounting Pronouncements</w:t>
      </w:r>
    </w:p>
    <w:p>
      <w:pPr>
        <w:spacing w:after="0" w:line="229" w:lineRule="exact"/>
        <w:rPr>
          <w:sz w:val="20"/>
          <w:szCs w:val="20"/>
          <w:color w:val="auto"/>
        </w:rPr>
      </w:pPr>
    </w:p>
    <w:p>
      <w:pPr>
        <w:jc w:val="both"/>
        <w:ind w:right="20" w:firstLine="648"/>
        <w:spacing w:after="0" w:line="277" w:lineRule="auto"/>
        <w:rPr>
          <w:sz w:val="20"/>
          <w:szCs w:val="20"/>
          <w:color w:val="auto"/>
        </w:rPr>
      </w:pPr>
      <w:r>
        <w:rPr>
          <w:rFonts w:ascii="Arial" w:cs="Arial" w:eastAsia="Arial" w:hAnsi="Arial"/>
          <w:sz w:val="18"/>
          <w:szCs w:val="18"/>
          <w:color w:val="auto"/>
        </w:rPr>
        <w:t>For information on recent accounting pronouncements impacting our business, see “Recent Accounting Pronouncements” included in Note 2 to the Consolidated Financial Statements included in “Part IV, Item 15. Exhibits, Financial Statement Schedules” of this report.</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Critical Accounting Policies and Estimates</w:t>
      </w:r>
    </w:p>
    <w:p>
      <w:pPr>
        <w:spacing w:after="0" w:line="229" w:lineRule="exact"/>
        <w:rPr>
          <w:sz w:val="20"/>
          <w:szCs w:val="20"/>
          <w:color w:val="auto"/>
        </w:rPr>
      </w:pPr>
    </w:p>
    <w:p>
      <w:pPr>
        <w:jc w:val="both"/>
        <w:ind w:firstLine="648"/>
        <w:spacing w:after="0" w:line="272" w:lineRule="auto"/>
        <w:rPr>
          <w:sz w:val="20"/>
          <w:szCs w:val="20"/>
          <w:color w:val="auto"/>
        </w:rPr>
      </w:pPr>
      <w:r>
        <w:rPr>
          <w:rFonts w:ascii="Arial" w:cs="Arial" w:eastAsia="Arial" w:hAnsi="Arial"/>
          <w:sz w:val="17"/>
          <w:szCs w:val="17"/>
          <w:color w:val="auto"/>
        </w:rPr>
        <w:t>The discussion and analysis of our financial condition and results of operations are based upon our consolidated financial statements, which have been prepared in accordance with accounting principles generally accepted in the United States. The preparation of these financial statements requires us to make estimates and judgments that affect the reported amounts of assets, liabilities, revenue and expenses, and related disclosure of contingent assets and liabilities. On an ongoing basis, we evaluate our estimates, including those related to revenue recognition, investments, income taxes, litigation and other contingencies. We base our estimates on historical experience and on various other assumptions that are believed to be reasonable under the circumstances, the results of which form the basis for making judgments about the carrying values of assets and liabilities that are not readily apparent from other sources. Actual results may differ from these estimates under different assumptions or conditions.</w:t>
      </w:r>
    </w:p>
    <w:p>
      <w:pPr>
        <w:spacing w:after="0" w:line="177" w:lineRule="exact"/>
        <w:rPr>
          <w:sz w:val="20"/>
          <w:szCs w:val="20"/>
          <w:color w:val="auto"/>
        </w:rPr>
      </w:pPr>
    </w:p>
    <w:p>
      <w:pPr>
        <w:ind w:left="660"/>
        <w:spacing w:after="0"/>
        <w:rPr>
          <w:sz w:val="20"/>
          <w:szCs w:val="20"/>
          <w:color w:val="auto"/>
        </w:rPr>
      </w:pPr>
      <w:r>
        <w:rPr>
          <w:rFonts w:ascii="Arial" w:cs="Arial" w:eastAsia="Arial" w:hAnsi="Arial"/>
          <w:sz w:val="17"/>
          <w:szCs w:val="17"/>
          <w:color w:val="auto"/>
        </w:rPr>
        <w:t>We believe the following are the more significant judgments and estimates used in the preparation of our consolidated financial statements.</w:t>
      </w:r>
    </w:p>
    <w:p>
      <w:pPr>
        <w:spacing w:after="0" w:line="23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Intangible Assets</w:t>
      </w:r>
    </w:p>
    <w:p>
      <w:pPr>
        <w:spacing w:after="0" w:line="225" w:lineRule="exact"/>
        <w:rPr>
          <w:sz w:val="20"/>
          <w:szCs w:val="20"/>
          <w:color w:val="auto"/>
        </w:rPr>
      </w:pPr>
    </w:p>
    <w:p>
      <w:pPr>
        <w:jc w:val="both"/>
        <w:ind w:firstLine="648"/>
        <w:spacing w:after="0" w:line="279" w:lineRule="auto"/>
        <w:rPr>
          <w:sz w:val="20"/>
          <w:szCs w:val="20"/>
          <w:color w:val="auto"/>
        </w:rPr>
      </w:pPr>
      <w:r>
        <w:rPr>
          <w:rFonts w:ascii="Arial" w:cs="Arial" w:eastAsia="Arial" w:hAnsi="Arial"/>
          <w:sz w:val="17"/>
          <w:szCs w:val="17"/>
          <w:color w:val="auto"/>
        </w:rPr>
        <w:t>Intangible assets are comprised of existing technology, customer contracts and contractual relationships, and other definite-lived and indefinite-lived intangible assets. Identifiable intangible assets resulting from the acquisitions of entities accounted for using the purchase method of accounting are estimated by management based on the fair value of assets received. Identifiable definite-lived intangible assets are being amortized over the period of estimated benefit using the straight-line method and estimated useful lives ranging from four to fifteen years.</w:t>
      </w:r>
    </w:p>
    <w:p>
      <w:pPr>
        <w:spacing w:after="0" w:line="171" w:lineRule="exact"/>
        <w:rPr>
          <w:sz w:val="20"/>
          <w:szCs w:val="20"/>
          <w:color w:val="auto"/>
        </w:rPr>
      </w:pPr>
    </w:p>
    <w:p>
      <w:pPr>
        <w:jc w:val="both"/>
        <w:ind w:firstLine="648"/>
        <w:spacing w:after="0" w:line="273" w:lineRule="auto"/>
        <w:rPr>
          <w:sz w:val="20"/>
          <w:szCs w:val="20"/>
          <w:color w:val="auto"/>
        </w:rPr>
      </w:pPr>
      <w:r>
        <w:rPr>
          <w:rFonts w:ascii="Arial" w:cs="Arial" w:eastAsia="Arial" w:hAnsi="Arial"/>
          <w:sz w:val="17"/>
          <w:szCs w:val="17"/>
          <w:color w:val="auto"/>
        </w:rPr>
        <w:t>We amortize definite-lived assets over their estimated useful lives. We evaluate definite-lived and indefinite-lived assets for impairment whenever events or changes in circumstances indicate the carrying value of an asset may not be recoverable. The carrying value is not recoverable if it exceeds the undiscounted cash flows resulting from the use of the asset and its eventual disposition. Our estimates of future cash flows attributable to our assets require significant judgment based on our historical and anticipated results and are subject to many factors. Factors we consider important which could trigger an impairment review include significant negative industry or economic trends, significant loss of clients, and significant changes in the manner of our use of the acquired assets or the strategy for our overall business.</w:t>
      </w:r>
    </w:p>
    <w:p>
      <w:pPr>
        <w:spacing w:after="0" w:line="178" w:lineRule="exact"/>
        <w:rPr>
          <w:sz w:val="20"/>
          <w:szCs w:val="20"/>
          <w:color w:val="auto"/>
        </w:rPr>
      </w:pPr>
    </w:p>
    <w:p>
      <w:pPr>
        <w:jc w:val="both"/>
        <w:ind w:firstLine="648"/>
        <w:spacing w:after="0" w:line="257" w:lineRule="auto"/>
        <w:rPr>
          <w:sz w:val="20"/>
          <w:szCs w:val="20"/>
          <w:color w:val="auto"/>
        </w:rPr>
      </w:pPr>
      <w:r>
        <w:rPr>
          <w:rFonts w:ascii="Arial" w:cs="Arial" w:eastAsia="Arial" w:hAnsi="Arial"/>
          <w:sz w:val="18"/>
          <w:szCs w:val="18"/>
          <w:color w:val="auto"/>
        </w:rPr>
        <w:t>When we determine that the carrying value of the assets may not be recoverable based upon the existence of one or more of the above indicators of impairment, we measure the potential impairment based on a projected discounted cash flow method using a discount rate determined by our management to be commensurate with the risk inherent in our current business model. An impairment loss is recognized only if the carrying amount of the asset is not recoverable and exceeds its fair value. Different assumptions and judgments could materially affect the calculation of the fair value of our assets.</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Income Taxes and Valuation Allowance</w:t>
      </w:r>
    </w:p>
    <w:p>
      <w:pPr>
        <w:spacing w:after="0" w:line="225" w:lineRule="exact"/>
        <w:rPr>
          <w:sz w:val="20"/>
          <w:szCs w:val="20"/>
          <w:color w:val="auto"/>
        </w:rPr>
      </w:pPr>
    </w:p>
    <w:p>
      <w:pPr>
        <w:jc w:val="both"/>
        <w:ind w:firstLine="648"/>
        <w:spacing w:after="0" w:line="272" w:lineRule="auto"/>
        <w:rPr>
          <w:sz w:val="20"/>
          <w:szCs w:val="20"/>
          <w:color w:val="auto"/>
        </w:rPr>
      </w:pPr>
      <w:r>
        <w:rPr>
          <w:rFonts w:ascii="Arial" w:cs="Arial" w:eastAsia="Arial" w:hAnsi="Arial"/>
          <w:sz w:val="17"/>
          <w:szCs w:val="17"/>
          <w:color w:val="auto"/>
        </w:rPr>
        <w:t>We are subject to income taxes in the U.S. and numerous foreign jurisdictions. Our annual tax rate is based on income, statutory tax rates, tax reserve changes and tax planning opportunities available to us in the various jurisdictions in which we operate. Significant judgment is required in determining the annual tax rate and in evaluating our tax positions. We regularly assess the likelihood of tax adjustments in each of the tax jurisdictions in which we have operations and account for the related financial statement implications. We have established tax reserves that we believe are appropriate given the possibility of tax adjustments. Determining the appropriate level of tax reserves requires judgment regarding the uncertain application of tax laws. Reserves are adjusted when information becomes available or when an event occurs indicating a change in the reserve is appropriate. Changes in tax reserves could have a material impact on our financial condition or results of operations.</w:t>
      </w:r>
    </w:p>
    <w:p>
      <w:pPr>
        <w:spacing w:after="0" w:line="177" w:lineRule="exact"/>
        <w:rPr>
          <w:sz w:val="20"/>
          <w:szCs w:val="20"/>
          <w:color w:val="auto"/>
        </w:rPr>
      </w:pPr>
    </w:p>
    <w:p>
      <w:pPr>
        <w:jc w:val="both"/>
        <w:ind w:firstLine="648"/>
        <w:spacing w:after="0" w:line="296" w:lineRule="auto"/>
        <w:rPr>
          <w:sz w:val="20"/>
          <w:szCs w:val="20"/>
          <w:color w:val="auto"/>
        </w:rPr>
      </w:pPr>
      <w:r>
        <w:rPr>
          <w:rFonts w:ascii="Arial" w:cs="Arial" w:eastAsia="Arial" w:hAnsi="Arial"/>
          <w:sz w:val="16"/>
          <w:szCs w:val="16"/>
          <w:color w:val="auto"/>
        </w:rPr>
        <w:t>Significant judgment is also required in determining the amount of deferred tax assets that will ultimately be realized and corresponding deferred tax asset valuation allowance. When estimating the necessary valuation allowance, we consider all available evidence for each jurisdiction including historical operating results, estimates of future taxable income and the feasibility of ongoing tax planning strategies. If new information becomes available that would alter our estimate of the amount of deferred tax assets that will ultimately be realized, we adjust the valuation allowance through income tax expense. Changes in the deferred tax asset valuation allowance could have a material impact on our financial condition or results of operations.</w:t>
      </w:r>
    </w:p>
    <w:p>
      <w:pPr>
        <w:spacing w:after="0" w:line="37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25" w:name="page26"/>
    <w:bookmarkEnd w:id="25"/>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Excess and Obsolete Inventory</w:t>
      </w:r>
    </w:p>
    <w:p>
      <w:pPr>
        <w:spacing w:after="0" w:line="225" w:lineRule="exact"/>
        <w:rPr>
          <w:sz w:val="20"/>
          <w:szCs w:val="20"/>
          <w:color w:val="auto"/>
        </w:rPr>
      </w:pPr>
    </w:p>
    <w:p>
      <w:pPr>
        <w:jc w:val="both"/>
        <w:ind w:firstLine="648"/>
        <w:spacing w:after="0" w:line="279" w:lineRule="auto"/>
        <w:rPr>
          <w:sz w:val="20"/>
          <w:szCs w:val="20"/>
          <w:color w:val="auto"/>
        </w:rPr>
      </w:pPr>
      <w:r>
        <w:rPr>
          <w:rFonts w:ascii="Arial" w:cs="Arial" w:eastAsia="Arial" w:hAnsi="Arial"/>
          <w:sz w:val="17"/>
          <w:szCs w:val="17"/>
          <w:color w:val="auto"/>
        </w:rPr>
        <w:t>Inventories are priced at the lower of cost (first-in, first-out method) or net realizable value. When necessary, the write-down of inventory to its net realizable value is recorded for obsolete or slow-moving inventory based on assumptions about future demand and marketability of products, the impact of new product introductions and specific identification of items, such as product discontinuance or engineering/material changes. In the future if these factors are less favorable than our projected expectations additional inventory write-downs may be required.</w:t>
      </w:r>
    </w:p>
    <w:p>
      <w:pPr>
        <w:spacing w:after="0" w:line="167" w:lineRule="exact"/>
        <w:rPr>
          <w:sz w:val="20"/>
          <w:szCs w:val="20"/>
          <w:color w:val="auto"/>
        </w:rPr>
      </w:pPr>
    </w:p>
    <w:p>
      <w:pPr>
        <w:spacing w:after="0"/>
        <w:tabs>
          <w:tab w:leader="none" w:pos="960" w:val="left"/>
        </w:tabs>
        <w:rPr>
          <w:sz w:val="20"/>
          <w:szCs w:val="20"/>
          <w:color w:val="auto"/>
        </w:rPr>
      </w:pPr>
      <w:r>
        <w:rPr>
          <w:rFonts w:ascii="Arial" w:cs="Arial" w:eastAsia="Arial" w:hAnsi="Arial"/>
          <w:sz w:val="18"/>
          <w:szCs w:val="18"/>
          <w:b w:val="1"/>
          <w:bCs w:val="1"/>
          <w:color w:val="auto"/>
        </w:rPr>
        <w:t>Item 7A.</w:t>
      </w:r>
      <w:r>
        <w:rPr>
          <w:sz w:val="20"/>
          <w:szCs w:val="20"/>
          <w:color w:val="auto"/>
        </w:rPr>
        <w:tab/>
      </w:r>
      <w:r>
        <w:rPr>
          <w:rFonts w:ascii="Arial" w:cs="Arial" w:eastAsia="Arial" w:hAnsi="Arial"/>
          <w:sz w:val="15"/>
          <w:szCs w:val="15"/>
          <w:b w:val="1"/>
          <w:bCs w:val="1"/>
          <w:i w:val="1"/>
          <w:iCs w:val="1"/>
          <w:color w:val="auto"/>
        </w:rPr>
        <w:t>Quantitative and Qualitative Disclosures about Market Risk.</w:t>
      </w:r>
    </w:p>
    <w:p>
      <w:pPr>
        <w:spacing w:after="0" w:line="229" w:lineRule="exact"/>
        <w:rPr>
          <w:sz w:val="20"/>
          <w:szCs w:val="20"/>
          <w:color w:val="auto"/>
        </w:rPr>
      </w:pPr>
    </w:p>
    <w:p>
      <w:pPr>
        <w:ind w:left="660"/>
        <w:spacing w:after="0"/>
        <w:rPr>
          <w:sz w:val="20"/>
          <w:szCs w:val="20"/>
          <w:color w:val="auto"/>
        </w:rPr>
      </w:pPr>
      <w:r>
        <w:rPr>
          <w:rFonts w:ascii="Arial" w:cs="Arial" w:eastAsia="Arial" w:hAnsi="Arial"/>
          <w:sz w:val="18"/>
          <w:szCs w:val="18"/>
          <w:color w:val="auto"/>
        </w:rPr>
        <w:t>Not Applicable.</w:t>
      </w:r>
    </w:p>
    <w:p>
      <w:pPr>
        <w:spacing w:after="0" w:line="221" w:lineRule="exact"/>
        <w:rPr>
          <w:sz w:val="20"/>
          <w:szCs w:val="20"/>
          <w:color w:val="auto"/>
        </w:rPr>
      </w:pPr>
    </w:p>
    <w:p>
      <w:pPr>
        <w:spacing w:after="0"/>
        <w:tabs>
          <w:tab w:leader="none" w:pos="960" w:val="left"/>
        </w:tabs>
        <w:rPr>
          <w:sz w:val="20"/>
          <w:szCs w:val="20"/>
          <w:color w:val="auto"/>
        </w:rPr>
      </w:pPr>
      <w:r>
        <w:rPr>
          <w:rFonts w:ascii="Arial" w:cs="Arial" w:eastAsia="Arial" w:hAnsi="Arial"/>
          <w:sz w:val="18"/>
          <w:szCs w:val="18"/>
          <w:b w:val="1"/>
          <w:bCs w:val="1"/>
          <w:color w:val="auto"/>
        </w:rPr>
        <w:t>Item 8.</w:t>
      </w:r>
      <w:r>
        <w:rPr>
          <w:sz w:val="20"/>
          <w:szCs w:val="20"/>
          <w:color w:val="auto"/>
        </w:rPr>
        <w:tab/>
      </w:r>
      <w:r>
        <w:rPr>
          <w:rFonts w:ascii="Arial" w:cs="Arial" w:eastAsia="Arial" w:hAnsi="Arial"/>
          <w:sz w:val="15"/>
          <w:szCs w:val="15"/>
          <w:b w:val="1"/>
          <w:bCs w:val="1"/>
          <w:i w:val="1"/>
          <w:iCs w:val="1"/>
          <w:color w:val="auto"/>
        </w:rPr>
        <w:t>Financial Statements and Supplementary Data.</w:t>
      </w:r>
    </w:p>
    <w:p>
      <w:pPr>
        <w:spacing w:after="0" w:line="249" w:lineRule="exact"/>
        <w:rPr>
          <w:sz w:val="20"/>
          <w:szCs w:val="20"/>
          <w:color w:val="auto"/>
        </w:rPr>
      </w:pPr>
    </w:p>
    <w:p>
      <w:pPr>
        <w:jc w:val="both"/>
        <w:ind w:firstLine="648"/>
        <w:spacing w:after="0"/>
        <w:rPr>
          <w:sz w:val="20"/>
          <w:szCs w:val="20"/>
          <w:color w:val="auto"/>
        </w:rPr>
      </w:pPr>
      <w:r>
        <w:rPr>
          <w:rFonts w:ascii="Arial" w:cs="Arial" w:eastAsia="Arial" w:hAnsi="Arial"/>
          <w:sz w:val="22"/>
          <w:szCs w:val="22"/>
          <w:color w:val="auto"/>
        </w:rPr>
        <w:t>The information required by this item is contained in the financial statements referenced in “Part IV, Item 15. Exhibits, Financial Statement Schedules” of this report, which financial statements are appended to this report. An index of those financial statements is found on page F-1.</w:t>
      </w:r>
    </w:p>
    <w:p>
      <w:pPr>
        <w:spacing w:after="0" w:line="216" w:lineRule="exact"/>
        <w:rPr>
          <w:sz w:val="20"/>
          <w:szCs w:val="20"/>
          <w:color w:val="auto"/>
        </w:rPr>
      </w:pPr>
    </w:p>
    <w:p>
      <w:pPr>
        <w:spacing w:after="0"/>
        <w:tabs>
          <w:tab w:leader="none" w:pos="960" w:val="left"/>
        </w:tabs>
        <w:rPr>
          <w:sz w:val="20"/>
          <w:szCs w:val="20"/>
          <w:color w:val="auto"/>
        </w:rPr>
      </w:pPr>
      <w:r>
        <w:rPr>
          <w:rFonts w:ascii="Arial" w:cs="Arial" w:eastAsia="Arial" w:hAnsi="Arial"/>
          <w:sz w:val="18"/>
          <w:szCs w:val="18"/>
          <w:b w:val="1"/>
          <w:bCs w:val="1"/>
          <w:color w:val="auto"/>
        </w:rPr>
        <w:t>Item 9.</w:t>
      </w:r>
      <w:r>
        <w:rPr>
          <w:sz w:val="20"/>
          <w:szCs w:val="20"/>
          <w:color w:val="auto"/>
        </w:rPr>
        <w:tab/>
      </w:r>
      <w:r>
        <w:rPr>
          <w:rFonts w:ascii="Arial" w:cs="Arial" w:eastAsia="Arial" w:hAnsi="Arial"/>
          <w:sz w:val="15"/>
          <w:szCs w:val="15"/>
          <w:b w:val="1"/>
          <w:bCs w:val="1"/>
          <w:i w:val="1"/>
          <w:iCs w:val="1"/>
          <w:color w:val="auto"/>
        </w:rPr>
        <w:t>Changes in and Disagreements with Accountants on Accounting and Financial Disclosure.</w:t>
      </w:r>
    </w:p>
    <w:p>
      <w:pPr>
        <w:spacing w:after="0" w:line="229" w:lineRule="exact"/>
        <w:rPr>
          <w:sz w:val="20"/>
          <w:szCs w:val="20"/>
          <w:color w:val="auto"/>
        </w:rPr>
      </w:pPr>
    </w:p>
    <w:p>
      <w:pPr>
        <w:ind w:left="660"/>
        <w:spacing w:after="0"/>
        <w:rPr>
          <w:sz w:val="20"/>
          <w:szCs w:val="20"/>
          <w:color w:val="auto"/>
        </w:rPr>
      </w:pPr>
      <w:r>
        <w:rPr>
          <w:rFonts w:ascii="Arial" w:cs="Arial" w:eastAsia="Arial" w:hAnsi="Arial"/>
          <w:sz w:val="18"/>
          <w:szCs w:val="18"/>
          <w:color w:val="auto"/>
        </w:rPr>
        <w:t>None.</w:t>
      </w:r>
    </w:p>
    <w:p>
      <w:pPr>
        <w:spacing w:after="0" w:line="221" w:lineRule="exact"/>
        <w:rPr>
          <w:sz w:val="20"/>
          <w:szCs w:val="20"/>
          <w:color w:val="auto"/>
        </w:rPr>
      </w:pPr>
    </w:p>
    <w:p>
      <w:pPr>
        <w:spacing w:after="0"/>
        <w:tabs>
          <w:tab w:leader="none" w:pos="960" w:val="left"/>
        </w:tabs>
        <w:rPr>
          <w:sz w:val="20"/>
          <w:szCs w:val="20"/>
          <w:color w:val="auto"/>
        </w:rPr>
      </w:pPr>
      <w:r>
        <w:rPr>
          <w:rFonts w:ascii="Arial" w:cs="Arial" w:eastAsia="Arial" w:hAnsi="Arial"/>
          <w:sz w:val="18"/>
          <w:szCs w:val="18"/>
          <w:b w:val="1"/>
          <w:bCs w:val="1"/>
          <w:color w:val="auto"/>
        </w:rPr>
        <w:t>Item 9A.</w:t>
      </w:r>
      <w:r>
        <w:rPr>
          <w:sz w:val="20"/>
          <w:szCs w:val="20"/>
          <w:color w:val="auto"/>
        </w:rPr>
        <w:tab/>
      </w:r>
      <w:r>
        <w:rPr>
          <w:rFonts w:ascii="Arial" w:cs="Arial" w:eastAsia="Arial" w:hAnsi="Arial"/>
          <w:sz w:val="15"/>
          <w:szCs w:val="15"/>
          <w:b w:val="1"/>
          <w:bCs w:val="1"/>
          <w:i w:val="1"/>
          <w:iCs w:val="1"/>
          <w:color w:val="auto"/>
        </w:rPr>
        <w:t>Controls and Procedures.</w:t>
      </w:r>
    </w:p>
    <w:p>
      <w:pPr>
        <w:spacing w:after="0" w:line="229" w:lineRule="exact"/>
        <w:rPr>
          <w:sz w:val="20"/>
          <w:szCs w:val="20"/>
          <w:color w:val="auto"/>
        </w:rPr>
      </w:pPr>
    </w:p>
    <w:p>
      <w:pPr>
        <w:jc w:val="both"/>
        <w:ind w:firstLine="648"/>
        <w:spacing w:after="0" w:line="263" w:lineRule="auto"/>
        <w:rPr>
          <w:sz w:val="20"/>
          <w:szCs w:val="20"/>
          <w:color w:val="auto"/>
        </w:rPr>
      </w:pPr>
      <w:r>
        <w:rPr>
          <w:rFonts w:ascii="Arial" w:cs="Arial" w:eastAsia="Arial" w:hAnsi="Arial"/>
          <w:sz w:val="18"/>
          <w:szCs w:val="18"/>
          <w:color w:val="auto"/>
        </w:rPr>
        <w:t>This Report includes the certifications of our Chief Executive Officer and Chief Financial Officer required by Rule 13a-14 of the Securities Exchange Act of 1934, as amended (the “Exchange Act”). See Exhibits 31.1 and 31.2. This Item 9A includes information concerning the controls and control evaluations referred to in those certifications.</w:t>
      </w:r>
    </w:p>
    <w:p>
      <w:pPr>
        <w:spacing w:after="0" w:line="180" w:lineRule="exact"/>
        <w:rPr>
          <w:sz w:val="20"/>
          <w:szCs w:val="20"/>
          <w:color w:val="auto"/>
        </w:rPr>
      </w:pPr>
    </w:p>
    <w:p>
      <w:pPr>
        <w:ind w:left="660" w:hanging="652"/>
        <w:spacing w:after="0"/>
        <w:tabs>
          <w:tab w:leader="none" w:pos="660" w:val="left"/>
        </w:tabs>
        <w:numPr>
          <w:ilvl w:val="0"/>
          <w:numId w:val="7"/>
        </w:numPr>
        <w:rPr>
          <w:rFonts w:ascii="Arial" w:cs="Arial" w:eastAsia="Arial" w:hAnsi="Arial"/>
          <w:sz w:val="18"/>
          <w:szCs w:val="18"/>
          <w:b w:val="1"/>
          <w:bCs w:val="1"/>
          <w:color w:val="auto"/>
        </w:rPr>
      </w:pPr>
      <w:r>
        <w:rPr>
          <w:rFonts w:ascii="Arial" w:cs="Arial" w:eastAsia="Arial" w:hAnsi="Arial"/>
          <w:sz w:val="18"/>
          <w:szCs w:val="18"/>
          <w:b w:val="1"/>
          <w:bCs w:val="1"/>
          <w:color w:val="auto"/>
        </w:rPr>
        <w:t>Evaluation of Disclosure Controls and Procedures</w:t>
      </w:r>
    </w:p>
    <w:p>
      <w:pPr>
        <w:spacing w:after="0" w:line="229" w:lineRule="exact"/>
        <w:rPr>
          <w:sz w:val="20"/>
          <w:szCs w:val="20"/>
          <w:color w:val="auto"/>
        </w:rPr>
      </w:pPr>
    </w:p>
    <w:p>
      <w:pPr>
        <w:jc w:val="both"/>
        <w:ind w:firstLine="648"/>
        <w:spacing w:after="0" w:line="271" w:lineRule="auto"/>
        <w:rPr>
          <w:sz w:val="20"/>
          <w:szCs w:val="20"/>
          <w:color w:val="auto"/>
        </w:rPr>
      </w:pPr>
      <w:r>
        <w:rPr>
          <w:rFonts w:ascii="Arial" w:cs="Arial" w:eastAsia="Arial" w:hAnsi="Arial"/>
          <w:sz w:val="17"/>
          <w:szCs w:val="17"/>
          <w:color w:val="auto"/>
        </w:rPr>
        <w:t>Disclosure controls and procedures refer to controls and other procedures designed to ensure that information required to be disclosed in the reports we file or submit under the Exchange Act is recorded, processed, summarized and reported, within the time periods specified in the rules and forms of the U.S. Securities and Exchange Commission. Disclosure controls and procedures include, without limitation, controls and procedures designed to ensure that information required to be disclosed by us in our reports that we file or submit under the Exchange Act is accumulated and communicated to our management, including our Chief Executive Officer and Chief Financial Officer, as appropriate to allow timely decisions regarding our required disclosure. In designing and evaluating our disclosure controls and procedures, our management recognizes that any controls and procedures, no matter how well designed and operated, can provide only reasonable assurance of achieving the desired control objectives, and management was required to apply its judgment in evaluating and implementing possible controls and procedures.</w:t>
      </w:r>
    </w:p>
    <w:p>
      <w:pPr>
        <w:spacing w:after="0" w:line="178" w:lineRule="exact"/>
        <w:rPr>
          <w:sz w:val="20"/>
          <w:szCs w:val="20"/>
          <w:color w:val="auto"/>
        </w:rPr>
      </w:pPr>
    </w:p>
    <w:p>
      <w:pPr>
        <w:jc w:val="both"/>
        <w:ind w:firstLine="648"/>
        <w:spacing w:after="0" w:line="291" w:lineRule="auto"/>
        <w:rPr>
          <w:sz w:val="20"/>
          <w:szCs w:val="20"/>
          <w:color w:val="auto"/>
        </w:rPr>
      </w:pPr>
      <w:r>
        <w:rPr>
          <w:rFonts w:ascii="Arial" w:cs="Arial" w:eastAsia="Arial" w:hAnsi="Arial"/>
          <w:sz w:val="16"/>
          <w:szCs w:val="16"/>
          <w:color w:val="auto"/>
        </w:rPr>
        <w:t>We carried out an evaluation, under the supervision and with the participation our Chief Executive Officer and Chief Financial Officer, of the effectiveness of the design and operation of our disclosure controls and procedures (as defined in Rules 13a-15(e) and 15d-15(e) under the Exchange Act) as of the end of the period covered in this Report. Based upon the evaluation described above, our Chief Executive Officer and Chief Financial Officer have concluded that they believe that our disclosure controls and procedures were effective, as of December 31, 2021, in providing reasonable assurance that information required to be disclosed by us in the reports that we file or submit under the Exchange Act is accumulated and communicated to our management, including our Chief Executive Officer and Chief Financial Officer, to allow timely decisions regarding required disclosures, and is recorded, processed, summarized and reported within the time periods specified in the Securities and Exchange Commission’s rules and forms.</w:t>
      </w:r>
    </w:p>
    <w:p>
      <w:pPr>
        <w:spacing w:after="0" w:line="200" w:lineRule="exact"/>
        <w:rPr>
          <w:sz w:val="20"/>
          <w:szCs w:val="20"/>
          <w:color w:val="auto"/>
        </w:rPr>
      </w:pPr>
    </w:p>
    <w:p>
      <w:pPr>
        <w:spacing w:after="0" w:line="39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26" w:name="page27"/>
    <w:bookmarkEnd w:id="26"/>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37" w:lineRule="exact"/>
        <w:rPr>
          <w:sz w:val="20"/>
          <w:szCs w:val="20"/>
          <w:color w:val="auto"/>
        </w:rPr>
      </w:pPr>
    </w:p>
    <w:p>
      <w:pPr>
        <w:ind w:left="660" w:hanging="652"/>
        <w:spacing w:after="0"/>
        <w:tabs>
          <w:tab w:leader="none" w:pos="660" w:val="left"/>
        </w:tabs>
        <w:numPr>
          <w:ilvl w:val="0"/>
          <w:numId w:val="8"/>
        </w:numPr>
        <w:rPr>
          <w:rFonts w:ascii="Arial" w:cs="Arial" w:eastAsia="Arial" w:hAnsi="Arial"/>
          <w:sz w:val="18"/>
          <w:szCs w:val="18"/>
          <w:b w:val="1"/>
          <w:bCs w:val="1"/>
          <w:color w:val="auto"/>
        </w:rPr>
      </w:pPr>
      <w:r>
        <w:rPr>
          <w:rFonts w:ascii="Arial" w:cs="Arial" w:eastAsia="Arial" w:hAnsi="Arial"/>
          <w:sz w:val="18"/>
          <w:szCs w:val="18"/>
          <w:b w:val="1"/>
          <w:bCs w:val="1"/>
          <w:color w:val="auto"/>
        </w:rPr>
        <w:t>Management</w:t>
      </w:r>
      <w:r>
        <w:rPr>
          <w:rFonts w:ascii="Arial" w:cs="Arial" w:eastAsia="Arial" w:hAnsi="Arial"/>
          <w:sz w:val="18"/>
          <w:szCs w:val="18"/>
          <w:color w:val="auto"/>
        </w:rPr>
        <w:t>’</w:t>
      </w:r>
      <w:r>
        <w:rPr>
          <w:rFonts w:ascii="Arial" w:cs="Arial" w:eastAsia="Arial" w:hAnsi="Arial"/>
          <w:sz w:val="18"/>
          <w:szCs w:val="18"/>
          <w:b w:val="1"/>
          <w:bCs w:val="1"/>
          <w:color w:val="auto"/>
        </w:rPr>
        <w:t>s Report on Internal Control Over Financial Reporting</w:t>
      </w:r>
    </w:p>
    <w:p>
      <w:pPr>
        <w:spacing w:after="0" w:line="229" w:lineRule="exact"/>
        <w:rPr>
          <w:sz w:val="20"/>
          <w:szCs w:val="20"/>
          <w:color w:val="auto"/>
        </w:rPr>
      </w:pPr>
    </w:p>
    <w:p>
      <w:pPr>
        <w:jc w:val="both"/>
        <w:ind w:firstLine="648"/>
        <w:spacing w:after="0" w:line="284" w:lineRule="auto"/>
        <w:rPr>
          <w:sz w:val="20"/>
          <w:szCs w:val="20"/>
          <w:color w:val="auto"/>
        </w:rPr>
      </w:pPr>
      <w:r>
        <w:rPr>
          <w:rFonts w:ascii="Arial" w:cs="Arial" w:eastAsia="Arial" w:hAnsi="Arial"/>
          <w:sz w:val="16"/>
          <w:szCs w:val="16"/>
          <w:color w:val="auto"/>
        </w:rPr>
        <w:t>Our management is responsible for establishing and maintaining adequate internal control over financial reporting (as defined in Rules 13a-15(f) and 15d-15(f) under the Exchange Act). Our internal control over financial reporting is a process designed by and under the supervision of our Chief Executive Officer and Chief Financial Officer and effected by our management and other personnel, to provide reasonable assurance regarding the reliability of financial reporting and the preparation of consolidated financial statements for external purposes in accordance with generally accepted accounting principles. Our internal control over financial reporting includes those policies and procedures that (1) pertain to the maintenance of records that, in reasonable detail, accurately and fairly reflect transactions and dispositions of assets, (2) provide reasonable assurance that transactions are recorded as necessary to permit preparation of consolidated financial statements for external purposes in accordance with generally accepted accounting principles,</w:t>
      </w:r>
    </w:p>
    <w:p>
      <w:pPr>
        <w:spacing w:after="0" w:line="2" w:lineRule="exact"/>
        <w:rPr>
          <w:sz w:val="20"/>
          <w:szCs w:val="20"/>
          <w:color w:val="auto"/>
        </w:rPr>
      </w:pPr>
    </w:p>
    <w:p>
      <w:pPr>
        <w:ind w:left="280" w:hanging="272"/>
        <w:spacing w:after="0"/>
        <w:tabs>
          <w:tab w:leader="none" w:pos="280" w:val="left"/>
        </w:tabs>
        <w:numPr>
          <w:ilvl w:val="0"/>
          <w:numId w:val="9"/>
        </w:numPr>
        <w:rPr>
          <w:rFonts w:ascii="Arial" w:cs="Arial" w:eastAsia="Arial" w:hAnsi="Arial"/>
          <w:sz w:val="16"/>
          <w:szCs w:val="16"/>
          <w:color w:val="auto"/>
        </w:rPr>
      </w:pPr>
      <w:r>
        <w:rPr>
          <w:rFonts w:ascii="Arial" w:cs="Arial" w:eastAsia="Arial" w:hAnsi="Arial"/>
          <w:sz w:val="16"/>
          <w:szCs w:val="16"/>
          <w:color w:val="auto"/>
        </w:rPr>
        <w:t>provide reasonable assurance that receipts and expenditures are being made only in accordance with authorizations of management and directors, and</w:t>
      </w:r>
    </w:p>
    <w:p>
      <w:pPr>
        <w:spacing w:after="0" w:line="32" w:lineRule="exact"/>
        <w:rPr>
          <w:rFonts w:ascii="Arial" w:cs="Arial" w:eastAsia="Arial" w:hAnsi="Arial"/>
          <w:sz w:val="16"/>
          <w:szCs w:val="16"/>
          <w:color w:val="auto"/>
        </w:rPr>
      </w:pPr>
    </w:p>
    <w:p>
      <w:pPr>
        <w:ind w:firstLine="8"/>
        <w:spacing w:after="0" w:line="260" w:lineRule="auto"/>
        <w:tabs>
          <w:tab w:leader="none" w:pos="285" w:val="left"/>
        </w:tabs>
        <w:numPr>
          <w:ilvl w:val="0"/>
          <w:numId w:val="9"/>
        </w:numPr>
        <w:rPr>
          <w:rFonts w:ascii="Arial" w:cs="Arial" w:eastAsia="Arial" w:hAnsi="Arial"/>
          <w:sz w:val="18"/>
          <w:szCs w:val="18"/>
          <w:color w:val="auto"/>
        </w:rPr>
      </w:pPr>
      <w:r>
        <w:rPr>
          <w:rFonts w:ascii="Arial" w:cs="Arial" w:eastAsia="Arial" w:hAnsi="Arial"/>
          <w:sz w:val="18"/>
          <w:szCs w:val="18"/>
          <w:color w:val="auto"/>
        </w:rPr>
        <w:t>provide reasonable assurance regarding prevention or timely detection of unauthorized acquisition, use or disposition of assets that could have a material effect on the consolidated financial statements.</w:t>
      </w:r>
    </w:p>
    <w:p>
      <w:pPr>
        <w:spacing w:after="0" w:line="185"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Because of inherent limitations, internal control over financial reporting may not prevent or detect misstatements. It is a process that involves human diligence and compliance and is therefore subject to human error and misjudgment. In general, evaluations of effectiveness for future periods are subject to risk as controls may become inadequate due to changes in conditions or the degree of compliance with key processes or procedures could deteriorate.</w:t>
      </w:r>
    </w:p>
    <w:p>
      <w:pPr>
        <w:spacing w:after="0" w:line="187" w:lineRule="exact"/>
        <w:rPr>
          <w:sz w:val="20"/>
          <w:szCs w:val="20"/>
          <w:color w:val="auto"/>
        </w:rPr>
      </w:pPr>
    </w:p>
    <w:p>
      <w:pPr>
        <w:jc w:val="both"/>
        <w:ind w:firstLine="648"/>
        <w:spacing w:after="0" w:line="286" w:lineRule="auto"/>
        <w:rPr>
          <w:sz w:val="20"/>
          <w:szCs w:val="20"/>
          <w:color w:val="auto"/>
        </w:rPr>
      </w:pPr>
      <w:r>
        <w:rPr>
          <w:rFonts w:ascii="Arial" w:cs="Arial" w:eastAsia="Arial" w:hAnsi="Arial"/>
          <w:sz w:val="17"/>
          <w:szCs w:val="17"/>
          <w:color w:val="auto"/>
        </w:rPr>
        <w:t>Our management evaluated the effectiveness of our internal control over financial reporting as of December 31, 2021 using the criteria set forth in Internal Control – Integrated Framework (2013) issued by the Committee of Sponsoring Organizations of the Treadway Commission (COSO). As a result of that evaluation, management has concluded that our internal control over financial reporting was effective as of December 31, 2021.</w:t>
      </w:r>
    </w:p>
    <w:p>
      <w:pPr>
        <w:spacing w:after="0" w:line="165"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The effectiveness of our internal control over financial reporting as of December 31, 2021 has also been audited by Grant Thornton LLP, our independent registered public accounting firm, as stated in their report, which is included below in Item 9A(e).</w:t>
      </w:r>
    </w:p>
    <w:p>
      <w:pPr>
        <w:spacing w:after="0" w:line="166" w:lineRule="exact"/>
        <w:rPr>
          <w:sz w:val="20"/>
          <w:szCs w:val="20"/>
          <w:color w:val="auto"/>
        </w:rPr>
      </w:pPr>
    </w:p>
    <w:p>
      <w:pPr>
        <w:ind w:left="660" w:hanging="652"/>
        <w:spacing w:after="0"/>
        <w:tabs>
          <w:tab w:leader="none" w:pos="660" w:val="left"/>
        </w:tabs>
        <w:numPr>
          <w:ilvl w:val="0"/>
          <w:numId w:val="10"/>
        </w:numPr>
        <w:rPr>
          <w:rFonts w:ascii="Arial" w:cs="Arial" w:eastAsia="Arial" w:hAnsi="Arial"/>
          <w:sz w:val="18"/>
          <w:szCs w:val="18"/>
          <w:b w:val="1"/>
          <w:bCs w:val="1"/>
          <w:color w:val="auto"/>
        </w:rPr>
      </w:pPr>
      <w:r>
        <w:rPr>
          <w:rFonts w:ascii="Arial" w:cs="Arial" w:eastAsia="Arial" w:hAnsi="Arial"/>
          <w:sz w:val="18"/>
          <w:szCs w:val="18"/>
          <w:b w:val="1"/>
          <w:bCs w:val="1"/>
          <w:color w:val="auto"/>
        </w:rPr>
        <w:t>Changes in Internal Controls Over Financial Reporting</w:t>
      </w:r>
    </w:p>
    <w:p>
      <w:pPr>
        <w:spacing w:after="0" w:line="229"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There has been no change in the Company's internal control over financial reporting as of December 31, 2021, that has materially affected, or is reasonably likely to materially affect, the Company's internal control over financial reporting. We continue to monitor the impact of the COVID-19 pandemic and, despite many of our employees working remotely, have not experienced any changes that materially affected, or are reasonably likely to materially affect, our internal control over financial reporting.</w:t>
      </w:r>
    </w:p>
    <w:p>
      <w:pPr>
        <w:spacing w:after="0" w:line="183" w:lineRule="exact"/>
        <w:rPr>
          <w:sz w:val="20"/>
          <w:szCs w:val="20"/>
          <w:color w:val="auto"/>
        </w:rPr>
      </w:pPr>
    </w:p>
    <w:p>
      <w:pPr>
        <w:ind w:left="660" w:hanging="652"/>
        <w:spacing w:after="0"/>
        <w:tabs>
          <w:tab w:leader="none" w:pos="660" w:val="left"/>
        </w:tabs>
        <w:numPr>
          <w:ilvl w:val="0"/>
          <w:numId w:val="11"/>
        </w:numPr>
        <w:rPr>
          <w:rFonts w:ascii="Arial" w:cs="Arial" w:eastAsia="Arial" w:hAnsi="Arial"/>
          <w:sz w:val="18"/>
          <w:szCs w:val="18"/>
          <w:b w:val="1"/>
          <w:bCs w:val="1"/>
          <w:color w:val="auto"/>
        </w:rPr>
      </w:pPr>
      <w:r>
        <w:rPr>
          <w:rFonts w:ascii="Arial" w:cs="Arial" w:eastAsia="Arial" w:hAnsi="Arial"/>
          <w:sz w:val="18"/>
          <w:szCs w:val="18"/>
          <w:b w:val="1"/>
          <w:bCs w:val="1"/>
          <w:color w:val="auto"/>
        </w:rPr>
        <w:t>Inherent Limitations on Effectiveness of Controls</w:t>
      </w:r>
    </w:p>
    <w:p>
      <w:pPr>
        <w:spacing w:after="0" w:line="229" w:lineRule="exact"/>
        <w:rPr>
          <w:sz w:val="20"/>
          <w:szCs w:val="20"/>
          <w:color w:val="auto"/>
        </w:rPr>
      </w:pPr>
    </w:p>
    <w:p>
      <w:pPr>
        <w:jc w:val="both"/>
        <w:ind w:firstLine="648"/>
        <w:spacing w:after="0" w:line="257" w:lineRule="auto"/>
        <w:rPr>
          <w:sz w:val="20"/>
          <w:szCs w:val="20"/>
          <w:color w:val="auto"/>
        </w:rPr>
      </w:pPr>
      <w:r>
        <w:rPr>
          <w:rFonts w:ascii="Arial" w:cs="Arial" w:eastAsia="Arial" w:hAnsi="Arial"/>
          <w:sz w:val="18"/>
          <w:szCs w:val="18"/>
          <w:color w:val="auto"/>
        </w:rPr>
        <w:t>The design of any system of control is based upon certain assumptions about the likelihood of future events, and there can be no assurance that any design will succeed in achieving its stated objectives under all future events, no matter how remote, that controls may become inadequate because of changes in conditions, or that the degree of compliance with the policies or procedures may not deteriorate. Because of their inherent limitations, systems of control may not prevent or detect all misstatements. Accordingly, even effective systems of control can provide only reasonable assurance of achieving their control objectives.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27" w:name="page28"/>
    <w:bookmarkEnd w:id="27"/>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21" w:lineRule="exact"/>
        <w:rPr>
          <w:sz w:val="20"/>
          <w:szCs w:val="20"/>
          <w:color w:val="auto"/>
        </w:rPr>
      </w:pPr>
    </w:p>
    <w:p>
      <w:pPr>
        <w:ind w:left="660" w:hanging="652"/>
        <w:spacing w:after="0"/>
        <w:tabs>
          <w:tab w:leader="none" w:pos="660" w:val="left"/>
        </w:tabs>
        <w:numPr>
          <w:ilvl w:val="0"/>
          <w:numId w:val="12"/>
        </w:numPr>
        <w:rPr>
          <w:rFonts w:ascii="Arial" w:cs="Arial" w:eastAsia="Arial" w:hAnsi="Arial"/>
          <w:sz w:val="18"/>
          <w:szCs w:val="18"/>
          <w:b w:val="1"/>
          <w:bCs w:val="1"/>
          <w:color w:val="auto"/>
        </w:rPr>
      </w:pPr>
      <w:r>
        <w:rPr>
          <w:rFonts w:ascii="Arial" w:cs="Arial" w:eastAsia="Arial" w:hAnsi="Arial"/>
          <w:sz w:val="18"/>
          <w:szCs w:val="18"/>
          <w:b w:val="1"/>
          <w:bCs w:val="1"/>
          <w:color w:val="auto"/>
        </w:rPr>
        <w:t>Report of Independent Registered Public Accounting Firm</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REPORT OF INDEPENDENT REGISTERED PUBLIC ACCOUNTING FIRM</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Board of Directors and Shareholders</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Harvard Bioscience, Inc.</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Opinion on internal control over financial reporting</w:t>
      </w:r>
    </w:p>
    <w:p>
      <w:pPr>
        <w:spacing w:after="0" w:line="229" w:lineRule="exact"/>
        <w:rPr>
          <w:sz w:val="20"/>
          <w:szCs w:val="20"/>
          <w:color w:val="auto"/>
        </w:rPr>
      </w:pPr>
    </w:p>
    <w:p>
      <w:pPr>
        <w:ind w:right="80"/>
        <w:spacing w:after="0" w:line="301" w:lineRule="auto"/>
        <w:rPr>
          <w:sz w:val="20"/>
          <w:szCs w:val="20"/>
          <w:color w:val="auto"/>
        </w:rPr>
      </w:pPr>
      <w:r>
        <w:rPr>
          <w:rFonts w:ascii="Arial" w:cs="Arial" w:eastAsia="Arial" w:hAnsi="Arial"/>
          <w:sz w:val="16"/>
          <w:szCs w:val="16"/>
          <w:color w:val="auto"/>
        </w:rPr>
        <w:t xml:space="preserve">We have audited the internal control over financial reporting of Harvard Bioscience, Inc. (a Delaware corporation) and subsidiaries (the “Company”) as of December 31, 2021, based on criteria established in the 2013 </w:t>
      </w:r>
      <w:r>
        <w:rPr>
          <w:rFonts w:ascii="Arial" w:cs="Arial" w:eastAsia="Arial" w:hAnsi="Arial"/>
          <w:sz w:val="16"/>
          <w:szCs w:val="16"/>
          <w:i w:val="1"/>
          <w:iCs w:val="1"/>
          <w:color w:val="auto"/>
        </w:rPr>
        <w:t>Internal Control</w:t>
      </w:r>
      <w:r>
        <w:rPr>
          <w:rFonts w:ascii="Arial" w:cs="Arial" w:eastAsia="Arial" w:hAnsi="Arial"/>
          <w:sz w:val="16"/>
          <w:szCs w:val="16"/>
          <w:color w:val="auto"/>
        </w:rPr>
        <w:t>—</w:t>
      </w:r>
      <w:r>
        <w:rPr>
          <w:rFonts w:ascii="Arial" w:cs="Arial" w:eastAsia="Arial" w:hAnsi="Arial"/>
          <w:sz w:val="16"/>
          <w:szCs w:val="16"/>
          <w:i w:val="1"/>
          <w:iCs w:val="1"/>
          <w:color w:val="auto"/>
        </w:rPr>
        <w:t>Integrated Framework</w:t>
      </w:r>
      <w:r>
        <w:rPr>
          <w:rFonts w:ascii="Arial" w:cs="Arial" w:eastAsia="Arial" w:hAnsi="Arial"/>
          <w:sz w:val="16"/>
          <w:szCs w:val="16"/>
          <w:color w:val="auto"/>
        </w:rPr>
        <w:t xml:space="preserve"> issued by the Committee of Sponsoring Organizations of the Treadway Commission (“COSO”). In our opinion, the Company maintained, in all material respects, effective internal control over financial reporting as of December 31, 2021, based on criteria established in the 2013 </w:t>
      </w:r>
      <w:r>
        <w:rPr>
          <w:rFonts w:ascii="Arial" w:cs="Arial" w:eastAsia="Arial" w:hAnsi="Arial"/>
          <w:sz w:val="16"/>
          <w:szCs w:val="16"/>
          <w:i w:val="1"/>
          <w:iCs w:val="1"/>
          <w:color w:val="auto"/>
        </w:rPr>
        <w:t>Internal Control</w:t>
      </w:r>
      <w:r>
        <w:rPr>
          <w:rFonts w:ascii="Arial" w:cs="Arial" w:eastAsia="Arial" w:hAnsi="Arial"/>
          <w:sz w:val="16"/>
          <w:szCs w:val="16"/>
          <w:color w:val="auto"/>
        </w:rPr>
        <w:t>—</w:t>
      </w:r>
      <w:r>
        <w:rPr>
          <w:rFonts w:ascii="Arial" w:cs="Arial" w:eastAsia="Arial" w:hAnsi="Arial"/>
          <w:sz w:val="16"/>
          <w:szCs w:val="16"/>
          <w:i w:val="1"/>
          <w:iCs w:val="1"/>
          <w:color w:val="auto"/>
        </w:rPr>
        <w:t>Integrated Framework</w:t>
      </w:r>
      <w:r>
        <w:rPr>
          <w:rFonts w:ascii="Arial" w:cs="Arial" w:eastAsia="Arial" w:hAnsi="Arial"/>
          <w:sz w:val="16"/>
          <w:szCs w:val="16"/>
          <w:color w:val="auto"/>
        </w:rPr>
        <w:t xml:space="preserve"> issued by COSO.</w:t>
      </w:r>
    </w:p>
    <w:p>
      <w:pPr>
        <w:spacing w:after="0" w:line="157" w:lineRule="exact"/>
        <w:rPr>
          <w:sz w:val="20"/>
          <w:szCs w:val="20"/>
          <w:color w:val="auto"/>
        </w:rPr>
      </w:pPr>
    </w:p>
    <w:p>
      <w:pPr>
        <w:ind w:right="80"/>
        <w:spacing w:after="0" w:line="263" w:lineRule="auto"/>
        <w:rPr>
          <w:sz w:val="20"/>
          <w:szCs w:val="20"/>
          <w:color w:val="auto"/>
        </w:rPr>
      </w:pPr>
      <w:r>
        <w:rPr>
          <w:rFonts w:ascii="Arial" w:cs="Arial" w:eastAsia="Arial" w:hAnsi="Arial"/>
          <w:sz w:val="18"/>
          <w:szCs w:val="18"/>
          <w:color w:val="auto"/>
        </w:rPr>
        <w:t>We also have audited, in accordance with the standards of the Public Company Accounting Oversight Board (United States) (“PCAOB”), the consolidated financial statements of the Company as of and for the year ended December 31, 2021, and our report dated March 11, 2022 expressed an unqualified opinion on those financial statements.</w:t>
      </w:r>
    </w:p>
    <w:p>
      <w:pPr>
        <w:spacing w:after="0" w:line="18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Basis for opinion</w:t>
      </w:r>
    </w:p>
    <w:p>
      <w:pPr>
        <w:spacing w:after="0" w:line="229" w:lineRule="exact"/>
        <w:rPr>
          <w:sz w:val="20"/>
          <w:szCs w:val="20"/>
          <w:color w:val="auto"/>
        </w:rPr>
      </w:pPr>
    </w:p>
    <w:p>
      <w:pPr>
        <w:ind w:right="80"/>
        <w:spacing w:after="0" w:line="296" w:lineRule="auto"/>
        <w:rPr>
          <w:sz w:val="20"/>
          <w:szCs w:val="20"/>
          <w:color w:val="auto"/>
        </w:rPr>
      </w:pPr>
      <w:r>
        <w:rPr>
          <w:rFonts w:ascii="Arial" w:cs="Arial" w:eastAsia="Arial" w:hAnsi="Arial"/>
          <w:sz w:val="16"/>
          <w:szCs w:val="16"/>
          <w:color w:val="auto"/>
        </w:rPr>
        <w:t>The Company’s management is responsible for maintaining effective internal control over financial reporting and for its assessment of the effectiveness of internal control over financial reporting, included in the accompanying Management’s Report on Internal Control over Financial Reporting (“Management’s Report”) . Our responsibility is to express an opinion on the Company’s internal control over financial reporting based on our audit. We are a public accounting firm registered with the PCAOB and are required to be independent with respect to the Company in accordance with the U.S. federal securities laws and the applicable rules and regulations of the Securities and Exchange Commission and the PCAOB.</w:t>
      </w:r>
    </w:p>
    <w:p>
      <w:pPr>
        <w:spacing w:after="0" w:line="161" w:lineRule="exact"/>
        <w:rPr>
          <w:sz w:val="20"/>
          <w:szCs w:val="20"/>
          <w:color w:val="auto"/>
        </w:rPr>
      </w:pPr>
    </w:p>
    <w:p>
      <w:pPr>
        <w:spacing w:after="0" w:line="257" w:lineRule="auto"/>
        <w:rPr>
          <w:sz w:val="20"/>
          <w:szCs w:val="20"/>
          <w:color w:val="auto"/>
        </w:rPr>
      </w:pPr>
      <w:r>
        <w:rPr>
          <w:rFonts w:ascii="Arial" w:cs="Arial" w:eastAsia="Arial" w:hAnsi="Arial"/>
          <w:sz w:val="18"/>
          <w:szCs w:val="18"/>
          <w:color w:val="auto"/>
        </w:rPr>
        <w:t>We conducted our audit in accordance with the standards of the PCAOB. Those standards require that we plan and perform the audit to obtain reasonable assurance about whether effective internal control over financial reporting was maintained in all material respects. Our audit included obtaining an understanding of internal control over financial reporting, assessing the risk that a material weakness exists, testing and evaluating the design and operating effectiveness of internal control based on the assessed risk, and performing such other procedures as we considered necessary in the circumstances. We believe that our audit provides a reasonable basis for our opinion.</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Definition and limitations of internal control over financial reporting</w:t>
      </w:r>
    </w:p>
    <w:p>
      <w:pPr>
        <w:spacing w:after="0" w:line="229" w:lineRule="exact"/>
        <w:rPr>
          <w:sz w:val="20"/>
          <w:szCs w:val="20"/>
          <w:color w:val="auto"/>
        </w:rPr>
      </w:pPr>
    </w:p>
    <w:p>
      <w:pPr>
        <w:spacing w:after="0" w:line="254" w:lineRule="auto"/>
        <w:rPr>
          <w:sz w:val="20"/>
          <w:szCs w:val="20"/>
          <w:color w:val="auto"/>
        </w:rPr>
      </w:pPr>
      <w:r>
        <w:rPr>
          <w:rFonts w:ascii="Arial" w:cs="Arial" w:eastAsia="Arial" w:hAnsi="Arial"/>
          <w:sz w:val="18"/>
          <w:szCs w:val="18"/>
          <w:color w:val="auto"/>
        </w:rPr>
        <w:t>A company’s internal control over financial reporting is a process designed to provide reasonable assurance regarding the reliability of financial reporting and the preparation of financial statements for external purposes in accordance with generally accepted accounting principles. A company’s internal control over financial reporting includes those policies and procedures that (1) pertain to the maintenance of records that, in reasonable detail, accurately and fairly reflect the transactions and dispositions of the assets of the company; (2) provide reasonable assurance that transactions are recorded as necessary to permit preparation of financial statements in accordance with generally accepted accounting principles, and that receipts and expenditures of the company are being made only in accordance with authorizations of management and directors of the company; and (3) provide reasonable assurance regarding prevention or timely detection of unauthorized acquisition, use, or disposition of the company’s assets that could have a material effect on the financial statements.</w:t>
      </w:r>
    </w:p>
    <w:p>
      <w:pPr>
        <w:spacing w:after="0" w:line="192" w:lineRule="exact"/>
        <w:rPr>
          <w:sz w:val="20"/>
          <w:szCs w:val="20"/>
          <w:color w:val="auto"/>
        </w:rPr>
      </w:pPr>
    </w:p>
    <w:p>
      <w:pPr>
        <w:ind w:right="40"/>
        <w:spacing w:after="0" w:line="263" w:lineRule="auto"/>
        <w:rPr>
          <w:sz w:val="20"/>
          <w:szCs w:val="20"/>
          <w:color w:val="auto"/>
        </w:rPr>
      </w:pPr>
      <w:r>
        <w:rPr>
          <w:rFonts w:ascii="Arial" w:cs="Arial" w:eastAsia="Arial" w:hAnsi="Arial"/>
          <w:sz w:val="18"/>
          <w:szCs w:val="18"/>
          <w:color w:val="auto"/>
        </w:rPr>
        <w:t>Because of its inherent limitations, internal control over financial reporting may not prevent or detect misstatements. Also, projections of any evaluation of effectiveness to future periods are subject to the risk that controls may become inadequate because of changes in conditions, or that the degree of compliance with the policies or procedures may deteriorate.</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color w:val="auto"/>
        </w:rPr>
        <w:t>/s/ GRANT THORNTON LLP</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Boston, Massachusetts</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March 11, 2022</w:t>
      </w:r>
    </w:p>
    <w:p>
      <w:pPr>
        <w:spacing w:after="0" w:line="200" w:lineRule="exact"/>
        <w:rPr>
          <w:sz w:val="20"/>
          <w:szCs w:val="20"/>
          <w:color w:val="auto"/>
        </w:rPr>
      </w:pPr>
    </w:p>
    <w:p>
      <w:pPr>
        <w:spacing w:after="0" w:line="200" w:lineRule="exact"/>
        <w:rPr>
          <w:sz w:val="20"/>
          <w:szCs w:val="20"/>
          <w:color w:val="auto"/>
        </w:rPr>
      </w:pPr>
    </w:p>
    <w:p>
      <w:pPr>
        <w:spacing w:after="0" w:line="243"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00"/>
          </w:cols>
          <w:pgMar w:left="320" w:top="125" w:right="379" w:bottom="1440" w:gutter="0" w:footer="0" w:header="0"/>
        </w:sectPr>
      </w:pPr>
    </w:p>
    <w:bookmarkStart w:id="28" w:name="page29"/>
    <w:bookmarkEnd w:id="28"/>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21" w:lineRule="exact"/>
        <w:rPr>
          <w:sz w:val="20"/>
          <w:szCs w:val="20"/>
          <w:color w:val="auto"/>
        </w:rPr>
      </w:pPr>
    </w:p>
    <w:p>
      <w:pPr>
        <w:spacing w:after="0"/>
        <w:tabs>
          <w:tab w:leader="none" w:pos="960" w:val="left"/>
        </w:tabs>
        <w:rPr>
          <w:sz w:val="20"/>
          <w:szCs w:val="20"/>
          <w:color w:val="auto"/>
        </w:rPr>
      </w:pPr>
      <w:r>
        <w:rPr>
          <w:rFonts w:ascii="Arial" w:cs="Arial" w:eastAsia="Arial" w:hAnsi="Arial"/>
          <w:sz w:val="18"/>
          <w:szCs w:val="18"/>
          <w:b w:val="1"/>
          <w:bCs w:val="1"/>
          <w:color w:val="auto"/>
        </w:rPr>
        <w:t>Item 9B.</w:t>
      </w:r>
      <w:r>
        <w:rPr>
          <w:sz w:val="20"/>
          <w:szCs w:val="20"/>
          <w:color w:val="auto"/>
        </w:rPr>
        <w:tab/>
      </w:r>
      <w:r>
        <w:rPr>
          <w:rFonts w:ascii="Arial" w:cs="Arial" w:eastAsia="Arial" w:hAnsi="Arial"/>
          <w:sz w:val="16"/>
          <w:szCs w:val="16"/>
          <w:b w:val="1"/>
          <w:bCs w:val="1"/>
          <w:i w:val="1"/>
          <w:iCs w:val="1"/>
          <w:color w:val="auto"/>
        </w:rPr>
        <w:t>Other Information.</w:t>
      </w:r>
    </w:p>
    <w:p>
      <w:pPr>
        <w:spacing w:after="0" w:line="229" w:lineRule="exact"/>
        <w:rPr>
          <w:sz w:val="20"/>
          <w:szCs w:val="20"/>
          <w:color w:val="auto"/>
        </w:rPr>
      </w:pPr>
    </w:p>
    <w:p>
      <w:pPr>
        <w:ind w:left="660"/>
        <w:spacing w:after="0"/>
        <w:rPr>
          <w:sz w:val="20"/>
          <w:szCs w:val="20"/>
          <w:color w:val="auto"/>
        </w:rPr>
      </w:pPr>
      <w:r>
        <w:rPr>
          <w:rFonts w:ascii="Arial" w:cs="Arial" w:eastAsia="Arial" w:hAnsi="Arial"/>
          <w:sz w:val="18"/>
          <w:szCs w:val="18"/>
          <w:color w:val="auto"/>
        </w:rPr>
        <w:t>None.</w:t>
      </w:r>
    </w:p>
    <w:p>
      <w:pPr>
        <w:spacing w:after="0" w:line="221" w:lineRule="exact"/>
        <w:rPr>
          <w:sz w:val="20"/>
          <w:szCs w:val="20"/>
          <w:color w:val="auto"/>
        </w:rPr>
      </w:pPr>
    </w:p>
    <w:p>
      <w:pPr>
        <w:spacing w:after="0"/>
        <w:tabs>
          <w:tab w:leader="none" w:pos="960" w:val="left"/>
        </w:tabs>
        <w:rPr>
          <w:sz w:val="20"/>
          <w:szCs w:val="20"/>
          <w:color w:val="auto"/>
        </w:rPr>
      </w:pPr>
      <w:r>
        <w:rPr>
          <w:rFonts w:ascii="Arial" w:cs="Arial" w:eastAsia="Arial" w:hAnsi="Arial"/>
          <w:sz w:val="18"/>
          <w:szCs w:val="18"/>
          <w:b w:val="1"/>
          <w:bCs w:val="1"/>
          <w:color w:val="auto"/>
        </w:rPr>
        <w:t>Item 9C.</w:t>
      </w:r>
      <w:r>
        <w:rPr>
          <w:sz w:val="20"/>
          <w:szCs w:val="20"/>
          <w:color w:val="auto"/>
        </w:rPr>
        <w:tab/>
      </w:r>
      <w:r>
        <w:rPr>
          <w:rFonts w:ascii="Arial" w:cs="Arial" w:eastAsia="Arial" w:hAnsi="Arial"/>
          <w:sz w:val="15"/>
          <w:szCs w:val="15"/>
          <w:b w:val="1"/>
          <w:bCs w:val="1"/>
          <w:i w:val="1"/>
          <w:iCs w:val="1"/>
          <w:color w:val="auto"/>
        </w:rPr>
        <w:t>Disclosure Regarding Foreign Jurisdictions that Prevent Inspections.</w:t>
      </w:r>
    </w:p>
    <w:p>
      <w:pPr>
        <w:spacing w:after="0" w:line="229" w:lineRule="exact"/>
        <w:rPr>
          <w:sz w:val="20"/>
          <w:szCs w:val="20"/>
          <w:color w:val="auto"/>
        </w:rPr>
      </w:pPr>
    </w:p>
    <w:p>
      <w:pPr>
        <w:ind w:left="660"/>
        <w:spacing w:after="0"/>
        <w:rPr>
          <w:sz w:val="20"/>
          <w:szCs w:val="20"/>
          <w:color w:val="auto"/>
        </w:rPr>
      </w:pPr>
      <w:r>
        <w:rPr>
          <w:rFonts w:ascii="Arial" w:cs="Arial" w:eastAsia="Arial" w:hAnsi="Arial"/>
          <w:sz w:val="18"/>
          <w:szCs w:val="18"/>
          <w:color w:val="auto"/>
        </w:rPr>
        <w:t>Not applicable.</w:t>
      </w:r>
    </w:p>
    <w:p>
      <w:pPr>
        <w:spacing w:after="0" w:line="221" w:lineRule="exact"/>
        <w:rPr>
          <w:sz w:val="20"/>
          <w:szCs w:val="20"/>
          <w:color w:val="auto"/>
        </w:rPr>
      </w:pPr>
    </w:p>
    <w:p>
      <w:pPr>
        <w:jc w:val="center"/>
        <w:ind w:right="-159"/>
        <w:spacing w:after="0"/>
        <w:rPr>
          <w:sz w:val="20"/>
          <w:szCs w:val="20"/>
          <w:color w:val="auto"/>
        </w:rPr>
      </w:pPr>
      <w:r>
        <w:rPr>
          <w:rFonts w:ascii="Arial" w:cs="Arial" w:eastAsia="Arial" w:hAnsi="Arial"/>
          <w:sz w:val="18"/>
          <w:szCs w:val="18"/>
          <w:b w:val="1"/>
          <w:bCs w:val="1"/>
          <w:color w:val="auto"/>
        </w:rPr>
        <w:t>PART III</w:t>
      </w:r>
    </w:p>
    <w:p>
      <w:pPr>
        <w:spacing w:after="0" w:line="225" w:lineRule="exact"/>
        <w:rPr>
          <w:sz w:val="20"/>
          <w:szCs w:val="20"/>
          <w:color w:val="auto"/>
        </w:rPr>
      </w:pPr>
    </w:p>
    <w:p>
      <w:pPr>
        <w:spacing w:after="0"/>
        <w:tabs>
          <w:tab w:leader="none" w:pos="960" w:val="left"/>
        </w:tabs>
        <w:rPr>
          <w:sz w:val="20"/>
          <w:szCs w:val="20"/>
          <w:color w:val="auto"/>
        </w:rPr>
      </w:pPr>
      <w:r>
        <w:rPr>
          <w:rFonts w:ascii="Arial" w:cs="Arial" w:eastAsia="Arial" w:hAnsi="Arial"/>
          <w:sz w:val="18"/>
          <w:szCs w:val="18"/>
          <w:b w:val="1"/>
          <w:bCs w:val="1"/>
          <w:color w:val="auto"/>
        </w:rPr>
        <w:t>Item 10.</w:t>
      </w:r>
      <w:r>
        <w:rPr>
          <w:sz w:val="20"/>
          <w:szCs w:val="20"/>
          <w:color w:val="auto"/>
        </w:rPr>
        <w:tab/>
      </w:r>
      <w:r>
        <w:rPr>
          <w:rFonts w:ascii="Arial" w:cs="Arial" w:eastAsia="Arial" w:hAnsi="Arial"/>
          <w:sz w:val="15"/>
          <w:szCs w:val="15"/>
          <w:b w:val="1"/>
          <w:bCs w:val="1"/>
          <w:i w:val="1"/>
          <w:iCs w:val="1"/>
          <w:color w:val="auto"/>
        </w:rPr>
        <w:t>Directors, Executive Officers and Corporate Governance.</w:t>
      </w:r>
    </w:p>
    <w:p>
      <w:pPr>
        <w:spacing w:after="0" w:line="229" w:lineRule="exact"/>
        <w:rPr>
          <w:sz w:val="20"/>
          <w:szCs w:val="20"/>
          <w:color w:val="auto"/>
        </w:rPr>
      </w:pPr>
    </w:p>
    <w:p>
      <w:pPr>
        <w:ind w:firstLine="648"/>
        <w:spacing w:after="0" w:line="277" w:lineRule="auto"/>
        <w:rPr>
          <w:sz w:val="20"/>
          <w:szCs w:val="20"/>
          <w:color w:val="auto"/>
        </w:rPr>
      </w:pPr>
      <w:r>
        <w:rPr>
          <w:rFonts w:ascii="Arial" w:cs="Arial" w:eastAsia="Arial" w:hAnsi="Arial"/>
          <w:sz w:val="18"/>
          <w:szCs w:val="18"/>
          <w:color w:val="auto"/>
        </w:rPr>
        <w:t>Incorporated by reference to our definitive Proxy Statement to be filed pursuant to Regulation 14A under the Exchange Act, in connection with our 2022 Annual Meeting of Stockholders.</w:t>
      </w:r>
    </w:p>
    <w:p>
      <w:pPr>
        <w:spacing w:after="0" w:line="382" w:lineRule="exact"/>
        <w:rPr>
          <w:sz w:val="20"/>
          <w:szCs w:val="20"/>
          <w:color w:val="auto"/>
        </w:rPr>
      </w:pPr>
    </w:p>
    <w:p>
      <w:pPr>
        <w:spacing w:after="0"/>
        <w:tabs>
          <w:tab w:leader="none" w:pos="960" w:val="left"/>
        </w:tabs>
        <w:rPr>
          <w:sz w:val="20"/>
          <w:szCs w:val="20"/>
          <w:color w:val="auto"/>
        </w:rPr>
      </w:pPr>
      <w:r>
        <w:rPr>
          <w:rFonts w:ascii="Arial" w:cs="Arial" w:eastAsia="Arial" w:hAnsi="Arial"/>
          <w:sz w:val="18"/>
          <w:szCs w:val="18"/>
          <w:b w:val="1"/>
          <w:bCs w:val="1"/>
          <w:color w:val="auto"/>
        </w:rPr>
        <w:t>Item 11.</w:t>
      </w:r>
      <w:r>
        <w:rPr>
          <w:sz w:val="20"/>
          <w:szCs w:val="20"/>
          <w:color w:val="auto"/>
        </w:rPr>
        <w:tab/>
      </w:r>
      <w:r>
        <w:rPr>
          <w:rFonts w:ascii="Arial" w:cs="Arial" w:eastAsia="Arial" w:hAnsi="Arial"/>
          <w:sz w:val="15"/>
          <w:szCs w:val="15"/>
          <w:b w:val="1"/>
          <w:bCs w:val="1"/>
          <w:i w:val="1"/>
          <w:iCs w:val="1"/>
          <w:color w:val="auto"/>
        </w:rPr>
        <w:t>Executive Compensation.</w:t>
      </w:r>
    </w:p>
    <w:p>
      <w:pPr>
        <w:spacing w:after="0" w:line="229" w:lineRule="exact"/>
        <w:rPr>
          <w:sz w:val="20"/>
          <w:szCs w:val="20"/>
          <w:color w:val="auto"/>
        </w:rPr>
      </w:pPr>
    </w:p>
    <w:p>
      <w:pPr>
        <w:ind w:firstLine="648"/>
        <w:spacing w:after="0" w:line="277" w:lineRule="auto"/>
        <w:rPr>
          <w:sz w:val="20"/>
          <w:szCs w:val="20"/>
          <w:color w:val="auto"/>
        </w:rPr>
      </w:pPr>
      <w:r>
        <w:rPr>
          <w:rFonts w:ascii="Arial" w:cs="Arial" w:eastAsia="Arial" w:hAnsi="Arial"/>
          <w:sz w:val="18"/>
          <w:szCs w:val="18"/>
          <w:color w:val="auto"/>
        </w:rPr>
        <w:t>Incorporated by reference to our definitive Proxy Statement to be filed pursuant to Regulation 14A under the Exchange Act in connection with our 2022 Annual Meeting of Stockholders.</w:t>
      </w:r>
    </w:p>
    <w:p>
      <w:pPr>
        <w:spacing w:after="0" w:line="382" w:lineRule="exact"/>
        <w:rPr>
          <w:sz w:val="20"/>
          <w:szCs w:val="20"/>
          <w:color w:val="auto"/>
        </w:rPr>
      </w:pPr>
    </w:p>
    <w:p>
      <w:pPr>
        <w:spacing w:after="0"/>
        <w:tabs>
          <w:tab w:leader="none" w:pos="960" w:val="left"/>
        </w:tabs>
        <w:rPr>
          <w:sz w:val="20"/>
          <w:szCs w:val="20"/>
          <w:color w:val="auto"/>
        </w:rPr>
      </w:pPr>
      <w:r>
        <w:rPr>
          <w:rFonts w:ascii="Arial" w:cs="Arial" w:eastAsia="Arial" w:hAnsi="Arial"/>
          <w:sz w:val="18"/>
          <w:szCs w:val="18"/>
          <w:b w:val="1"/>
          <w:bCs w:val="1"/>
          <w:color w:val="auto"/>
        </w:rPr>
        <w:t>Item 12.</w:t>
      </w:r>
      <w:r>
        <w:rPr>
          <w:sz w:val="20"/>
          <w:szCs w:val="20"/>
          <w:color w:val="auto"/>
        </w:rPr>
        <w:tab/>
      </w:r>
      <w:r>
        <w:rPr>
          <w:rFonts w:ascii="Arial" w:cs="Arial" w:eastAsia="Arial" w:hAnsi="Arial"/>
          <w:sz w:val="15"/>
          <w:szCs w:val="15"/>
          <w:b w:val="1"/>
          <w:bCs w:val="1"/>
          <w:i w:val="1"/>
          <w:iCs w:val="1"/>
          <w:color w:val="auto"/>
        </w:rPr>
        <w:t>Security Ownership of Certain Beneficial Owners and Management and Related Stockholder Matters.</w:t>
      </w:r>
    </w:p>
    <w:p>
      <w:pPr>
        <w:spacing w:after="0" w:line="229" w:lineRule="exact"/>
        <w:rPr>
          <w:sz w:val="20"/>
          <w:szCs w:val="20"/>
          <w:color w:val="auto"/>
        </w:rPr>
      </w:pPr>
    </w:p>
    <w:p>
      <w:pPr>
        <w:ind w:firstLine="648"/>
        <w:spacing w:after="0" w:line="277" w:lineRule="auto"/>
        <w:rPr>
          <w:sz w:val="20"/>
          <w:szCs w:val="20"/>
          <w:color w:val="auto"/>
        </w:rPr>
      </w:pPr>
      <w:r>
        <w:rPr>
          <w:rFonts w:ascii="Arial" w:cs="Arial" w:eastAsia="Arial" w:hAnsi="Arial"/>
          <w:sz w:val="18"/>
          <w:szCs w:val="18"/>
          <w:color w:val="auto"/>
        </w:rPr>
        <w:t>Incorporated by reference to our definitive Proxy Statement to be filed pursuant to Regulation 14A under the Exchange Act in connection with our 2022 Annual Meeting of Stockholders.</w:t>
      </w:r>
    </w:p>
    <w:p>
      <w:pPr>
        <w:spacing w:after="0" w:line="382" w:lineRule="exact"/>
        <w:rPr>
          <w:sz w:val="20"/>
          <w:szCs w:val="20"/>
          <w:color w:val="auto"/>
        </w:rPr>
      </w:pPr>
    </w:p>
    <w:p>
      <w:pPr>
        <w:spacing w:after="0"/>
        <w:tabs>
          <w:tab w:leader="none" w:pos="960" w:val="left"/>
        </w:tabs>
        <w:rPr>
          <w:sz w:val="20"/>
          <w:szCs w:val="20"/>
          <w:color w:val="auto"/>
        </w:rPr>
      </w:pPr>
      <w:r>
        <w:rPr>
          <w:rFonts w:ascii="Arial" w:cs="Arial" w:eastAsia="Arial" w:hAnsi="Arial"/>
          <w:sz w:val="18"/>
          <w:szCs w:val="18"/>
          <w:b w:val="1"/>
          <w:bCs w:val="1"/>
          <w:color w:val="auto"/>
        </w:rPr>
        <w:t>Item 13.</w:t>
      </w:r>
      <w:r>
        <w:rPr>
          <w:sz w:val="20"/>
          <w:szCs w:val="20"/>
          <w:color w:val="auto"/>
        </w:rPr>
        <w:tab/>
      </w:r>
      <w:r>
        <w:rPr>
          <w:rFonts w:ascii="Arial" w:cs="Arial" w:eastAsia="Arial" w:hAnsi="Arial"/>
          <w:sz w:val="15"/>
          <w:szCs w:val="15"/>
          <w:b w:val="1"/>
          <w:bCs w:val="1"/>
          <w:i w:val="1"/>
          <w:iCs w:val="1"/>
          <w:color w:val="auto"/>
        </w:rPr>
        <w:t>Certain Relationships and Related Transactions, and Director Independence.</w:t>
      </w:r>
    </w:p>
    <w:p>
      <w:pPr>
        <w:spacing w:after="0" w:line="229" w:lineRule="exact"/>
        <w:rPr>
          <w:sz w:val="20"/>
          <w:szCs w:val="20"/>
          <w:color w:val="auto"/>
        </w:rPr>
      </w:pPr>
    </w:p>
    <w:p>
      <w:pPr>
        <w:ind w:firstLine="648"/>
        <w:spacing w:after="0" w:line="277" w:lineRule="auto"/>
        <w:rPr>
          <w:sz w:val="20"/>
          <w:szCs w:val="20"/>
          <w:color w:val="auto"/>
        </w:rPr>
      </w:pPr>
      <w:r>
        <w:rPr>
          <w:rFonts w:ascii="Arial" w:cs="Arial" w:eastAsia="Arial" w:hAnsi="Arial"/>
          <w:sz w:val="18"/>
          <w:szCs w:val="18"/>
          <w:color w:val="auto"/>
        </w:rPr>
        <w:t>Incorporated by reference to our definitive Proxy Statement to be filed pursuant to Regulation 14A under the Exchange Act in connection with our 2022 Annual Meeting of Stockholders.</w:t>
      </w:r>
    </w:p>
    <w:p>
      <w:pPr>
        <w:spacing w:after="0" w:line="382" w:lineRule="exact"/>
        <w:rPr>
          <w:sz w:val="20"/>
          <w:szCs w:val="20"/>
          <w:color w:val="auto"/>
        </w:rPr>
      </w:pPr>
    </w:p>
    <w:p>
      <w:pPr>
        <w:spacing w:after="0"/>
        <w:tabs>
          <w:tab w:leader="none" w:pos="960" w:val="left"/>
        </w:tabs>
        <w:rPr>
          <w:sz w:val="20"/>
          <w:szCs w:val="20"/>
          <w:color w:val="auto"/>
        </w:rPr>
      </w:pPr>
      <w:r>
        <w:rPr>
          <w:rFonts w:ascii="Arial" w:cs="Arial" w:eastAsia="Arial" w:hAnsi="Arial"/>
          <w:sz w:val="18"/>
          <w:szCs w:val="18"/>
          <w:b w:val="1"/>
          <w:bCs w:val="1"/>
          <w:color w:val="auto"/>
        </w:rPr>
        <w:t>Item 14.</w:t>
      </w:r>
      <w:r>
        <w:rPr>
          <w:sz w:val="20"/>
          <w:szCs w:val="20"/>
          <w:color w:val="auto"/>
        </w:rPr>
        <w:tab/>
      </w:r>
      <w:r>
        <w:rPr>
          <w:rFonts w:ascii="Arial" w:cs="Arial" w:eastAsia="Arial" w:hAnsi="Arial"/>
          <w:sz w:val="15"/>
          <w:szCs w:val="15"/>
          <w:b w:val="1"/>
          <w:bCs w:val="1"/>
          <w:i w:val="1"/>
          <w:iCs w:val="1"/>
          <w:color w:val="auto"/>
        </w:rPr>
        <w:t>Principal Accounting Fees and Services.</w:t>
      </w:r>
    </w:p>
    <w:p>
      <w:pPr>
        <w:spacing w:after="0" w:line="229" w:lineRule="exact"/>
        <w:rPr>
          <w:sz w:val="20"/>
          <w:szCs w:val="20"/>
          <w:color w:val="auto"/>
        </w:rPr>
      </w:pPr>
    </w:p>
    <w:p>
      <w:pPr>
        <w:ind w:firstLine="648"/>
        <w:spacing w:after="0" w:line="277" w:lineRule="auto"/>
        <w:rPr>
          <w:sz w:val="20"/>
          <w:szCs w:val="20"/>
          <w:color w:val="auto"/>
        </w:rPr>
      </w:pPr>
      <w:r>
        <w:rPr>
          <w:rFonts w:ascii="Arial" w:cs="Arial" w:eastAsia="Arial" w:hAnsi="Arial"/>
          <w:sz w:val="18"/>
          <w:szCs w:val="18"/>
          <w:color w:val="auto"/>
        </w:rPr>
        <w:t>Incorporated by reference to our definitive Proxy Statement to be filed pursuant to Regulation 14A under the Exchange Act in connection with our 2022 Annual Meeting of Stockholders.</w:t>
      </w:r>
    </w:p>
    <w:p>
      <w:pPr>
        <w:spacing w:after="0" w:line="382" w:lineRule="exact"/>
        <w:rPr>
          <w:sz w:val="20"/>
          <w:szCs w:val="20"/>
          <w:color w:val="auto"/>
        </w:rPr>
      </w:pPr>
    </w:p>
    <w:p>
      <w:pPr>
        <w:jc w:val="center"/>
        <w:ind w:right="-159"/>
        <w:spacing w:after="0"/>
        <w:rPr>
          <w:sz w:val="20"/>
          <w:szCs w:val="20"/>
          <w:color w:val="auto"/>
        </w:rPr>
      </w:pPr>
      <w:r>
        <w:rPr>
          <w:rFonts w:ascii="Arial" w:cs="Arial" w:eastAsia="Arial" w:hAnsi="Arial"/>
          <w:sz w:val="18"/>
          <w:szCs w:val="18"/>
          <w:b w:val="1"/>
          <w:bCs w:val="1"/>
          <w:color w:val="auto"/>
        </w:rPr>
        <w:t>PART IV</w:t>
      </w:r>
    </w:p>
    <w:p>
      <w:pPr>
        <w:spacing w:after="0" w:line="225" w:lineRule="exact"/>
        <w:rPr>
          <w:sz w:val="20"/>
          <w:szCs w:val="20"/>
          <w:color w:val="auto"/>
        </w:rPr>
      </w:pPr>
    </w:p>
    <w:p>
      <w:pPr>
        <w:spacing w:after="0"/>
        <w:tabs>
          <w:tab w:leader="none" w:pos="960" w:val="left"/>
        </w:tabs>
        <w:rPr>
          <w:sz w:val="20"/>
          <w:szCs w:val="20"/>
          <w:color w:val="auto"/>
        </w:rPr>
      </w:pPr>
      <w:r>
        <w:rPr>
          <w:rFonts w:ascii="Arial" w:cs="Arial" w:eastAsia="Arial" w:hAnsi="Arial"/>
          <w:sz w:val="18"/>
          <w:szCs w:val="18"/>
          <w:b w:val="1"/>
          <w:bCs w:val="1"/>
          <w:color w:val="auto"/>
        </w:rPr>
        <w:t>Item 15.</w:t>
      </w:r>
      <w:r>
        <w:rPr>
          <w:sz w:val="20"/>
          <w:szCs w:val="20"/>
          <w:color w:val="auto"/>
        </w:rPr>
        <w:tab/>
      </w:r>
      <w:r>
        <w:rPr>
          <w:rFonts w:ascii="Arial" w:cs="Arial" w:eastAsia="Arial" w:hAnsi="Arial"/>
          <w:sz w:val="15"/>
          <w:szCs w:val="15"/>
          <w:b w:val="1"/>
          <w:bCs w:val="1"/>
          <w:i w:val="1"/>
          <w:iCs w:val="1"/>
          <w:color w:val="auto"/>
        </w:rPr>
        <w:t>Exhibits, Financial Statement Schedules.</w:t>
      </w:r>
    </w:p>
    <w:p>
      <w:pPr>
        <w:spacing w:after="0" w:line="229"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The following documents are filed as part of this Annual Report on Form 10-K or incorporated by reference as indicated:</w:t>
      </w:r>
    </w:p>
    <w:p>
      <w:pPr>
        <w:spacing w:after="0" w:line="225" w:lineRule="exact"/>
        <w:rPr>
          <w:sz w:val="20"/>
          <w:szCs w:val="20"/>
          <w:color w:val="auto"/>
        </w:rPr>
      </w:pPr>
    </w:p>
    <w:p>
      <w:pPr>
        <w:ind w:firstLine="656"/>
        <w:spacing w:after="0" w:line="277" w:lineRule="auto"/>
        <w:tabs>
          <w:tab w:leader="none" w:pos="1054" w:val="left"/>
        </w:tabs>
        <w:numPr>
          <w:ilvl w:val="0"/>
          <w:numId w:val="13"/>
        </w:numPr>
        <w:rPr>
          <w:rFonts w:ascii="Arial" w:cs="Arial" w:eastAsia="Arial" w:hAnsi="Arial"/>
          <w:sz w:val="18"/>
          <w:szCs w:val="18"/>
          <w:color w:val="auto"/>
        </w:rPr>
      </w:pPr>
      <w:r>
        <w:rPr>
          <w:rFonts w:ascii="Arial" w:cs="Arial" w:eastAsia="Arial" w:hAnsi="Arial"/>
          <w:sz w:val="18"/>
          <w:szCs w:val="18"/>
          <w:i w:val="1"/>
          <w:iCs w:val="1"/>
          <w:color w:val="auto"/>
        </w:rPr>
        <w:t xml:space="preserve">Financial Statements, Schedules, and Exhibits. </w:t>
      </w:r>
      <w:r>
        <w:rPr>
          <w:rFonts w:ascii="Arial" w:cs="Arial" w:eastAsia="Arial" w:hAnsi="Arial"/>
          <w:sz w:val="18"/>
          <w:szCs w:val="18"/>
          <w:color w:val="auto"/>
        </w:rPr>
        <w:t>We have listed our consolidated financial statements filed as part of this annual report in the</w:t>
      </w:r>
      <w:r>
        <w:rPr>
          <w:rFonts w:ascii="Arial" w:cs="Arial" w:eastAsia="Arial" w:hAnsi="Arial"/>
          <w:sz w:val="18"/>
          <w:szCs w:val="18"/>
          <w:i w:val="1"/>
          <w:iCs w:val="1"/>
          <w:color w:val="auto"/>
        </w:rPr>
        <w:t xml:space="preserve"> </w:t>
      </w:r>
      <w:r>
        <w:rPr>
          <w:rFonts w:ascii="Arial" w:cs="Arial" w:eastAsia="Arial" w:hAnsi="Arial"/>
          <w:sz w:val="18"/>
          <w:szCs w:val="18"/>
          <w:color w:val="auto"/>
        </w:rPr>
        <w:t>index to consolidated financial statements on page F-1.</w:t>
      </w:r>
    </w:p>
    <w:p>
      <w:pPr>
        <w:spacing w:after="0" w:line="170" w:lineRule="exact"/>
        <w:rPr>
          <w:rFonts w:ascii="Arial" w:cs="Arial" w:eastAsia="Arial" w:hAnsi="Arial"/>
          <w:sz w:val="18"/>
          <w:szCs w:val="18"/>
          <w:color w:val="auto"/>
        </w:rPr>
      </w:pPr>
    </w:p>
    <w:p>
      <w:pPr>
        <w:ind w:firstLine="656"/>
        <w:spacing w:after="0" w:line="277" w:lineRule="auto"/>
        <w:tabs>
          <w:tab w:leader="none" w:pos="1038" w:val="left"/>
        </w:tabs>
        <w:numPr>
          <w:ilvl w:val="0"/>
          <w:numId w:val="13"/>
        </w:numPr>
        <w:rPr>
          <w:rFonts w:ascii="Arial" w:cs="Arial" w:eastAsia="Arial" w:hAnsi="Arial"/>
          <w:sz w:val="18"/>
          <w:szCs w:val="18"/>
          <w:color w:val="auto"/>
        </w:rPr>
      </w:pPr>
      <w:r>
        <w:rPr>
          <w:rFonts w:ascii="Arial" w:cs="Arial" w:eastAsia="Arial" w:hAnsi="Arial"/>
          <w:sz w:val="18"/>
          <w:szCs w:val="18"/>
          <w:i w:val="1"/>
          <w:iCs w:val="1"/>
          <w:color w:val="auto"/>
        </w:rPr>
        <w:t xml:space="preserve">Exhibits. </w:t>
      </w:r>
      <w:r>
        <w:rPr>
          <w:rFonts w:ascii="Arial" w:cs="Arial" w:eastAsia="Arial" w:hAnsi="Arial"/>
          <w:sz w:val="18"/>
          <w:szCs w:val="18"/>
          <w:color w:val="auto"/>
        </w:rPr>
        <w:t>We have listed the exhibits filed as part of this annual report in the accompanying exhibit index, which follows the signature page to</w:t>
      </w:r>
      <w:r>
        <w:rPr>
          <w:rFonts w:ascii="Arial" w:cs="Arial" w:eastAsia="Arial" w:hAnsi="Arial"/>
          <w:sz w:val="18"/>
          <w:szCs w:val="18"/>
          <w:i w:val="1"/>
          <w:iCs w:val="1"/>
          <w:color w:val="auto"/>
        </w:rPr>
        <w:t xml:space="preserve"> </w:t>
      </w:r>
      <w:r>
        <w:rPr>
          <w:rFonts w:ascii="Arial" w:cs="Arial" w:eastAsia="Arial" w:hAnsi="Arial"/>
          <w:sz w:val="18"/>
          <w:szCs w:val="18"/>
          <w:color w:val="auto"/>
        </w:rPr>
        <w:t>this annual report</w:t>
      </w:r>
    </w:p>
    <w:p>
      <w:pPr>
        <w:spacing w:after="0" w:line="170" w:lineRule="exact"/>
        <w:rPr>
          <w:rFonts w:ascii="Arial" w:cs="Arial" w:eastAsia="Arial" w:hAnsi="Arial"/>
          <w:sz w:val="18"/>
          <w:szCs w:val="18"/>
          <w:color w:val="auto"/>
        </w:rPr>
      </w:pPr>
    </w:p>
    <w:p>
      <w:pPr>
        <w:ind w:firstLine="656"/>
        <w:spacing w:after="0" w:line="277" w:lineRule="auto"/>
        <w:tabs>
          <w:tab w:leader="none" w:pos="1044" w:val="left"/>
        </w:tabs>
        <w:numPr>
          <w:ilvl w:val="0"/>
          <w:numId w:val="13"/>
        </w:numPr>
        <w:rPr>
          <w:rFonts w:ascii="Arial" w:cs="Arial" w:eastAsia="Arial" w:hAnsi="Arial"/>
          <w:sz w:val="18"/>
          <w:szCs w:val="18"/>
          <w:color w:val="auto"/>
        </w:rPr>
      </w:pPr>
      <w:r>
        <w:rPr>
          <w:rFonts w:ascii="Arial" w:cs="Arial" w:eastAsia="Arial" w:hAnsi="Arial"/>
          <w:sz w:val="18"/>
          <w:szCs w:val="18"/>
          <w:color w:val="auto"/>
        </w:rPr>
        <w:t>Financial Statement Schedules. We have omitted all financial statement schedules because they are not applicable or not required or because we have included the necessary information in our consolidated financial statements or related notes.</w:t>
      </w:r>
    </w:p>
    <w:p>
      <w:pPr>
        <w:spacing w:after="0" w:line="166" w:lineRule="exact"/>
        <w:rPr>
          <w:sz w:val="20"/>
          <w:szCs w:val="20"/>
          <w:color w:val="auto"/>
        </w:rPr>
      </w:pPr>
    </w:p>
    <w:p>
      <w:pPr>
        <w:spacing w:after="0"/>
        <w:tabs>
          <w:tab w:leader="none" w:pos="960" w:val="left"/>
        </w:tabs>
        <w:rPr>
          <w:sz w:val="20"/>
          <w:szCs w:val="20"/>
          <w:color w:val="auto"/>
        </w:rPr>
      </w:pPr>
      <w:r>
        <w:rPr>
          <w:rFonts w:ascii="Arial" w:cs="Arial" w:eastAsia="Arial" w:hAnsi="Arial"/>
          <w:sz w:val="18"/>
          <w:szCs w:val="18"/>
          <w:b w:val="1"/>
          <w:bCs w:val="1"/>
          <w:color w:val="auto"/>
        </w:rPr>
        <w:t>Item 16.</w:t>
      </w:r>
      <w:r>
        <w:rPr>
          <w:sz w:val="20"/>
          <w:szCs w:val="20"/>
          <w:color w:val="auto"/>
        </w:rPr>
        <w:tab/>
      </w:r>
      <w:r>
        <w:rPr>
          <w:rFonts w:ascii="Arial" w:cs="Arial" w:eastAsia="Arial" w:hAnsi="Arial"/>
          <w:sz w:val="16"/>
          <w:szCs w:val="16"/>
          <w:b w:val="1"/>
          <w:bCs w:val="1"/>
          <w:i w:val="1"/>
          <w:iCs w:val="1"/>
          <w:color w:val="auto"/>
        </w:rPr>
        <w:t>Form 10-K Summary.</w:t>
      </w:r>
    </w:p>
    <w:p>
      <w:pPr>
        <w:spacing w:after="0" w:line="229" w:lineRule="exact"/>
        <w:rPr>
          <w:sz w:val="20"/>
          <w:szCs w:val="20"/>
          <w:color w:val="auto"/>
        </w:rPr>
      </w:pPr>
    </w:p>
    <w:p>
      <w:pPr>
        <w:ind w:left="660"/>
        <w:spacing w:after="0"/>
        <w:rPr>
          <w:sz w:val="20"/>
          <w:szCs w:val="20"/>
          <w:color w:val="auto"/>
        </w:rPr>
      </w:pPr>
      <w:r>
        <w:rPr>
          <w:rFonts w:ascii="Arial" w:cs="Arial" w:eastAsia="Arial" w:hAnsi="Arial"/>
          <w:sz w:val="18"/>
          <w:szCs w:val="18"/>
          <w:color w:val="auto"/>
        </w:rPr>
        <w:t>None.</w:t>
      </w:r>
    </w:p>
    <w:p>
      <w:pPr>
        <w:sectPr>
          <w:pgSz w:w="11900" w:h="16838" w:orient="portrait"/>
          <w:cols w:equalWidth="0" w:num="1">
            <w:col w:w="11240"/>
          </w:cols>
          <w:pgMar w:left="320" w:top="125"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57"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97790</wp:posOffset>
            </wp:positionV>
            <wp:extent cx="7132320" cy="1714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type w:val="continuous"/>
        </w:sectPr>
      </w:pPr>
    </w:p>
    <w:bookmarkStart w:id="29" w:name="page30"/>
    <w:bookmarkEnd w:id="29"/>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21" w:lineRule="exact"/>
        <w:rPr>
          <w:sz w:val="20"/>
          <w:szCs w:val="20"/>
          <w:color w:val="auto"/>
        </w:rPr>
      </w:pPr>
    </w:p>
    <w:p>
      <w:pPr>
        <w:jc w:val="center"/>
        <w:ind w:right="-379"/>
        <w:spacing w:after="0"/>
        <w:rPr>
          <w:sz w:val="20"/>
          <w:szCs w:val="20"/>
          <w:color w:val="auto"/>
        </w:rPr>
      </w:pPr>
      <w:r>
        <w:rPr>
          <w:rFonts w:ascii="Arial" w:cs="Arial" w:eastAsia="Arial" w:hAnsi="Arial"/>
          <w:sz w:val="18"/>
          <w:szCs w:val="18"/>
          <w:b w:val="1"/>
          <w:bCs w:val="1"/>
          <w:color w:val="auto"/>
        </w:rPr>
        <w:t>INDEX TO CONSOLIDATED FINANCIAL STATEMENTS</w:t>
      </w:r>
    </w:p>
    <w:p>
      <w:pPr>
        <w:spacing w:after="0" w:line="27" w:lineRule="exact"/>
        <w:rPr>
          <w:sz w:val="20"/>
          <w:szCs w:val="20"/>
          <w:color w:val="auto"/>
        </w:rPr>
      </w:pPr>
    </w:p>
    <w:p>
      <w:pPr>
        <w:jc w:val="center"/>
        <w:ind w:right="-379"/>
        <w:spacing w:after="0"/>
        <w:rPr>
          <w:sz w:val="20"/>
          <w:szCs w:val="20"/>
          <w:color w:val="auto"/>
        </w:rPr>
      </w:pPr>
      <w:r>
        <w:rPr>
          <w:rFonts w:ascii="Arial" w:cs="Arial" w:eastAsia="Arial" w:hAnsi="Arial"/>
          <w:sz w:val="18"/>
          <w:szCs w:val="18"/>
          <w:b w:val="1"/>
          <w:bCs w:val="1"/>
          <w:color w:val="auto"/>
        </w:rPr>
        <w:t>HARVARD BIOSCIENCE, INC.</w:t>
      </w:r>
    </w:p>
    <w:p>
      <w:pPr>
        <w:spacing w:after="0" w:line="200" w:lineRule="exact"/>
        <w:rPr>
          <w:sz w:val="20"/>
          <w:szCs w:val="20"/>
          <w:color w:val="auto"/>
        </w:rPr>
      </w:pPr>
    </w:p>
    <w:p>
      <w:pPr>
        <w:spacing w:after="0" w:line="250"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3160" w:type="dxa"/>
            <w:vAlign w:val="bottom"/>
          </w:tcPr>
          <w:p>
            <w:pPr>
              <w:spacing w:after="0"/>
              <w:rPr>
                <w:sz w:val="20"/>
                <w:szCs w:val="20"/>
                <w:color w:val="auto"/>
              </w:rPr>
            </w:pPr>
          </w:p>
        </w:tc>
        <w:tc>
          <w:tcPr>
            <w:tcW w:w="106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174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1320" w:type="dxa"/>
            <w:vAlign w:val="bottom"/>
          </w:tcPr>
          <w:p>
            <w:pPr>
              <w:spacing w:after="0"/>
              <w:rPr>
                <w:sz w:val="20"/>
                <w:szCs w:val="20"/>
                <w:color w:val="auto"/>
              </w:rPr>
            </w:pPr>
          </w:p>
        </w:tc>
        <w:tc>
          <w:tcPr>
            <w:tcW w:w="1700" w:type="dxa"/>
            <w:vAlign w:val="bottom"/>
            <w:gridSpan w:val="3"/>
          </w:tcPr>
          <w:p>
            <w:pPr>
              <w:jc w:val="center"/>
              <w:ind w:left="1250"/>
              <w:spacing w:after="0"/>
              <w:rPr>
                <w:sz w:val="20"/>
                <w:szCs w:val="20"/>
                <w:color w:val="auto"/>
              </w:rPr>
            </w:pPr>
            <w:r>
              <w:rPr>
                <w:rFonts w:ascii="Arial" w:cs="Arial" w:eastAsia="Arial" w:hAnsi="Arial"/>
                <w:sz w:val="18"/>
                <w:szCs w:val="18"/>
                <w:b w:val="1"/>
                <w:bCs w:val="1"/>
                <w:color w:val="auto"/>
                <w:w w:val="83"/>
              </w:rPr>
              <w:t>Page</w:t>
            </w:r>
          </w:p>
        </w:tc>
      </w:tr>
      <w:tr>
        <w:trPr>
          <w:trHeight w:val="391"/>
        </w:trPr>
        <w:tc>
          <w:tcPr>
            <w:tcW w:w="9160" w:type="dxa"/>
            <w:vAlign w:val="bottom"/>
            <w:gridSpan w:val="8"/>
          </w:tcPr>
          <w:p>
            <w:pPr>
              <w:spacing w:after="0"/>
              <w:rPr>
                <w:rFonts w:ascii="Arial" w:cs="Arial" w:eastAsia="Arial" w:hAnsi="Arial"/>
                <w:sz w:val="18"/>
                <w:szCs w:val="18"/>
                <w:color w:val="0000EE"/>
              </w:rPr>
            </w:pPr>
            <w:hyperlink w:anchor="page31">
              <w:r>
                <w:rPr>
                  <w:rFonts w:ascii="Arial" w:cs="Arial" w:eastAsia="Arial" w:hAnsi="Arial"/>
                  <w:sz w:val="18"/>
                  <w:szCs w:val="18"/>
                  <w:color w:val="0000EE"/>
                </w:rPr>
                <w:t xml:space="preserve">Report of Independent Registered Public Accounting Firm </w:t>
              </w:r>
            </w:hyperlink>
            <w:r>
              <w:rPr>
                <w:rFonts w:ascii="Arial" w:cs="Arial" w:eastAsia="Arial" w:hAnsi="Arial"/>
                <w:sz w:val="18"/>
                <w:szCs w:val="18"/>
                <w:color w:val="000000"/>
              </w:rPr>
              <w:t>(PCAOB</w:t>
            </w:r>
            <w:r>
              <w:rPr>
                <w:rFonts w:ascii="Arial" w:cs="Arial" w:eastAsia="Arial" w:hAnsi="Arial"/>
                <w:sz w:val="18"/>
                <w:szCs w:val="18"/>
                <w:color w:val="0000EE"/>
              </w:rPr>
              <w:t xml:space="preserve"> </w:t>
            </w:r>
            <w:r>
              <w:rPr>
                <w:rFonts w:ascii="Arial" w:cs="Arial" w:eastAsia="Arial" w:hAnsi="Arial"/>
                <w:sz w:val="18"/>
                <w:szCs w:val="18"/>
                <w:color w:val="000000"/>
              </w:rPr>
              <w:t>ID Number 248)</w:t>
            </w:r>
          </w:p>
        </w:tc>
        <w:tc>
          <w:tcPr>
            <w:tcW w:w="1700" w:type="dxa"/>
            <w:vAlign w:val="bottom"/>
            <w:gridSpan w:val="3"/>
          </w:tcPr>
          <w:p>
            <w:pPr>
              <w:jc w:val="center"/>
              <w:ind w:left="1250"/>
              <w:spacing w:after="0"/>
              <w:rPr>
                <w:rFonts w:ascii="Arial" w:cs="Arial" w:eastAsia="Arial" w:hAnsi="Arial"/>
                <w:sz w:val="18"/>
                <w:szCs w:val="18"/>
                <w:color w:val="0000EE"/>
                <w:w w:val="88"/>
              </w:rPr>
            </w:pPr>
            <w:hyperlink w:anchor="page31">
              <w:r>
                <w:rPr>
                  <w:rFonts w:ascii="Arial" w:cs="Arial" w:eastAsia="Arial" w:hAnsi="Arial"/>
                  <w:sz w:val="18"/>
                  <w:szCs w:val="18"/>
                  <w:color w:val="0000EE"/>
                  <w:w w:val="88"/>
                </w:rPr>
                <w:t>F-2</w:t>
              </w:r>
            </w:hyperlink>
          </w:p>
        </w:tc>
      </w:tr>
      <w:tr>
        <w:trPr>
          <w:trHeight w:val="20"/>
        </w:trPr>
        <w:tc>
          <w:tcPr>
            <w:tcW w:w="3160" w:type="dxa"/>
            <w:vAlign w:val="bottom"/>
            <w:shd w:val="clear" w:color="auto" w:fill="0000EE"/>
          </w:tcPr>
          <w:p>
            <w:pPr>
              <w:spacing w:after="0" w:line="20" w:lineRule="exact"/>
              <w:rPr>
                <w:sz w:val="1"/>
                <w:szCs w:val="1"/>
                <w:color w:val="auto"/>
              </w:rPr>
            </w:pPr>
          </w:p>
        </w:tc>
        <w:tc>
          <w:tcPr>
            <w:tcW w:w="1060" w:type="dxa"/>
            <w:vAlign w:val="bottom"/>
            <w:shd w:val="clear" w:color="auto" w:fill="0000EE"/>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7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1320" w:type="dxa"/>
            <w:vAlign w:val="bottom"/>
          </w:tcPr>
          <w:p>
            <w:pPr>
              <w:spacing w:after="0" w:line="20" w:lineRule="exact"/>
              <w:rPr>
                <w:sz w:val="1"/>
                <w:szCs w:val="1"/>
                <w:color w:val="auto"/>
              </w:rPr>
            </w:pPr>
          </w:p>
        </w:tc>
        <w:tc>
          <w:tcPr>
            <w:tcW w:w="1400" w:type="dxa"/>
            <w:vAlign w:val="bottom"/>
          </w:tcPr>
          <w:p>
            <w:pPr>
              <w:spacing w:after="0" w:line="20" w:lineRule="exact"/>
              <w:rPr>
                <w:sz w:val="1"/>
                <w:szCs w:val="1"/>
                <w:color w:val="auto"/>
              </w:rPr>
            </w:pPr>
          </w:p>
        </w:tc>
        <w:tc>
          <w:tcPr>
            <w:tcW w:w="240" w:type="dxa"/>
            <w:vAlign w:val="bottom"/>
            <w:shd w:val="clear" w:color="auto" w:fill="0000EE"/>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r>
        <w:trPr>
          <w:trHeight w:val="412"/>
        </w:trPr>
        <w:tc>
          <w:tcPr>
            <w:tcW w:w="4660" w:type="dxa"/>
            <w:vAlign w:val="bottom"/>
            <w:gridSpan w:val="3"/>
          </w:tcPr>
          <w:p>
            <w:pPr>
              <w:spacing w:after="0"/>
              <w:rPr>
                <w:rFonts w:ascii="Arial" w:cs="Arial" w:eastAsia="Arial" w:hAnsi="Arial"/>
                <w:sz w:val="18"/>
                <w:szCs w:val="18"/>
                <w:color w:val="0000EE"/>
                <w:w w:val="88"/>
              </w:rPr>
            </w:pPr>
            <w:hyperlink w:anchor="page32">
              <w:r>
                <w:rPr>
                  <w:rFonts w:ascii="Arial" w:cs="Arial" w:eastAsia="Arial" w:hAnsi="Arial"/>
                  <w:sz w:val="18"/>
                  <w:szCs w:val="18"/>
                  <w:color w:val="0000EE"/>
                  <w:w w:val="88"/>
                </w:rPr>
                <w:t>Consolidated Balance Sheets as of December 31, 2021 and 2020</w:t>
              </w:r>
            </w:hyperlink>
          </w:p>
        </w:tc>
        <w:tc>
          <w:tcPr>
            <w:tcW w:w="4500" w:type="dxa"/>
            <w:vAlign w:val="bottom"/>
            <w:gridSpan w:val="5"/>
          </w:tcPr>
          <w:p>
            <w:pPr>
              <w:spacing w:after="0"/>
              <w:rPr>
                <w:sz w:val="24"/>
                <w:szCs w:val="24"/>
                <w:color w:val="auto"/>
              </w:rPr>
            </w:pPr>
          </w:p>
        </w:tc>
        <w:tc>
          <w:tcPr>
            <w:tcW w:w="1700" w:type="dxa"/>
            <w:vAlign w:val="bottom"/>
            <w:gridSpan w:val="3"/>
          </w:tcPr>
          <w:p>
            <w:pPr>
              <w:jc w:val="center"/>
              <w:ind w:left="1250"/>
              <w:spacing w:after="0"/>
              <w:rPr>
                <w:rFonts w:ascii="Arial" w:cs="Arial" w:eastAsia="Arial" w:hAnsi="Arial"/>
                <w:sz w:val="18"/>
                <w:szCs w:val="18"/>
                <w:color w:val="0000EE"/>
                <w:w w:val="88"/>
              </w:rPr>
            </w:pPr>
            <w:hyperlink w:anchor="page32">
              <w:r>
                <w:rPr>
                  <w:rFonts w:ascii="Arial" w:cs="Arial" w:eastAsia="Arial" w:hAnsi="Arial"/>
                  <w:sz w:val="18"/>
                  <w:szCs w:val="18"/>
                  <w:color w:val="0000EE"/>
                  <w:w w:val="88"/>
                </w:rPr>
                <w:t>F-3</w:t>
              </w:r>
            </w:hyperlink>
          </w:p>
        </w:tc>
      </w:tr>
      <w:tr>
        <w:trPr>
          <w:trHeight w:val="20"/>
        </w:trPr>
        <w:tc>
          <w:tcPr>
            <w:tcW w:w="3160" w:type="dxa"/>
            <w:vAlign w:val="bottom"/>
            <w:shd w:val="clear" w:color="auto" w:fill="0000EE"/>
          </w:tcPr>
          <w:p>
            <w:pPr>
              <w:spacing w:after="0" w:line="20" w:lineRule="exact"/>
              <w:rPr>
                <w:sz w:val="1"/>
                <w:szCs w:val="1"/>
                <w:color w:val="auto"/>
              </w:rPr>
            </w:pPr>
          </w:p>
        </w:tc>
        <w:tc>
          <w:tcPr>
            <w:tcW w:w="1500" w:type="dxa"/>
            <w:vAlign w:val="bottom"/>
            <w:gridSpan w:val="2"/>
            <w:shd w:val="clear" w:color="auto" w:fill="0000EE"/>
          </w:tcPr>
          <w:p>
            <w:pPr>
              <w:spacing w:after="0" w:line="20" w:lineRule="exact"/>
              <w:rPr>
                <w:sz w:val="1"/>
                <w:szCs w:val="1"/>
                <w:color w:val="auto"/>
              </w:rPr>
            </w:pPr>
          </w:p>
        </w:tc>
        <w:tc>
          <w:tcPr>
            <w:tcW w:w="17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1320" w:type="dxa"/>
            <w:vAlign w:val="bottom"/>
          </w:tcPr>
          <w:p>
            <w:pPr>
              <w:spacing w:after="0" w:line="20" w:lineRule="exact"/>
              <w:rPr>
                <w:sz w:val="1"/>
                <w:szCs w:val="1"/>
                <w:color w:val="auto"/>
              </w:rPr>
            </w:pPr>
          </w:p>
        </w:tc>
        <w:tc>
          <w:tcPr>
            <w:tcW w:w="1400" w:type="dxa"/>
            <w:vAlign w:val="bottom"/>
          </w:tcPr>
          <w:p>
            <w:pPr>
              <w:spacing w:after="0" w:line="20" w:lineRule="exact"/>
              <w:rPr>
                <w:sz w:val="1"/>
                <w:szCs w:val="1"/>
                <w:color w:val="auto"/>
              </w:rPr>
            </w:pPr>
          </w:p>
        </w:tc>
        <w:tc>
          <w:tcPr>
            <w:tcW w:w="240" w:type="dxa"/>
            <w:vAlign w:val="bottom"/>
            <w:shd w:val="clear" w:color="auto" w:fill="0000EE"/>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r>
        <w:trPr>
          <w:trHeight w:val="412"/>
        </w:trPr>
        <w:tc>
          <w:tcPr>
            <w:tcW w:w="9160" w:type="dxa"/>
            <w:vAlign w:val="bottom"/>
            <w:gridSpan w:val="8"/>
          </w:tcPr>
          <w:p>
            <w:pPr>
              <w:spacing w:after="0"/>
              <w:rPr>
                <w:rFonts w:ascii="Arial" w:cs="Arial" w:eastAsia="Arial" w:hAnsi="Arial"/>
                <w:sz w:val="18"/>
                <w:szCs w:val="18"/>
                <w:color w:val="0000EE"/>
              </w:rPr>
            </w:pPr>
            <w:hyperlink w:anchor="page33">
              <w:r>
                <w:rPr>
                  <w:rFonts w:ascii="Arial" w:cs="Arial" w:eastAsia="Arial" w:hAnsi="Arial"/>
                  <w:sz w:val="18"/>
                  <w:szCs w:val="18"/>
                  <w:color w:val="0000EE"/>
                </w:rPr>
                <w:t>Consolidated Statements of Operations for the years ended December 31, 2021 and 2020</w:t>
              </w:r>
            </w:hyperlink>
          </w:p>
        </w:tc>
        <w:tc>
          <w:tcPr>
            <w:tcW w:w="1700" w:type="dxa"/>
            <w:vAlign w:val="bottom"/>
            <w:gridSpan w:val="3"/>
          </w:tcPr>
          <w:p>
            <w:pPr>
              <w:jc w:val="center"/>
              <w:ind w:left="1250"/>
              <w:spacing w:after="0"/>
              <w:rPr>
                <w:rFonts w:ascii="Arial" w:cs="Arial" w:eastAsia="Arial" w:hAnsi="Arial"/>
                <w:sz w:val="18"/>
                <w:szCs w:val="18"/>
                <w:color w:val="0000EE"/>
                <w:w w:val="88"/>
              </w:rPr>
            </w:pPr>
            <w:hyperlink w:anchor="page33">
              <w:r>
                <w:rPr>
                  <w:rFonts w:ascii="Arial" w:cs="Arial" w:eastAsia="Arial" w:hAnsi="Arial"/>
                  <w:sz w:val="18"/>
                  <w:szCs w:val="18"/>
                  <w:color w:val="0000EE"/>
                  <w:w w:val="88"/>
                </w:rPr>
                <w:t>F-4</w:t>
              </w:r>
            </w:hyperlink>
          </w:p>
        </w:tc>
      </w:tr>
      <w:tr>
        <w:trPr>
          <w:trHeight w:val="20"/>
        </w:trPr>
        <w:tc>
          <w:tcPr>
            <w:tcW w:w="3160" w:type="dxa"/>
            <w:vAlign w:val="bottom"/>
            <w:shd w:val="clear" w:color="auto" w:fill="0000EE"/>
          </w:tcPr>
          <w:p>
            <w:pPr>
              <w:spacing w:after="0" w:line="20" w:lineRule="exact"/>
              <w:rPr>
                <w:sz w:val="1"/>
                <w:szCs w:val="1"/>
                <w:color w:val="auto"/>
              </w:rPr>
            </w:pPr>
          </w:p>
        </w:tc>
        <w:tc>
          <w:tcPr>
            <w:tcW w:w="3240" w:type="dxa"/>
            <w:vAlign w:val="bottom"/>
            <w:gridSpan w:val="3"/>
            <w:shd w:val="clear" w:color="auto" w:fill="0000EE"/>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1320" w:type="dxa"/>
            <w:vAlign w:val="bottom"/>
          </w:tcPr>
          <w:p>
            <w:pPr>
              <w:spacing w:after="0" w:line="20" w:lineRule="exact"/>
              <w:rPr>
                <w:sz w:val="1"/>
                <w:szCs w:val="1"/>
                <w:color w:val="auto"/>
              </w:rPr>
            </w:pPr>
          </w:p>
        </w:tc>
        <w:tc>
          <w:tcPr>
            <w:tcW w:w="1400" w:type="dxa"/>
            <w:vAlign w:val="bottom"/>
          </w:tcPr>
          <w:p>
            <w:pPr>
              <w:spacing w:after="0" w:line="20" w:lineRule="exact"/>
              <w:rPr>
                <w:sz w:val="1"/>
                <w:szCs w:val="1"/>
                <w:color w:val="auto"/>
              </w:rPr>
            </w:pPr>
          </w:p>
        </w:tc>
        <w:tc>
          <w:tcPr>
            <w:tcW w:w="240" w:type="dxa"/>
            <w:vAlign w:val="bottom"/>
            <w:shd w:val="clear" w:color="auto" w:fill="0000EE"/>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r>
        <w:trPr>
          <w:trHeight w:val="412"/>
        </w:trPr>
        <w:tc>
          <w:tcPr>
            <w:tcW w:w="7840" w:type="dxa"/>
            <w:vAlign w:val="bottom"/>
            <w:gridSpan w:val="7"/>
          </w:tcPr>
          <w:p>
            <w:pPr>
              <w:spacing w:after="0"/>
              <w:rPr>
                <w:rFonts w:ascii="Arial" w:cs="Arial" w:eastAsia="Arial" w:hAnsi="Arial"/>
                <w:sz w:val="18"/>
                <w:szCs w:val="18"/>
                <w:color w:val="0000EE"/>
                <w:w w:val="89"/>
              </w:rPr>
            </w:pPr>
            <w:hyperlink w:anchor="page34">
              <w:r>
                <w:rPr>
                  <w:rFonts w:ascii="Arial" w:cs="Arial" w:eastAsia="Arial" w:hAnsi="Arial"/>
                  <w:sz w:val="18"/>
                  <w:szCs w:val="18"/>
                  <w:color w:val="0000EE"/>
                  <w:w w:val="89"/>
                </w:rPr>
                <w:t>Consolidated Statements of Comprehensive Income (Loss) for the years ended December 31, 2021 and 2020</w:t>
              </w:r>
            </w:hyperlink>
          </w:p>
        </w:tc>
        <w:tc>
          <w:tcPr>
            <w:tcW w:w="1320" w:type="dxa"/>
            <w:vAlign w:val="bottom"/>
          </w:tcPr>
          <w:p>
            <w:pPr>
              <w:spacing w:after="0"/>
              <w:rPr>
                <w:sz w:val="24"/>
                <w:szCs w:val="24"/>
                <w:color w:val="auto"/>
              </w:rPr>
            </w:pPr>
          </w:p>
        </w:tc>
        <w:tc>
          <w:tcPr>
            <w:tcW w:w="1700" w:type="dxa"/>
            <w:vAlign w:val="bottom"/>
            <w:gridSpan w:val="3"/>
          </w:tcPr>
          <w:p>
            <w:pPr>
              <w:jc w:val="center"/>
              <w:ind w:left="1250"/>
              <w:spacing w:after="0"/>
              <w:rPr>
                <w:rFonts w:ascii="Arial" w:cs="Arial" w:eastAsia="Arial" w:hAnsi="Arial"/>
                <w:sz w:val="18"/>
                <w:szCs w:val="18"/>
                <w:color w:val="0000EE"/>
                <w:w w:val="88"/>
              </w:rPr>
            </w:pPr>
            <w:hyperlink w:anchor="page34">
              <w:r>
                <w:rPr>
                  <w:rFonts w:ascii="Arial" w:cs="Arial" w:eastAsia="Arial" w:hAnsi="Arial"/>
                  <w:sz w:val="18"/>
                  <w:szCs w:val="18"/>
                  <w:color w:val="0000EE"/>
                  <w:w w:val="88"/>
                </w:rPr>
                <w:t>F-5</w:t>
              </w:r>
            </w:hyperlink>
          </w:p>
        </w:tc>
      </w:tr>
      <w:tr>
        <w:trPr>
          <w:trHeight w:val="20"/>
        </w:trPr>
        <w:tc>
          <w:tcPr>
            <w:tcW w:w="3160" w:type="dxa"/>
            <w:vAlign w:val="bottom"/>
            <w:shd w:val="clear" w:color="auto" w:fill="0000EE"/>
          </w:tcPr>
          <w:p>
            <w:pPr>
              <w:spacing w:after="0" w:line="20" w:lineRule="exact"/>
              <w:rPr>
                <w:sz w:val="1"/>
                <w:szCs w:val="1"/>
                <w:color w:val="auto"/>
              </w:rPr>
            </w:pPr>
          </w:p>
        </w:tc>
        <w:tc>
          <w:tcPr>
            <w:tcW w:w="3300" w:type="dxa"/>
            <w:vAlign w:val="bottom"/>
            <w:gridSpan w:val="4"/>
            <w:shd w:val="clear" w:color="auto" w:fill="0000EE"/>
          </w:tcPr>
          <w:p>
            <w:pPr>
              <w:spacing w:after="0" w:line="20" w:lineRule="exact"/>
              <w:rPr>
                <w:sz w:val="1"/>
                <w:szCs w:val="1"/>
                <w:color w:val="auto"/>
              </w:rPr>
            </w:pPr>
          </w:p>
        </w:tc>
        <w:tc>
          <w:tcPr>
            <w:tcW w:w="680" w:type="dxa"/>
            <w:vAlign w:val="bottom"/>
            <w:shd w:val="clear" w:color="auto" w:fill="0000EE"/>
          </w:tcPr>
          <w:p>
            <w:pPr>
              <w:spacing w:after="0" w:line="20" w:lineRule="exact"/>
              <w:rPr>
                <w:sz w:val="1"/>
                <w:szCs w:val="1"/>
                <w:color w:val="auto"/>
              </w:rPr>
            </w:pPr>
          </w:p>
        </w:tc>
        <w:tc>
          <w:tcPr>
            <w:tcW w:w="700" w:type="dxa"/>
            <w:vAlign w:val="bottom"/>
            <w:shd w:val="clear" w:color="auto" w:fill="0000EE"/>
          </w:tcPr>
          <w:p>
            <w:pPr>
              <w:spacing w:after="0" w:line="20" w:lineRule="exact"/>
              <w:rPr>
                <w:sz w:val="1"/>
                <w:szCs w:val="1"/>
                <w:color w:val="auto"/>
              </w:rPr>
            </w:pPr>
          </w:p>
        </w:tc>
        <w:tc>
          <w:tcPr>
            <w:tcW w:w="1320" w:type="dxa"/>
            <w:vAlign w:val="bottom"/>
          </w:tcPr>
          <w:p>
            <w:pPr>
              <w:spacing w:after="0" w:line="20" w:lineRule="exact"/>
              <w:rPr>
                <w:sz w:val="1"/>
                <w:szCs w:val="1"/>
                <w:color w:val="auto"/>
              </w:rPr>
            </w:pPr>
          </w:p>
        </w:tc>
        <w:tc>
          <w:tcPr>
            <w:tcW w:w="1400" w:type="dxa"/>
            <w:vAlign w:val="bottom"/>
          </w:tcPr>
          <w:p>
            <w:pPr>
              <w:spacing w:after="0" w:line="20" w:lineRule="exact"/>
              <w:rPr>
                <w:sz w:val="1"/>
                <w:szCs w:val="1"/>
                <w:color w:val="auto"/>
              </w:rPr>
            </w:pPr>
          </w:p>
        </w:tc>
        <w:tc>
          <w:tcPr>
            <w:tcW w:w="240" w:type="dxa"/>
            <w:vAlign w:val="bottom"/>
            <w:shd w:val="clear" w:color="auto" w:fill="0000EE"/>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r>
        <w:trPr>
          <w:trHeight w:val="412"/>
        </w:trPr>
        <w:tc>
          <w:tcPr>
            <w:tcW w:w="7140" w:type="dxa"/>
            <w:vAlign w:val="bottom"/>
            <w:gridSpan w:val="6"/>
          </w:tcPr>
          <w:p>
            <w:pPr>
              <w:spacing w:after="0"/>
              <w:rPr>
                <w:rFonts w:ascii="Arial" w:cs="Arial" w:eastAsia="Arial" w:hAnsi="Arial"/>
                <w:sz w:val="18"/>
                <w:szCs w:val="18"/>
                <w:color w:val="0000EE"/>
                <w:w w:val="89"/>
              </w:rPr>
            </w:pPr>
            <w:hyperlink w:anchor="page35">
              <w:r>
                <w:rPr>
                  <w:rFonts w:ascii="Arial" w:cs="Arial" w:eastAsia="Arial" w:hAnsi="Arial"/>
                  <w:sz w:val="18"/>
                  <w:szCs w:val="18"/>
                  <w:color w:val="0000EE"/>
                  <w:w w:val="89"/>
                </w:rPr>
                <w:t>Consolidated Statements of Stockholders’ Equity for the years ended December 31, 2021 and 2020</w:t>
              </w:r>
            </w:hyperlink>
          </w:p>
        </w:tc>
        <w:tc>
          <w:tcPr>
            <w:tcW w:w="700" w:type="dxa"/>
            <w:vAlign w:val="bottom"/>
          </w:tcPr>
          <w:p>
            <w:pPr>
              <w:spacing w:after="0"/>
              <w:rPr>
                <w:sz w:val="24"/>
                <w:szCs w:val="24"/>
                <w:color w:val="auto"/>
              </w:rPr>
            </w:pPr>
          </w:p>
        </w:tc>
        <w:tc>
          <w:tcPr>
            <w:tcW w:w="1320" w:type="dxa"/>
            <w:vAlign w:val="bottom"/>
          </w:tcPr>
          <w:p>
            <w:pPr>
              <w:spacing w:after="0"/>
              <w:rPr>
                <w:sz w:val="24"/>
                <w:szCs w:val="24"/>
                <w:color w:val="auto"/>
              </w:rPr>
            </w:pPr>
          </w:p>
        </w:tc>
        <w:tc>
          <w:tcPr>
            <w:tcW w:w="1700" w:type="dxa"/>
            <w:vAlign w:val="bottom"/>
            <w:gridSpan w:val="3"/>
          </w:tcPr>
          <w:p>
            <w:pPr>
              <w:jc w:val="center"/>
              <w:ind w:left="1250"/>
              <w:spacing w:after="0"/>
              <w:rPr>
                <w:rFonts w:ascii="Arial" w:cs="Arial" w:eastAsia="Arial" w:hAnsi="Arial"/>
                <w:sz w:val="18"/>
                <w:szCs w:val="18"/>
                <w:color w:val="0000EE"/>
                <w:w w:val="88"/>
              </w:rPr>
            </w:pPr>
            <w:hyperlink w:anchor="page35">
              <w:r>
                <w:rPr>
                  <w:rFonts w:ascii="Arial" w:cs="Arial" w:eastAsia="Arial" w:hAnsi="Arial"/>
                  <w:sz w:val="18"/>
                  <w:szCs w:val="18"/>
                  <w:color w:val="0000EE"/>
                  <w:w w:val="88"/>
                </w:rPr>
                <w:t>F-6</w:t>
              </w:r>
            </w:hyperlink>
          </w:p>
        </w:tc>
      </w:tr>
      <w:tr>
        <w:trPr>
          <w:trHeight w:val="20"/>
        </w:trPr>
        <w:tc>
          <w:tcPr>
            <w:tcW w:w="3160" w:type="dxa"/>
            <w:vAlign w:val="bottom"/>
            <w:shd w:val="clear" w:color="auto" w:fill="0000EE"/>
          </w:tcPr>
          <w:p>
            <w:pPr>
              <w:spacing w:after="0" w:line="20" w:lineRule="exact"/>
              <w:rPr>
                <w:sz w:val="1"/>
                <w:szCs w:val="1"/>
                <w:color w:val="auto"/>
              </w:rPr>
            </w:pPr>
          </w:p>
        </w:tc>
        <w:tc>
          <w:tcPr>
            <w:tcW w:w="3300" w:type="dxa"/>
            <w:vAlign w:val="bottom"/>
            <w:gridSpan w:val="4"/>
            <w:shd w:val="clear" w:color="auto" w:fill="0000EE"/>
          </w:tcPr>
          <w:p>
            <w:pPr>
              <w:spacing w:after="0" w:line="20" w:lineRule="exact"/>
              <w:rPr>
                <w:sz w:val="1"/>
                <w:szCs w:val="1"/>
                <w:color w:val="auto"/>
              </w:rPr>
            </w:pPr>
          </w:p>
        </w:tc>
        <w:tc>
          <w:tcPr>
            <w:tcW w:w="680" w:type="dxa"/>
            <w:vAlign w:val="bottom"/>
            <w:shd w:val="clear" w:color="auto" w:fill="0000EE"/>
          </w:tcPr>
          <w:p>
            <w:pPr>
              <w:spacing w:after="0" w:line="20" w:lineRule="exact"/>
              <w:rPr>
                <w:sz w:val="1"/>
                <w:szCs w:val="1"/>
                <w:color w:val="auto"/>
              </w:rPr>
            </w:pPr>
          </w:p>
        </w:tc>
        <w:tc>
          <w:tcPr>
            <w:tcW w:w="2020" w:type="dxa"/>
            <w:vAlign w:val="bottom"/>
            <w:gridSpan w:val="2"/>
          </w:tcPr>
          <w:p>
            <w:pPr>
              <w:spacing w:after="0" w:line="20" w:lineRule="exact"/>
              <w:rPr>
                <w:sz w:val="1"/>
                <w:szCs w:val="1"/>
                <w:color w:val="auto"/>
              </w:rPr>
            </w:pPr>
          </w:p>
        </w:tc>
        <w:tc>
          <w:tcPr>
            <w:tcW w:w="1400" w:type="dxa"/>
            <w:vAlign w:val="bottom"/>
          </w:tcPr>
          <w:p>
            <w:pPr>
              <w:spacing w:after="0" w:line="20" w:lineRule="exact"/>
              <w:rPr>
                <w:sz w:val="1"/>
                <w:szCs w:val="1"/>
                <w:color w:val="auto"/>
              </w:rPr>
            </w:pPr>
          </w:p>
        </w:tc>
        <w:tc>
          <w:tcPr>
            <w:tcW w:w="240" w:type="dxa"/>
            <w:vAlign w:val="bottom"/>
            <w:shd w:val="clear" w:color="auto" w:fill="0000EE"/>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r>
        <w:trPr>
          <w:trHeight w:val="412"/>
        </w:trPr>
        <w:tc>
          <w:tcPr>
            <w:tcW w:w="7140" w:type="dxa"/>
            <w:vAlign w:val="bottom"/>
            <w:gridSpan w:val="6"/>
          </w:tcPr>
          <w:p>
            <w:pPr>
              <w:spacing w:after="0"/>
              <w:rPr>
                <w:rFonts w:ascii="Arial" w:cs="Arial" w:eastAsia="Arial" w:hAnsi="Arial"/>
                <w:sz w:val="18"/>
                <w:szCs w:val="18"/>
                <w:color w:val="0000EE"/>
                <w:w w:val="98"/>
              </w:rPr>
            </w:pPr>
            <w:hyperlink w:anchor="page36">
              <w:r>
                <w:rPr>
                  <w:rFonts w:ascii="Arial" w:cs="Arial" w:eastAsia="Arial" w:hAnsi="Arial"/>
                  <w:sz w:val="18"/>
                  <w:szCs w:val="18"/>
                  <w:color w:val="0000EE"/>
                  <w:w w:val="98"/>
                </w:rPr>
                <w:t>Consolidated Statements of Cash Flows for the years ended December 31, 2021 and 2020</w:t>
              </w:r>
            </w:hyperlink>
          </w:p>
        </w:tc>
        <w:tc>
          <w:tcPr>
            <w:tcW w:w="2020" w:type="dxa"/>
            <w:vAlign w:val="bottom"/>
            <w:gridSpan w:val="2"/>
          </w:tcPr>
          <w:p>
            <w:pPr>
              <w:spacing w:after="0"/>
              <w:rPr>
                <w:sz w:val="24"/>
                <w:szCs w:val="24"/>
                <w:color w:val="auto"/>
              </w:rPr>
            </w:pPr>
          </w:p>
        </w:tc>
        <w:tc>
          <w:tcPr>
            <w:tcW w:w="1700" w:type="dxa"/>
            <w:vAlign w:val="bottom"/>
            <w:gridSpan w:val="3"/>
          </w:tcPr>
          <w:p>
            <w:pPr>
              <w:jc w:val="center"/>
              <w:ind w:left="1250"/>
              <w:spacing w:after="0"/>
              <w:rPr>
                <w:rFonts w:ascii="Arial" w:cs="Arial" w:eastAsia="Arial" w:hAnsi="Arial"/>
                <w:sz w:val="18"/>
                <w:szCs w:val="18"/>
                <w:color w:val="0000EE"/>
                <w:w w:val="88"/>
              </w:rPr>
            </w:pPr>
            <w:hyperlink w:anchor="page36">
              <w:r>
                <w:rPr>
                  <w:rFonts w:ascii="Arial" w:cs="Arial" w:eastAsia="Arial" w:hAnsi="Arial"/>
                  <w:sz w:val="18"/>
                  <w:szCs w:val="18"/>
                  <w:color w:val="0000EE"/>
                  <w:w w:val="88"/>
                </w:rPr>
                <w:t>F-7</w:t>
              </w:r>
            </w:hyperlink>
          </w:p>
        </w:tc>
      </w:tr>
      <w:tr>
        <w:trPr>
          <w:trHeight w:val="20"/>
        </w:trPr>
        <w:tc>
          <w:tcPr>
            <w:tcW w:w="3160" w:type="dxa"/>
            <w:vAlign w:val="bottom"/>
            <w:shd w:val="clear" w:color="auto" w:fill="0000EE"/>
          </w:tcPr>
          <w:p>
            <w:pPr>
              <w:spacing w:after="0" w:line="20" w:lineRule="exact"/>
              <w:rPr>
                <w:sz w:val="1"/>
                <w:szCs w:val="1"/>
                <w:color w:val="auto"/>
              </w:rPr>
            </w:pPr>
          </w:p>
        </w:tc>
        <w:tc>
          <w:tcPr>
            <w:tcW w:w="3300" w:type="dxa"/>
            <w:vAlign w:val="bottom"/>
            <w:gridSpan w:val="4"/>
            <w:shd w:val="clear" w:color="auto" w:fill="0000EE"/>
          </w:tcPr>
          <w:p>
            <w:pPr>
              <w:spacing w:after="0" w:line="20" w:lineRule="exact"/>
              <w:rPr>
                <w:sz w:val="1"/>
                <w:szCs w:val="1"/>
                <w:color w:val="auto"/>
              </w:rPr>
            </w:pPr>
          </w:p>
        </w:tc>
        <w:tc>
          <w:tcPr>
            <w:tcW w:w="2700" w:type="dxa"/>
            <w:vAlign w:val="bottom"/>
            <w:gridSpan w:val="3"/>
          </w:tcPr>
          <w:p>
            <w:pPr>
              <w:spacing w:after="0" w:line="20" w:lineRule="exact"/>
              <w:rPr>
                <w:sz w:val="1"/>
                <w:szCs w:val="1"/>
                <w:color w:val="auto"/>
              </w:rPr>
            </w:pPr>
          </w:p>
        </w:tc>
        <w:tc>
          <w:tcPr>
            <w:tcW w:w="1400" w:type="dxa"/>
            <w:vAlign w:val="bottom"/>
          </w:tcPr>
          <w:p>
            <w:pPr>
              <w:spacing w:after="0" w:line="20" w:lineRule="exact"/>
              <w:rPr>
                <w:sz w:val="1"/>
                <w:szCs w:val="1"/>
                <w:color w:val="auto"/>
              </w:rPr>
            </w:pPr>
          </w:p>
        </w:tc>
        <w:tc>
          <w:tcPr>
            <w:tcW w:w="240" w:type="dxa"/>
            <w:vAlign w:val="bottom"/>
            <w:shd w:val="clear" w:color="auto" w:fill="0000EE"/>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r>
        <w:trPr>
          <w:trHeight w:val="412"/>
        </w:trPr>
        <w:tc>
          <w:tcPr>
            <w:tcW w:w="3160" w:type="dxa"/>
            <w:vAlign w:val="bottom"/>
          </w:tcPr>
          <w:p>
            <w:pPr>
              <w:spacing w:after="0"/>
              <w:rPr>
                <w:rFonts w:ascii="Arial" w:cs="Arial" w:eastAsia="Arial" w:hAnsi="Arial"/>
                <w:sz w:val="18"/>
                <w:szCs w:val="18"/>
                <w:color w:val="0000EE"/>
                <w:w w:val="89"/>
              </w:rPr>
            </w:pPr>
            <w:hyperlink w:anchor="page37">
              <w:r>
                <w:rPr>
                  <w:rFonts w:ascii="Arial" w:cs="Arial" w:eastAsia="Arial" w:hAnsi="Arial"/>
                  <w:sz w:val="18"/>
                  <w:szCs w:val="18"/>
                  <w:color w:val="0000EE"/>
                  <w:w w:val="89"/>
                </w:rPr>
                <w:t>Notes to Consolidated Financial Statements</w:t>
              </w:r>
            </w:hyperlink>
          </w:p>
        </w:tc>
        <w:tc>
          <w:tcPr>
            <w:tcW w:w="3300" w:type="dxa"/>
            <w:vAlign w:val="bottom"/>
            <w:gridSpan w:val="4"/>
          </w:tcPr>
          <w:p>
            <w:pPr>
              <w:spacing w:after="0"/>
              <w:rPr>
                <w:sz w:val="24"/>
                <w:szCs w:val="24"/>
                <w:color w:val="auto"/>
              </w:rPr>
            </w:pPr>
          </w:p>
        </w:tc>
        <w:tc>
          <w:tcPr>
            <w:tcW w:w="2700" w:type="dxa"/>
            <w:vAlign w:val="bottom"/>
            <w:gridSpan w:val="3"/>
          </w:tcPr>
          <w:p>
            <w:pPr>
              <w:spacing w:after="0"/>
              <w:rPr>
                <w:sz w:val="24"/>
                <w:szCs w:val="24"/>
                <w:color w:val="auto"/>
              </w:rPr>
            </w:pPr>
          </w:p>
        </w:tc>
        <w:tc>
          <w:tcPr>
            <w:tcW w:w="1700" w:type="dxa"/>
            <w:vAlign w:val="bottom"/>
            <w:gridSpan w:val="3"/>
          </w:tcPr>
          <w:p>
            <w:pPr>
              <w:jc w:val="center"/>
              <w:ind w:left="1250"/>
              <w:spacing w:after="0"/>
              <w:rPr>
                <w:rFonts w:ascii="Arial" w:cs="Arial" w:eastAsia="Arial" w:hAnsi="Arial"/>
                <w:sz w:val="18"/>
                <w:szCs w:val="18"/>
                <w:color w:val="0000EE"/>
                <w:w w:val="88"/>
              </w:rPr>
            </w:pPr>
            <w:hyperlink w:anchor="page37">
              <w:r>
                <w:rPr>
                  <w:rFonts w:ascii="Arial" w:cs="Arial" w:eastAsia="Arial" w:hAnsi="Arial"/>
                  <w:sz w:val="18"/>
                  <w:szCs w:val="18"/>
                  <w:color w:val="0000EE"/>
                  <w:w w:val="88"/>
                </w:rPr>
                <w:t>F-8</w:t>
              </w:r>
            </w:hyperlink>
          </w:p>
        </w:tc>
      </w:tr>
      <w:tr>
        <w:trPr>
          <w:trHeight w:val="20"/>
        </w:trPr>
        <w:tc>
          <w:tcPr>
            <w:tcW w:w="3160" w:type="dxa"/>
            <w:vAlign w:val="bottom"/>
            <w:shd w:val="clear" w:color="auto" w:fill="0000EE"/>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7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1320" w:type="dxa"/>
            <w:vAlign w:val="bottom"/>
          </w:tcPr>
          <w:p>
            <w:pPr>
              <w:spacing w:after="0" w:line="20" w:lineRule="exact"/>
              <w:rPr>
                <w:sz w:val="1"/>
                <w:szCs w:val="1"/>
                <w:color w:val="auto"/>
              </w:rPr>
            </w:pPr>
          </w:p>
        </w:tc>
        <w:tc>
          <w:tcPr>
            <w:tcW w:w="1400" w:type="dxa"/>
            <w:vAlign w:val="bottom"/>
          </w:tcPr>
          <w:p>
            <w:pPr>
              <w:spacing w:after="0" w:line="20" w:lineRule="exact"/>
              <w:rPr>
                <w:sz w:val="1"/>
                <w:szCs w:val="1"/>
                <w:color w:val="auto"/>
              </w:rPr>
            </w:pPr>
          </w:p>
        </w:tc>
        <w:tc>
          <w:tcPr>
            <w:tcW w:w="240" w:type="dxa"/>
            <w:vAlign w:val="bottom"/>
            <w:shd w:val="clear" w:color="auto" w:fill="0000EE"/>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5" w:lineRule="exact"/>
        <w:rPr>
          <w:sz w:val="20"/>
          <w:szCs w:val="20"/>
          <w:color w:val="auto"/>
        </w:rPr>
      </w:pPr>
    </w:p>
    <w:p>
      <w:pPr>
        <w:jc w:val="center"/>
        <w:ind w:right="-379"/>
        <w:spacing w:after="0"/>
        <w:rPr>
          <w:sz w:val="20"/>
          <w:szCs w:val="20"/>
          <w:color w:val="auto"/>
        </w:rPr>
      </w:pPr>
      <w:r>
        <w:rPr>
          <w:rFonts w:ascii="Arial" w:cs="Arial" w:eastAsia="Arial" w:hAnsi="Arial"/>
          <w:sz w:val="18"/>
          <w:szCs w:val="18"/>
          <w:color w:val="auto"/>
        </w:rPr>
        <w:t>F-1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0860"/>
          </w:cols>
          <w:pgMar w:left="320" w:top="125" w:right="719" w:bottom="1440" w:gutter="0" w:footer="0" w:header="0"/>
        </w:sectPr>
      </w:pPr>
    </w:p>
    <w:bookmarkStart w:id="30" w:name="page31"/>
    <w:bookmarkEnd w:id="30"/>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REPORT OF INDEPENDENT REGISTERED PUBLIC ACCOUNTING FIRM</w:t>
      </w:r>
    </w:p>
    <w:p>
      <w:pPr>
        <w:spacing w:after="0" w:line="200" w:lineRule="exact"/>
        <w:rPr>
          <w:sz w:val="20"/>
          <w:szCs w:val="20"/>
          <w:color w:val="auto"/>
        </w:rPr>
      </w:pPr>
    </w:p>
    <w:p>
      <w:pPr>
        <w:spacing w:after="0" w:line="245" w:lineRule="exact"/>
        <w:rPr>
          <w:sz w:val="20"/>
          <w:szCs w:val="20"/>
          <w:color w:val="auto"/>
        </w:rPr>
      </w:pPr>
    </w:p>
    <w:p>
      <w:pPr>
        <w:spacing w:after="0"/>
        <w:rPr>
          <w:sz w:val="20"/>
          <w:szCs w:val="20"/>
          <w:color w:val="auto"/>
        </w:rPr>
      </w:pPr>
      <w:r>
        <w:rPr>
          <w:rFonts w:ascii="Arial" w:cs="Arial" w:eastAsia="Arial" w:hAnsi="Arial"/>
          <w:sz w:val="18"/>
          <w:szCs w:val="18"/>
          <w:color w:val="auto"/>
        </w:rPr>
        <w:t>Board of Directors and Shareholders</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Harvard Bioscience Inc.</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Opinion on the financial statements</w:t>
      </w:r>
    </w:p>
    <w:p>
      <w:pPr>
        <w:spacing w:after="0" w:line="27" w:lineRule="exact"/>
        <w:rPr>
          <w:sz w:val="20"/>
          <w:szCs w:val="20"/>
          <w:color w:val="auto"/>
        </w:rPr>
      </w:pPr>
    </w:p>
    <w:p>
      <w:pPr>
        <w:ind w:right="100"/>
        <w:spacing w:after="0" w:line="252" w:lineRule="auto"/>
        <w:rPr>
          <w:sz w:val="20"/>
          <w:szCs w:val="20"/>
          <w:color w:val="auto"/>
        </w:rPr>
      </w:pPr>
      <w:r>
        <w:rPr>
          <w:rFonts w:ascii="Arial" w:cs="Arial" w:eastAsia="Arial" w:hAnsi="Arial"/>
          <w:sz w:val="18"/>
          <w:szCs w:val="18"/>
          <w:color w:val="auto"/>
        </w:rPr>
        <w:t>We have audited the accompanying consolidated balance sheets of Harvard Bioscience Inc. (a Delaware corporation) and subsidiaries (the “Company”) as of December 31, 2021 and 2020, the related consolidated statements of operations, comprehensive income (loss), stockholders’ equity, and cash flows for each of the two years in the period ended December 31, 2021, and the related notes (collectively referred to as the “financial statements”). In our opinion, the financial statements present fairly, in all material respects, the financial position of the Company as of December 31, 2021 and 2020, and the results of its operations and its cash flows for each of the two years in the period ended December 31, 2021, in conformity with accounting principles generally accepted in the United States of America.</w:t>
      </w:r>
    </w:p>
    <w:p>
      <w:pPr>
        <w:spacing w:after="0" w:line="194" w:lineRule="exact"/>
        <w:rPr>
          <w:sz w:val="20"/>
          <w:szCs w:val="20"/>
          <w:color w:val="auto"/>
        </w:rPr>
      </w:pPr>
    </w:p>
    <w:p>
      <w:pPr>
        <w:spacing w:after="0" w:line="259" w:lineRule="auto"/>
        <w:rPr>
          <w:sz w:val="20"/>
          <w:szCs w:val="20"/>
          <w:color w:val="auto"/>
        </w:rPr>
      </w:pPr>
      <w:r>
        <w:rPr>
          <w:rFonts w:ascii="Arial" w:cs="Arial" w:eastAsia="Arial" w:hAnsi="Arial"/>
          <w:sz w:val="18"/>
          <w:szCs w:val="18"/>
          <w:color w:val="auto"/>
        </w:rPr>
        <w:t xml:space="preserve">We also have audited, in accordance with the standards of the Public Company Accounting Oversight Board (United States) (“PCAOB”), the Company’s internal control over financial reporting as of December 31, 2021, based on criteria established in the 2013 </w:t>
      </w:r>
      <w:r>
        <w:rPr>
          <w:rFonts w:ascii="Arial" w:cs="Arial" w:eastAsia="Arial" w:hAnsi="Arial"/>
          <w:sz w:val="18"/>
          <w:szCs w:val="18"/>
          <w:i w:val="1"/>
          <w:iCs w:val="1"/>
          <w:color w:val="auto"/>
        </w:rPr>
        <w:t>Internal Control</w:t>
      </w:r>
      <w:r>
        <w:rPr>
          <w:rFonts w:ascii="Arial" w:cs="Arial" w:eastAsia="Arial" w:hAnsi="Arial"/>
          <w:sz w:val="18"/>
          <w:szCs w:val="18"/>
          <w:color w:val="auto"/>
        </w:rPr>
        <w:t>—</w:t>
      </w:r>
      <w:r>
        <w:rPr>
          <w:rFonts w:ascii="Arial" w:cs="Arial" w:eastAsia="Arial" w:hAnsi="Arial"/>
          <w:sz w:val="18"/>
          <w:szCs w:val="18"/>
          <w:i w:val="1"/>
          <w:iCs w:val="1"/>
          <w:color w:val="auto"/>
        </w:rPr>
        <w:t>Integrated Framework</w:t>
      </w:r>
      <w:r>
        <w:rPr>
          <w:rFonts w:ascii="Arial" w:cs="Arial" w:eastAsia="Arial" w:hAnsi="Arial"/>
          <w:sz w:val="18"/>
          <w:szCs w:val="18"/>
          <w:color w:val="auto"/>
        </w:rPr>
        <w:t xml:space="preserve"> issued by the Committee of Sponsoring Organizations of the Treadway Commission (“COSO”), and our report dated March 11, 2022 expressed an unqualified opinion.</w:t>
      </w:r>
    </w:p>
    <w:p>
      <w:pPr>
        <w:spacing w:after="0" w:line="18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Basis for opinion</w:t>
      </w:r>
    </w:p>
    <w:p>
      <w:pPr>
        <w:spacing w:after="0" w:line="27" w:lineRule="exact"/>
        <w:rPr>
          <w:sz w:val="20"/>
          <w:szCs w:val="20"/>
          <w:color w:val="auto"/>
        </w:rPr>
      </w:pPr>
    </w:p>
    <w:p>
      <w:pPr>
        <w:ind w:right="140"/>
        <w:spacing w:after="0" w:line="253" w:lineRule="auto"/>
        <w:rPr>
          <w:sz w:val="20"/>
          <w:szCs w:val="20"/>
          <w:color w:val="auto"/>
        </w:rPr>
      </w:pPr>
      <w:r>
        <w:rPr>
          <w:rFonts w:ascii="Arial" w:cs="Arial" w:eastAsia="Arial" w:hAnsi="Arial"/>
          <w:sz w:val="18"/>
          <w:szCs w:val="18"/>
          <w:color w:val="auto"/>
        </w:rPr>
        <w:t>These financial statements are the responsibility of the Company’s management. Our responsibility is to express an opinion on the Company’s financial statements based on our audits. We are a public accounting firm registered with the PCAOB and are required to be independent with respect to the Company in accordance with the U.S. federal securities laws and the applicable rules and regulations of the Securities and Exchange Commission and the PCAOB.</w:t>
      </w:r>
    </w:p>
    <w:p>
      <w:pPr>
        <w:spacing w:after="0" w:line="193" w:lineRule="exact"/>
        <w:rPr>
          <w:sz w:val="20"/>
          <w:szCs w:val="20"/>
          <w:color w:val="auto"/>
        </w:rPr>
      </w:pPr>
    </w:p>
    <w:p>
      <w:pPr>
        <w:spacing w:after="0" w:line="273" w:lineRule="auto"/>
        <w:rPr>
          <w:sz w:val="20"/>
          <w:szCs w:val="20"/>
          <w:color w:val="auto"/>
        </w:rPr>
      </w:pPr>
      <w:r>
        <w:rPr>
          <w:rFonts w:ascii="Arial" w:cs="Arial" w:eastAsia="Arial" w:hAnsi="Arial"/>
          <w:sz w:val="17"/>
          <w:szCs w:val="17"/>
          <w:color w:val="auto"/>
        </w:rPr>
        <w:t>We conducted our audits in accordance with the standards of the PCAOB. Those standards require that we plan and perform the audit to obtain reasonable assurance about whether the financial statements are free of material misstatement, whether due to error or fraud. Our audits included performing procedures to assess the risks of material misstatement of the financial statements, whether due to error or fraud, and performing procedures that respond to those risks. Such procedures included examining, on a test basis, evidence regarding the amounts and disclosures in the financial statements. Our audits also included evaluating the accounting principles used and significant estimates made by management, as well as evaluating the overall presentation of the financial statements. We believe that our audits provide a reasonable basis for our opinion.</w:t>
      </w:r>
    </w:p>
    <w:p>
      <w:pPr>
        <w:spacing w:after="0" w:line="17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Critical audit matters</w:t>
      </w:r>
    </w:p>
    <w:p>
      <w:pPr>
        <w:spacing w:after="0" w:line="27" w:lineRule="exact"/>
        <w:rPr>
          <w:sz w:val="20"/>
          <w:szCs w:val="20"/>
          <w:color w:val="auto"/>
        </w:rPr>
      </w:pPr>
    </w:p>
    <w:p>
      <w:pPr>
        <w:ind w:right="100"/>
        <w:spacing w:after="0" w:line="255" w:lineRule="auto"/>
        <w:rPr>
          <w:sz w:val="20"/>
          <w:szCs w:val="20"/>
          <w:color w:val="auto"/>
        </w:rPr>
      </w:pPr>
      <w:r>
        <w:rPr>
          <w:rFonts w:ascii="Arial" w:cs="Arial" w:eastAsia="Arial" w:hAnsi="Arial"/>
          <w:sz w:val="18"/>
          <w:szCs w:val="18"/>
          <w:color w:val="auto"/>
        </w:rPr>
        <w:t>Critical audit matters are matters arising from the current period audit of the financial statements that were communicated or required to be communicated to the audit committee and that: (1) relate to accounts or disclosures that are material to the financial statements and (2) involved our especially challenging, subjective, or complex judgments. We determined that there are no critical audit matters.</w:t>
      </w:r>
    </w:p>
    <w:p>
      <w:pPr>
        <w:spacing w:after="0" w:line="190" w:lineRule="exact"/>
        <w:rPr>
          <w:sz w:val="20"/>
          <w:szCs w:val="20"/>
          <w:color w:val="auto"/>
        </w:rPr>
      </w:pPr>
    </w:p>
    <w:p>
      <w:pPr>
        <w:spacing w:after="0"/>
        <w:rPr>
          <w:sz w:val="20"/>
          <w:szCs w:val="20"/>
          <w:color w:val="auto"/>
        </w:rPr>
      </w:pPr>
      <w:r>
        <w:rPr>
          <w:rFonts w:ascii="Arial" w:cs="Arial" w:eastAsia="Arial" w:hAnsi="Arial"/>
          <w:sz w:val="18"/>
          <w:szCs w:val="18"/>
          <w:color w:val="auto"/>
        </w:rPr>
        <w:t>/s/ GRANT THORNTON LLP</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We have served as the Company’s auditor since 2017.</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Boston, Massachusetts</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March 11, 2022</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3"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F-2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20"/>
          </w:cols>
          <w:pgMar w:left="320" w:top="125" w:right="359" w:bottom="1440" w:gutter="0" w:footer="0" w:header="0"/>
        </w:sectPr>
      </w:pPr>
    </w:p>
    <w:bookmarkStart w:id="31" w:name="page32"/>
    <w:bookmarkEnd w:id="31"/>
    <w:tbl>
      <w:tblPr>
        <w:tblLayout w:type="fixed"/>
        <w:tblInd w:w="0" w:type="dxa"/>
        <w:tblCellMar>
          <w:top w:w="0" w:type="dxa"/>
          <w:left w:w="0" w:type="dxa"/>
          <w:bottom w:w="0" w:type="dxa"/>
          <w:right w:w="0" w:type="dxa"/>
        </w:tblCellMar>
      </w:tblPr>
      <w:tr>
        <w:trPr>
          <w:trHeight w:val="207"/>
        </w:trPr>
        <w:tc>
          <w:tcPr>
            <w:tcW w:w="7880" w:type="dxa"/>
            <w:vAlign w:val="bottom"/>
            <w:gridSpan w:val="3"/>
          </w:tcPr>
          <w:p>
            <w:pPr>
              <w:spacing w:after="0"/>
              <w:rPr>
                <w:rFonts w:ascii="Arial" w:cs="Arial" w:eastAsia="Arial" w:hAnsi="Arial"/>
                <w:sz w:val="18"/>
                <w:szCs w:val="18"/>
                <w:color w:val="0000EE"/>
              </w:rPr>
            </w:pPr>
            <w:hyperlink w:anchor="page3">
              <w:r>
                <w:rPr>
                  <w:rFonts w:ascii="Arial" w:cs="Arial" w:eastAsia="Arial" w:hAnsi="Arial"/>
                  <w:sz w:val="18"/>
                  <w:szCs w:val="18"/>
                  <w:color w:val="0000EE"/>
                </w:rPr>
                <w:t>Table of Contents</w:t>
              </w:r>
            </w:hyperlink>
          </w:p>
        </w:tc>
        <w:tc>
          <w:tcPr>
            <w:tcW w:w="320" w:type="dxa"/>
            <w:vAlign w:val="bottom"/>
          </w:tcPr>
          <w:p>
            <w:pPr>
              <w:spacing w:after="0"/>
              <w:rPr>
                <w:sz w:val="17"/>
                <w:szCs w:val="17"/>
                <w:color w:val="auto"/>
              </w:rPr>
            </w:pPr>
          </w:p>
        </w:tc>
        <w:tc>
          <w:tcPr>
            <w:tcW w:w="12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1140" w:type="dxa"/>
            <w:vAlign w:val="bottom"/>
          </w:tcPr>
          <w:p>
            <w:pPr>
              <w:spacing w:after="0"/>
              <w:rPr>
                <w:sz w:val="17"/>
                <w:szCs w:val="17"/>
                <w:color w:val="auto"/>
              </w:rPr>
            </w:pPr>
          </w:p>
        </w:tc>
      </w:tr>
      <w:tr>
        <w:trPr>
          <w:trHeight w:val="677"/>
        </w:trPr>
        <w:tc>
          <w:tcPr>
            <w:tcW w:w="1280" w:type="dxa"/>
            <w:vAlign w:val="bottom"/>
            <w:tcBorders>
              <w:top w:val="single" w:sz="8" w:color="0000EE"/>
            </w:tcBorders>
          </w:tcPr>
          <w:p>
            <w:pPr>
              <w:spacing w:after="0"/>
              <w:rPr>
                <w:sz w:val="24"/>
                <w:szCs w:val="24"/>
                <w:color w:val="auto"/>
              </w:rPr>
            </w:pPr>
          </w:p>
        </w:tc>
        <w:tc>
          <w:tcPr>
            <w:tcW w:w="1300" w:type="dxa"/>
            <w:vAlign w:val="bottom"/>
          </w:tcPr>
          <w:p>
            <w:pPr>
              <w:spacing w:after="0"/>
              <w:rPr>
                <w:sz w:val="24"/>
                <w:szCs w:val="24"/>
                <w:color w:val="auto"/>
              </w:rPr>
            </w:pPr>
          </w:p>
        </w:tc>
        <w:tc>
          <w:tcPr>
            <w:tcW w:w="5300" w:type="dxa"/>
            <w:vAlign w:val="bottom"/>
          </w:tcPr>
          <w:p>
            <w:pPr>
              <w:jc w:val="center"/>
              <w:ind w:left="850"/>
              <w:spacing w:after="0"/>
              <w:rPr>
                <w:sz w:val="20"/>
                <w:szCs w:val="20"/>
                <w:color w:val="auto"/>
              </w:rPr>
            </w:pPr>
            <w:r>
              <w:rPr>
                <w:rFonts w:ascii="Arial" w:cs="Arial" w:eastAsia="Arial" w:hAnsi="Arial"/>
                <w:sz w:val="18"/>
                <w:szCs w:val="18"/>
                <w:b w:val="1"/>
                <w:bCs w:val="1"/>
                <w:color w:val="auto"/>
                <w:w w:val="99"/>
              </w:rPr>
              <w:t>HARVARD BIOSCIENCE, INC.</w:t>
            </w:r>
          </w:p>
        </w:tc>
        <w:tc>
          <w:tcPr>
            <w:tcW w:w="32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1140" w:type="dxa"/>
            <w:vAlign w:val="bottom"/>
          </w:tcPr>
          <w:p>
            <w:pPr>
              <w:spacing w:after="0"/>
              <w:rPr>
                <w:sz w:val="24"/>
                <w:szCs w:val="24"/>
                <w:color w:val="auto"/>
              </w:rPr>
            </w:pPr>
          </w:p>
        </w:tc>
      </w:tr>
      <w:tr>
        <w:trPr>
          <w:trHeight w:val="216"/>
        </w:trPr>
        <w:tc>
          <w:tcPr>
            <w:tcW w:w="128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5300" w:type="dxa"/>
            <w:vAlign w:val="bottom"/>
          </w:tcPr>
          <w:p>
            <w:pPr>
              <w:jc w:val="center"/>
              <w:ind w:left="850"/>
              <w:spacing w:after="0"/>
              <w:rPr>
                <w:sz w:val="20"/>
                <w:szCs w:val="20"/>
                <w:color w:val="auto"/>
              </w:rPr>
            </w:pPr>
            <w:r>
              <w:rPr>
                <w:rFonts w:ascii="Arial" w:cs="Arial" w:eastAsia="Arial" w:hAnsi="Arial"/>
                <w:sz w:val="18"/>
                <w:szCs w:val="18"/>
                <w:b w:val="1"/>
                <w:bCs w:val="1"/>
                <w:color w:val="auto"/>
                <w:w w:val="99"/>
              </w:rPr>
              <w:t>CONSOLIDATED BALANCE SHEETS</w:t>
            </w:r>
          </w:p>
        </w:tc>
        <w:tc>
          <w:tcPr>
            <w:tcW w:w="320" w:type="dxa"/>
            <w:vAlign w:val="bottom"/>
          </w:tcPr>
          <w:p>
            <w:pPr>
              <w:spacing w:after="0"/>
              <w:rPr>
                <w:sz w:val="18"/>
                <w:szCs w:val="18"/>
                <w:color w:val="auto"/>
              </w:rPr>
            </w:pPr>
          </w:p>
        </w:tc>
        <w:tc>
          <w:tcPr>
            <w:tcW w:w="12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140" w:type="dxa"/>
            <w:vAlign w:val="bottom"/>
          </w:tcPr>
          <w:p>
            <w:pPr>
              <w:spacing w:after="0"/>
              <w:rPr>
                <w:sz w:val="18"/>
                <w:szCs w:val="18"/>
                <w:color w:val="auto"/>
              </w:rPr>
            </w:pPr>
          </w:p>
        </w:tc>
      </w:tr>
      <w:tr>
        <w:trPr>
          <w:trHeight w:val="234"/>
        </w:trPr>
        <w:tc>
          <w:tcPr>
            <w:tcW w:w="1280" w:type="dxa"/>
            <w:vAlign w:val="bottom"/>
          </w:tcPr>
          <w:p>
            <w:pPr>
              <w:spacing w:after="0"/>
              <w:rPr>
                <w:sz w:val="20"/>
                <w:szCs w:val="20"/>
                <w:color w:val="auto"/>
              </w:rPr>
            </w:pPr>
          </w:p>
        </w:tc>
        <w:tc>
          <w:tcPr>
            <w:tcW w:w="1300" w:type="dxa"/>
            <w:vAlign w:val="bottom"/>
          </w:tcPr>
          <w:p>
            <w:pPr>
              <w:spacing w:after="0"/>
              <w:rPr>
                <w:sz w:val="20"/>
                <w:szCs w:val="20"/>
                <w:color w:val="auto"/>
              </w:rPr>
            </w:pPr>
          </w:p>
        </w:tc>
        <w:tc>
          <w:tcPr>
            <w:tcW w:w="5300" w:type="dxa"/>
            <w:vAlign w:val="bottom"/>
          </w:tcPr>
          <w:p>
            <w:pPr>
              <w:jc w:val="center"/>
              <w:ind w:left="850"/>
              <w:spacing w:after="0"/>
              <w:rPr>
                <w:sz w:val="20"/>
                <w:szCs w:val="20"/>
                <w:color w:val="auto"/>
              </w:rPr>
            </w:pPr>
            <w:r>
              <w:rPr>
                <w:rFonts w:ascii="Arial" w:cs="Arial" w:eastAsia="Arial" w:hAnsi="Arial"/>
                <w:sz w:val="18"/>
                <w:szCs w:val="18"/>
                <w:b w:val="1"/>
                <w:bCs w:val="1"/>
                <w:color w:val="auto"/>
                <w:w w:val="88"/>
              </w:rPr>
              <w:t>(In thousands, except share and per share data)</w:t>
            </w:r>
          </w:p>
        </w:tc>
        <w:tc>
          <w:tcPr>
            <w:tcW w:w="320" w:type="dxa"/>
            <w:vAlign w:val="bottom"/>
          </w:tcPr>
          <w:p>
            <w:pPr>
              <w:spacing w:after="0"/>
              <w:rPr>
                <w:sz w:val="20"/>
                <w:szCs w:val="20"/>
                <w:color w:val="auto"/>
              </w:rPr>
            </w:pPr>
          </w:p>
        </w:tc>
        <w:tc>
          <w:tcPr>
            <w:tcW w:w="12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1140" w:type="dxa"/>
            <w:vAlign w:val="bottom"/>
          </w:tcPr>
          <w:p>
            <w:pPr>
              <w:spacing w:after="0"/>
              <w:rPr>
                <w:sz w:val="20"/>
                <w:szCs w:val="20"/>
                <w:color w:val="auto"/>
              </w:rPr>
            </w:pPr>
          </w:p>
        </w:tc>
      </w:tr>
      <w:tr>
        <w:trPr>
          <w:trHeight w:val="432"/>
        </w:trPr>
        <w:tc>
          <w:tcPr>
            <w:tcW w:w="1280" w:type="dxa"/>
            <w:vAlign w:val="bottom"/>
          </w:tcPr>
          <w:p>
            <w:pPr>
              <w:spacing w:after="0"/>
              <w:rPr>
                <w:sz w:val="24"/>
                <w:szCs w:val="24"/>
                <w:color w:val="auto"/>
              </w:rPr>
            </w:pPr>
          </w:p>
        </w:tc>
        <w:tc>
          <w:tcPr>
            <w:tcW w:w="1300" w:type="dxa"/>
            <w:vAlign w:val="bottom"/>
          </w:tcPr>
          <w:p>
            <w:pPr>
              <w:spacing w:after="0"/>
              <w:rPr>
                <w:sz w:val="24"/>
                <w:szCs w:val="24"/>
                <w:color w:val="auto"/>
              </w:rPr>
            </w:pPr>
          </w:p>
        </w:tc>
        <w:tc>
          <w:tcPr>
            <w:tcW w:w="5300" w:type="dxa"/>
            <w:vAlign w:val="bottom"/>
          </w:tcPr>
          <w:p>
            <w:pPr>
              <w:spacing w:after="0"/>
              <w:rPr>
                <w:sz w:val="24"/>
                <w:szCs w:val="24"/>
                <w:color w:val="auto"/>
              </w:rPr>
            </w:pPr>
          </w:p>
        </w:tc>
        <w:tc>
          <w:tcPr>
            <w:tcW w:w="320" w:type="dxa"/>
            <w:vAlign w:val="bottom"/>
            <w:tcBorders>
              <w:bottom w:val="single" w:sz="8" w:color="auto"/>
            </w:tcBorders>
          </w:tcPr>
          <w:p>
            <w:pPr>
              <w:spacing w:after="0"/>
              <w:rPr>
                <w:sz w:val="24"/>
                <w:szCs w:val="24"/>
                <w:color w:val="auto"/>
              </w:rPr>
            </w:pPr>
          </w:p>
        </w:tc>
        <w:tc>
          <w:tcPr>
            <w:tcW w:w="1900" w:type="dxa"/>
            <w:vAlign w:val="bottom"/>
            <w:tcBorders>
              <w:bottom w:val="single" w:sz="8" w:color="auto"/>
            </w:tcBorders>
            <w:gridSpan w:val="3"/>
          </w:tcPr>
          <w:p>
            <w:pPr>
              <w:jc w:val="right"/>
              <w:ind w:right="80"/>
              <w:spacing w:after="0"/>
              <w:rPr>
                <w:sz w:val="20"/>
                <w:szCs w:val="20"/>
                <w:color w:val="auto"/>
              </w:rPr>
            </w:pPr>
            <w:r>
              <w:rPr>
                <w:rFonts w:ascii="Arial" w:cs="Arial" w:eastAsia="Arial" w:hAnsi="Arial"/>
                <w:sz w:val="18"/>
                <w:szCs w:val="18"/>
                <w:b w:val="1"/>
                <w:bCs w:val="1"/>
                <w:color w:val="auto"/>
              </w:rPr>
              <w:t>December 31,</w:t>
            </w:r>
          </w:p>
        </w:tc>
        <w:tc>
          <w:tcPr>
            <w:tcW w:w="1140" w:type="dxa"/>
            <w:vAlign w:val="bottom"/>
            <w:tcBorders>
              <w:bottom w:val="single" w:sz="8" w:color="auto"/>
            </w:tcBorders>
          </w:tcPr>
          <w:p>
            <w:pPr>
              <w:spacing w:after="0"/>
              <w:rPr>
                <w:sz w:val="24"/>
                <w:szCs w:val="24"/>
                <w:color w:val="auto"/>
              </w:rPr>
            </w:pPr>
          </w:p>
        </w:tc>
      </w:tr>
      <w:tr>
        <w:trPr>
          <w:trHeight w:val="209"/>
        </w:trPr>
        <w:tc>
          <w:tcPr>
            <w:tcW w:w="128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5300" w:type="dxa"/>
            <w:vAlign w:val="bottom"/>
          </w:tcPr>
          <w:p>
            <w:pPr>
              <w:spacing w:after="0"/>
              <w:rPr>
                <w:sz w:val="18"/>
                <w:szCs w:val="18"/>
                <w:color w:val="auto"/>
              </w:rPr>
            </w:pPr>
          </w:p>
        </w:tc>
        <w:tc>
          <w:tcPr>
            <w:tcW w:w="320" w:type="dxa"/>
            <w:vAlign w:val="bottom"/>
            <w:tcBorders>
              <w:bottom w:val="single" w:sz="8" w:color="auto"/>
            </w:tcBorders>
          </w:tcPr>
          <w:p>
            <w:pPr>
              <w:spacing w:after="0"/>
              <w:rPr>
                <w:sz w:val="18"/>
                <w:szCs w:val="18"/>
                <w:color w:val="auto"/>
              </w:rPr>
            </w:pPr>
          </w:p>
        </w:tc>
        <w:tc>
          <w:tcPr>
            <w:tcW w:w="1280" w:type="dxa"/>
            <w:vAlign w:val="bottom"/>
            <w:tcBorders>
              <w:bottom w:val="single" w:sz="8" w:color="auto"/>
            </w:tcBorders>
          </w:tcPr>
          <w:p>
            <w:pPr>
              <w:jc w:val="right"/>
              <w:ind w:right="590"/>
              <w:spacing w:after="0"/>
              <w:rPr>
                <w:sz w:val="20"/>
                <w:szCs w:val="20"/>
                <w:color w:val="auto"/>
              </w:rPr>
            </w:pPr>
            <w:r>
              <w:rPr>
                <w:rFonts w:ascii="Arial" w:cs="Arial" w:eastAsia="Arial" w:hAnsi="Arial"/>
                <w:sz w:val="18"/>
                <w:szCs w:val="18"/>
                <w:b w:val="1"/>
                <w:bCs w:val="1"/>
                <w:color w:val="auto"/>
              </w:rPr>
              <w:t>2021</w:t>
            </w:r>
          </w:p>
        </w:tc>
        <w:tc>
          <w:tcPr>
            <w:tcW w:w="120" w:type="dxa"/>
            <w:vAlign w:val="bottom"/>
          </w:tcPr>
          <w:p>
            <w:pPr>
              <w:spacing w:after="0"/>
              <w:rPr>
                <w:sz w:val="18"/>
                <w:szCs w:val="18"/>
                <w:color w:val="auto"/>
              </w:rPr>
            </w:pPr>
          </w:p>
        </w:tc>
        <w:tc>
          <w:tcPr>
            <w:tcW w:w="500" w:type="dxa"/>
            <w:vAlign w:val="bottom"/>
            <w:tcBorders>
              <w:bottom w:val="single" w:sz="8" w:color="auto"/>
            </w:tcBorders>
          </w:tcPr>
          <w:p>
            <w:pPr>
              <w:spacing w:after="0"/>
              <w:rPr>
                <w:sz w:val="18"/>
                <w:szCs w:val="18"/>
                <w:color w:val="auto"/>
              </w:rPr>
            </w:pPr>
          </w:p>
        </w:tc>
        <w:tc>
          <w:tcPr>
            <w:tcW w:w="1140" w:type="dxa"/>
            <w:vAlign w:val="bottom"/>
            <w:tcBorders>
              <w:bottom w:val="single" w:sz="8" w:color="auto"/>
            </w:tcBorders>
          </w:tcPr>
          <w:p>
            <w:pPr>
              <w:jc w:val="right"/>
              <w:ind w:right="610"/>
              <w:spacing w:after="0"/>
              <w:rPr>
                <w:sz w:val="20"/>
                <w:szCs w:val="20"/>
                <w:color w:val="auto"/>
              </w:rPr>
            </w:pPr>
            <w:r>
              <w:rPr>
                <w:rFonts w:ascii="Arial" w:cs="Arial" w:eastAsia="Arial" w:hAnsi="Arial"/>
                <w:sz w:val="18"/>
                <w:szCs w:val="18"/>
                <w:b w:val="1"/>
                <w:bCs w:val="1"/>
                <w:color w:val="auto"/>
              </w:rPr>
              <w:t>2020</w:t>
            </w:r>
          </w:p>
        </w:tc>
      </w:tr>
      <w:tr>
        <w:trPr>
          <w:trHeight w:val="210"/>
        </w:trPr>
        <w:tc>
          <w:tcPr>
            <w:tcW w:w="788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Assets</w:t>
            </w:r>
          </w:p>
        </w:tc>
        <w:tc>
          <w:tcPr>
            <w:tcW w:w="320" w:type="dxa"/>
            <w:vAlign w:val="bottom"/>
            <w:shd w:val="clear" w:color="auto" w:fill="CCEEFF"/>
          </w:tcPr>
          <w:p>
            <w:pPr>
              <w:spacing w:after="0"/>
              <w:rPr>
                <w:sz w:val="18"/>
                <w:szCs w:val="18"/>
                <w:color w:val="auto"/>
              </w:rPr>
            </w:pPr>
          </w:p>
        </w:tc>
        <w:tc>
          <w:tcPr>
            <w:tcW w:w="12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r>
      <w:tr>
        <w:trPr>
          <w:trHeight w:val="216"/>
        </w:trPr>
        <w:tc>
          <w:tcPr>
            <w:tcW w:w="7880" w:type="dxa"/>
            <w:vAlign w:val="bottom"/>
            <w:gridSpan w:val="3"/>
          </w:tcPr>
          <w:p>
            <w:pPr>
              <w:spacing w:after="0"/>
              <w:rPr>
                <w:sz w:val="20"/>
                <w:szCs w:val="20"/>
                <w:color w:val="auto"/>
              </w:rPr>
            </w:pPr>
            <w:r>
              <w:rPr>
                <w:rFonts w:ascii="Arial" w:cs="Arial" w:eastAsia="Arial" w:hAnsi="Arial"/>
                <w:sz w:val="18"/>
                <w:szCs w:val="18"/>
                <w:color w:val="auto"/>
              </w:rPr>
              <w:t>Current assets:</w:t>
            </w:r>
          </w:p>
        </w:tc>
        <w:tc>
          <w:tcPr>
            <w:tcW w:w="320" w:type="dxa"/>
            <w:vAlign w:val="bottom"/>
          </w:tcPr>
          <w:p>
            <w:pPr>
              <w:spacing w:after="0"/>
              <w:rPr>
                <w:sz w:val="18"/>
                <w:szCs w:val="18"/>
                <w:color w:val="auto"/>
              </w:rPr>
            </w:pPr>
          </w:p>
        </w:tc>
        <w:tc>
          <w:tcPr>
            <w:tcW w:w="12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140" w:type="dxa"/>
            <w:vAlign w:val="bottom"/>
          </w:tcPr>
          <w:p>
            <w:pPr>
              <w:spacing w:after="0"/>
              <w:rPr>
                <w:sz w:val="18"/>
                <w:szCs w:val="18"/>
                <w:color w:val="auto"/>
              </w:rPr>
            </w:pPr>
          </w:p>
        </w:tc>
      </w:tr>
      <w:tr>
        <w:trPr>
          <w:trHeight w:val="216"/>
        </w:trPr>
        <w:tc>
          <w:tcPr>
            <w:tcW w:w="7880" w:type="dxa"/>
            <w:vAlign w:val="bottom"/>
            <w:gridSpan w:val="3"/>
            <w:shd w:val="clear" w:color="auto" w:fill="CCEEFF"/>
          </w:tcPr>
          <w:p>
            <w:pPr>
              <w:ind w:left="180"/>
              <w:spacing w:after="0"/>
              <w:rPr>
                <w:sz w:val="20"/>
                <w:szCs w:val="20"/>
                <w:color w:val="auto"/>
              </w:rPr>
            </w:pPr>
            <w:r>
              <w:rPr>
                <w:rFonts w:ascii="Arial" w:cs="Arial" w:eastAsia="Arial" w:hAnsi="Arial"/>
                <w:sz w:val="18"/>
                <w:szCs w:val="18"/>
                <w:color w:val="auto"/>
              </w:rPr>
              <w:t>Cash and cash equivalents</w:t>
            </w:r>
          </w:p>
        </w:tc>
        <w:tc>
          <w:tcPr>
            <w:tcW w:w="320" w:type="dxa"/>
            <w:vAlign w:val="bottom"/>
            <w:shd w:val="clear" w:color="auto" w:fill="CCEEFF"/>
          </w:tcPr>
          <w:p>
            <w:pPr>
              <w:jc w:val="right"/>
              <w:ind w:right="167"/>
              <w:spacing w:after="0"/>
              <w:rPr>
                <w:sz w:val="20"/>
                <w:szCs w:val="20"/>
                <w:color w:val="auto"/>
              </w:rPr>
            </w:pPr>
            <w:r>
              <w:rPr>
                <w:rFonts w:ascii="Arial" w:cs="Arial" w:eastAsia="Arial" w:hAnsi="Arial"/>
                <w:sz w:val="15"/>
                <w:szCs w:val="15"/>
                <w:color w:val="auto"/>
                <w:w w:val="71"/>
              </w:rPr>
              <w:t>$</w:t>
            </w:r>
          </w:p>
        </w:tc>
        <w:tc>
          <w:tcPr>
            <w:tcW w:w="128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7,821</w:t>
            </w:r>
          </w:p>
        </w:tc>
        <w:tc>
          <w:tcPr>
            <w:tcW w:w="620" w:type="dxa"/>
            <w:vAlign w:val="bottom"/>
            <w:gridSpan w:val="2"/>
            <w:shd w:val="clear" w:color="auto" w:fill="CCEEFF"/>
          </w:tcPr>
          <w:p>
            <w:pPr>
              <w:jc w:val="right"/>
              <w:ind w:right="420"/>
              <w:spacing w:after="0"/>
              <w:rPr>
                <w:sz w:val="20"/>
                <w:szCs w:val="20"/>
                <w:color w:val="auto"/>
              </w:rPr>
            </w:pPr>
            <w:r>
              <w:rPr>
                <w:rFonts w:ascii="Arial" w:cs="Arial" w:eastAsia="Arial" w:hAnsi="Arial"/>
                <w:sz w:val="18"/>
                <w:szCs w:val="18"/>
                <w:color w:val="auto"/>
              </w:rPr>
              <w:t>$</w:t>
            </w:r>
          </w:p>
        </w:tc>
        <w:tc>
          <w:tcPr>
            <w:tcW w:w="114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8,317</w:t>
            </w:r>
          </w:p>
        </w:tc>
      </w:tr>
      <w:tr>
        <w:trPr>
          <w:trHeight w:val="216"/>
        </w:trPr>
        <w:tc>
          <w:tcPr>
            <w:tcW w:w="7880" w:type="dxa"/>
            <w:vAlign w:val="bottom"/>
            <w:gridSpan w:val="3"/>
          </w:tcPr>
          <w:p>
            <w:pPr>
              <w:ind w:left="180"/>
              <w:spacing w:after="0"/>
              <w:rPr>
                <w:sz w:val="20"/>
                <w:szCs w:val="20"/>
                <w:color w:val="auto"/>
              </w:rPr>
            </w:pPr>
            <w:r>
              <w:rPr>
                <w:rFonts w:ascii="Arial" w:cs="Arial" w:eastAsia="Arial" w:hAnsi="Arial"/>
                <w:sz w:val="18"/>
                <w:szCs w:val="18"/>
                <w:color w:val="auto"/>
              </w:rPr>
              <w:t>Accounts receivable, net</w:t>
            </w:r>
          </w:p>
        </w:tc>
        <w:tc>
          <w:tcPr>
            <w:tcW w:w="320" w:type="dxa"/>
            <w:vAlign w:val="bottom"/>
          </w:tcPr>
          <w:p>
            <w:pPr>
              <w:spacing w:after="0"/>
              <w:rPr>
                <w:sz w:val="18"/>
                <w:szCs w:val="18"/>
                <w:color w:val="auto"/>
              </w:rPr>
            </w:pPr>
          </w:p>
        </w:tc>
        <w:tc>
          <w:tcPr>
            <w:tcW w:w="1280" w:type="dxa"/>
            <w:vAlign w:val="bottom"/>
          </w:tcPr>
          <w:p>
            <w:pPr>
              <w:jc w:val="right"/>
              <w:ind w:right="10"/>
              <w:spacing w:after="0"/>
              <w:rPr>
                <w:sz w:val="20"/>
                <w:szCs w:val="20"/>
                <w:color w:val="auto"/>
              </w:rPr>
            </w:pPr>
            <w:r>
              <w:rPr>
                <w:rFonts w:ascii="Arial" w:cs="Arial" w:eastAsia="Arial" w:hAnsi="Arial"/>
                <w:sz w:val="18"/>
                <w:szCs w:val="18"/>
                <w:color w:val="auto"/>
              </w:rPr>
              <w:t>21,834</w:t>
            </w:r>
          </w:p>
        </w:tc>
        <w:tc>
          <w:tcPr>
            <w:tcW w:w="12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140" w:type="dxa"/>
            <w:vAlign w:val="bottom"/>
          </w:tcPr>
          <w:p>
            <w:pPr>
              <w:jc w:val="right"/>
              <w:ind w:right="30"/>
              <w:spacing w:after="0"/>
              <w:rPr>
                <w:sz w:val="20"/>
                <w:szCs w:val="20"/>
                <w:color w:val="auto"/>
              </w:rPr>
            </w:pPr>
            <w:r>
              <w:rPr>
                <w:rFonts w:ascii="Arial" w:cs="Arial" w:eastAsia="Arial" w:hAnsi="Arial"/>
                <w:sz w:val="18"/>
                <w:szCs w:val="18"/>
                <w:color w:val="auto"/>
              </w:rPr>
              <w:t>17,766</w:t>
            </w:r>
          </w:p>
        </w:tc>
      </w:tr>
      <w:tr>
        <w:trPr>
          <w:trHeight w:val="216"/>
        </w:trPr>
        <w:tc>
          <w:tcPr>
            <w:tcW w:w="7880" w:type="dxa"/>
            <w:vAlign w:val="bottom"/>
            <w:gridSpan w:val="3"/>
            <w:shd w:val="clear" w:color="auto" w:fill="CCEEFF"/>
          </w:tcPr>
          <w:p>
            <w:pPr>
              <w:ind w:left="180"/>
              <w:spacing w:after="0"/>
              <w:rPr>
                <w:sz w:val="20"/>
                <w:szCs w:val="20"/>
                <w:color w:val="auto"/>
              </w:rPr>
            </w:pPr>
            <w:r>
              <w:rPr>
                <w:rFonts w:ascii="Arial" w:cs="Arial" w:eastAsia="Arial" w:hAnsi="Arial"/>
                <w:sz w:val="18"/>
                <w:szCs w:val="18"/>
                <w:color w:val="auto"/>
              </w:rPr>
              <w:t>Inventories</w:t>
            </w:r>
          </w:p>
        </w:tc>
        <w:tc>
          <w:tcPr>
            <w:tcW w:w="320" w:type="dxa"/>
            <w:vAlign w:val="bottom"/>
            <w:shd w:val="clear" w:color="auto" w:fill="CCEEFF"/>
          </w:tcPr>
          <w:p>
            <w:pPr>
              <w:spacing w:after="0"/>
              <w:rPr>
                <w:sz w:val="18"/>
                <w:szCs w:val="18"/>
                <w:color w:val="auto"/>
              </w:rPr>
            </w:pPr>
          </w:p>
        </w:tc>
        <w:tc>
          <w:tcPr>
            <w:tcW w:w="128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27,587</w:t>
            </w:r>
          </w:p>
        </w:tc>
        <w:tc>
          <w:tcPr>
            <w:tcW w:w="12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114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22,262</w:t>
            </w:r>
          </w:p>
        </w:tc>
      </w:tr>
      <w:tr>
        <w:trPr>
          <w:trHeight w:val="216"/>
        </w:trPr>
        <w:tc>
          <w:tcPr>
            <w:tcW w:w="7880" w:type="dxa"/>
            <w:vAlign w:val="bottom"/>
            <w:gridSpan w:val="3"/>
          </w:tcPr>
          <w:p>
            <w:pPr>
              <w:ind w:left="180"/>
              <w:spacing w:after="0"/>
              <w:rPr>
                <w:sz w:val="20"/>
                <w:szCs w:val="20"/>
                <w:color w:val="auto"/>
              </w:rPr>
            </w:pPr>
            <w:r>
              <w:rPr>
                <w:rFonts w:ascii="Arial" w:cs="Arial" w:eastAsia="Arial" w:hAnsi="Arial"/>
                <w:sz w:val="18"/>
                <w:szCs w:val="18"/>
                <w:color w:val="auto"/>
              </w:rPr>
              <w:t>Other current assets</w:t>
            </w:r>
          </w:p>
        </w:tc>
        <w:tc>
          <w:tcPr>
            <w:tcW w:w="320" w:type="dxa"/>
            <w:vAlign w:val="bottom"/>
            <w:tcBorders>
              <w:bottom w:val="single" w:sz="8" w:color="auto"/>
            </w:tcBorders>
          </w:tcPr>
          <w:p>
            <w:pPr>
              <w:spacing w:after="0"/>
              <w:rPr>
                <w:sz w:val="18"/>
                <w:szCs w:val="18"/>
                <w:color w:val="auto"/>
              </w:rPr>
            </w:pPr>
          </w:p>
        </w:tc>
        <w:tc>
          <w:tcPr>
            <w:tcW w:w="128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4,341</w:t>
            </w:r>
          </w:p>
        </w:tc>
        <w:tc>
          <w:tcPr>
            <w:tcW w:w="120" w:type="dxa"/>
            <w:vAlign w:val="bottom"/>
          </w:tcPr>
          <w:p>
            <w:pPr>
              <w:spacing w:after="0"/>
              <w:rPr>
                <w:sz w:val="18"/>
                <w:szCs w:val="18"/>
                <w:color w:val="auto"/>
              </w:rPr>
            </w:pPr>
          </w:p>
        </w:tc>
        <w:tc>
          <w:tcPr>
            <w:tcW w:w="500" w:type="dxa"/>
            <w:vAlign w:val="bottom"/>
            <w:tcBorders>
              <w:bottom w:val="single" w:sz="8" w:color="auto"/>
            </w:tcBorders>
          </w:tcPr>
          <w:p>
            <w:pPr>
              <w:spacing w:after="0"/>
              <w:rPr>
                <w:sz w:val="18"/>
                <w:szCs w:val="18"/>
                <w:color w:val="auto"/>
              </w:rPr>
            </w:pPr>
          </w:p>
        </w:tc>
        <w:tc>
          <w:tcPr>
            <w:tcW w:w="114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3,355</w:t>
            </w:r>
          </w:p>
        </w:tc>
      </w:tr>
      <w:tr>
        <w:trPr>
          <w:trHeight w:val="209"/>
        </w:trPr>
        <w:tc>
          <w:tcPr>
            <w:tcW w:w="7880" w:type="dxa"/>
            <w:vAlign w:val="bottom"/>
            <w:gridSpan w:val="3"/>
            <w:shd w:val="clear" w:color="auto" w:fill="CCEEFF"/>
          </w:tcPr>
          <w:p>
            <w:pPr>
              <w:ind w:left="340"/>
              <w:spacing w:after="0"/>
              <w:rPr>
                <w:sz w:val="20"/>
                <w:szCs w:val="20"/>
                <w:color w:val="auto"/>
              </w:rPr>
            </w:pPr>
            <w:r>
              <w:rPr>
                <w:rFonts w:ascii="Arial" w:cs="Arial" w:eastAsia="Arial" w:hAnsi="Arial"/>
                <w:sz w:val="18"/>
                <w:szCs w:val="18"/>
                <w:color w:val="auto"/>
              </w:rPr>
              <w:t>Total current assets</w:t>
            </w:r>
          </w:p>
        </w:tc>
        <w:tc>
          <w:tcPr>
            <w:tcW w:w="320" w:type="dxa"/>
            <w:vAlign w:val="bottom"/>
            <w:shd w:val="clear" w:color="auto" w:fill="CCEEFF"/>
          </w:tcPr>
          <w:p>
            <w:pPr>
              <w:spacing w:after="0"/>
              <w:rPr>
                <w:sz w:val="18"/>
                <w:szCs w:val="18"/>
                <w:color w:val="auto"/>
              </w:rPr>
            </w:pPr>
          </w:p>
        </w:tc>
        <w:tc>
          <w:tcPr>
            <w:tcW w:w="128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61,583</w:t>
            </w:r>
          </w:p>
        </w:tc>
        <w:tc>
          <w:tcPr>
            <w:tcW w:w="12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114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51,700</w:t>
            </w:r>
          </w:p>
        </w:tc>
      </w:tr>
      <w:tr>
        <w:trPr>
          <w:trHeight w:val="216"/>
        </w:trPr>
        <w:tc>
          <w:tcPr>
            <w:tcW w:w="7880" w:type="dxa"/>
            <w:vAlign w:val="bottom"/>
            <w:gridSpan w:val="3"/>
          </w:tcPr>
          <w:p>
            <w:pPr>
              <w:spacing w:after="0"/>
              <w:rPr>
                <w:sz w:val="20"/>
                <w:szCs w:val="20"/>
                <w:color w:val="auto"/>
              </w:rPr>
            </w:pPr>
            <w:r>
              <w:rPr>
                <w:rFonts w:ascii="Arial" w:cs="Arial" w:eastAsia="Arial" w:hAnsi="Arial"/>
                <w:sz w:val="18"/>
                <w:szCs w:val="18"/>
                <w:color w:val="auto"/>
              </w:rPr>
              <w:t>Property, plant and equipment, net</w:t>
            </w:r>
          </w:p>
        </w:tc>
        <w:tc>
          <w:tcPr>
            <w:tcW w:w="320" w:type="dxa"/>
            <w:vAlign w:val="bottom"/>
          </w:tcPr>
          <w:p>
            <w:pPr>
              <w:spacing w:after="0"/>
              <w:rPr>
                <w:sz w:val="18"/>
                <w:szCs w:val="18"/>
                <w:color w:val="auto"/>
              </w:rPr>
            </w:pPr>
          </w:p>
        </w:tc>
        <w:tc>
          <w:tcPr>
            <w:tcW w:w="1280" w:type="dxa"/>
            <w:vAlign w:val="bottom"/>
          </w:tcPr>
          <w:p>
            <w:pPr>
              <w:jc w:val="right"/>
              <w:ind w:right="10"/>
              <w:spacing w:after="0"/>
              <w:rPr>
                <w:sz w:val="20"/>
                <w:szCs w:val="20"/>
                <w:color w:val="auto"/>
              </w:rPr>
            </w:pPr>
            <w:r>
              <w:rPr>
                <w:rFonts w:ascii="Arial" w:cs="Arial" w:eastAsia="Arial" w:hAnsi="Arial"/>
                <w:sz w:val="18"/>
                <w:szCs w:val="18"/>
                <w:color w:val="auto"/>
              </w:rPr>
              <w:t>3,415</w:t>
            </w:r>
          </w:p>
        </w:tc>
        <w:tc>
          <w:tcPr>
            <w:tcW w:w="12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140" w:type="dxa"/>
            <w:vAlign w:val="bottom"/>
          </w:tcPr>
          <w:p>
            <w:pPr>
              <w:jc w:val="right"/>
              <w:ind w:right="30"/>
              <w:spacing w:after="0"/>
              <w:rPr>
                <w:sz w:val="20"/>
                <w:szCs w:val="20"/>
                <w:color w:val="auto"/>
              </w:rPr>
            </w:pPr>
            <w:r>
              <w:rPr>
                <w:rFonts w:ascii="Arial" w:cs="Arial" w:eastAsia="Arial" w:hAnsi="Arial"/>
                <w:sz w:val="18"/>
                <w:szCs w:val="18"/>
                <w:color w:val="auto"/>
              </w:rPr>
              <w:t>3,960</w:t>
            </w:r>
          </w:p>
        </w:tc>
      </w:tr>
      <w:tr>
        <w:trPr>
          <w:trHeight w:val="216"/>
        </w:trPr>
        <w:tc>
          <w:tcPr>
            <w:tcW w:w="788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Operating lease right-of-use assets</w:t>
            </w:r>
          </w:p>
        </w:tc>
        <w:tc>
          <w:tcPr>
            <w:tcW w:w="320" w:type="dxa"/>
            <w:vAlign w:val="bottom"/>
            <w:shd w:val="clear" w:color="auto" w:fill="CCEEFF"/>
          </w:tcPr>
          <w:p>
            <w:pPr>
              <w:spacing w:after="0"/>
              <w:rPr>
                <w:sz w:val="18"/>
                <w:szCs w:val="18"/>
                <w:color w:val="auto"/>
              </w:rPr>
            </w:pPr>
          </w:p>
        </w:tc>
        <w:tc>
          <w:tcPr>
            <w:tcW w:w="128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6,897</w:t>
            </w:r>
          </w:p>
        </w:tc>
        <w:tc>
          <w:tcPr>
            <w:tcW w:w="12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114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7,761</w:t>
            </w:r>
          </w:p>
        </w:tc>
      </w:tr>
      <w:tr>
        <w:trPr>
          <w:trHeight w:val="216"/>
        </w:trPr>
        <w:tc>
          <w:tcPr>
            <w:tcW w:w="7880" w:type="dxa"/>
            <w:vAlign w:val="bottom"/>
            <w:gridSpan w:val="3"/>
          </w:tcPr>
          <w:p>
            <w:pPr>
              <w:spacing w:after="0"/>
              <w:rPr>
                <w:sz w:val="20"/>
                <w:szCs w:val="20"/>
                <w:color w:val="auto"/>
              </w:rPr>
            </w:pPr>
            <w:r>
              <w:rPr>
                <w:rFonts w:ascii="Arial" w:cs="Arial" w:eastAsia="Arial" w:hAnsi="Arial"/>
                <w:sz w:val="18"/>
                <w:szCs w:val="18"/>
                <w:color w:val="auto"/>
              </w:rPr>
              <w:t>Goodwill</w:t>
            </w:r>
          </w:p>
        </w:tc>
        <w:tc>
          <w:tcPr>
            <w:tcW w:w="320" w:type="dxa"/>
            <w:vAlign w:val="bottom"/>
          </w:tcPr>
          <w:p>
            <w:pPr>
              <w:spacing w:after="0"/>
              <w:rPr>
                <w:sz w:val="18"/>
                <w:szCs w:val="18"/>
                <w:color w:val="auto"/>
              </w:rPr>
            </w:pPr>
          </w:p>
        </w:tc>
        <w:tc>
          <w:tcPr>
            <w:tcW w:w="1280" w:type="dxa"/>
            <w:vAlign w:val="bottom"/>
          </w:tcPr>
          <w:p>
            <w:pPr>
              <w:jc w:val="right"/>
              <w:ind w:right="10"/>
              <w:spacing w:after="0"/>
              <w:rPr>
                <w:sz w:val="20"/>
                <w:szCs w:val="20"/>
                <w:color w:val="auto"/>
              </w:rPr>
            </w:pPr>
            <w:r>
              <w:rPr>
                <w:rFonts w:ascii="Arial" w:cs="Arial" w:eastAsia="Arial" w:hAnsi="Arial"/>
                <w:sz w:val="18"/>
                <w:szCs w:val="18"/>
                <w:color w:val="auto"/>
              </w:rPr>
              <w:t>57,689</w:t>
            </w:r>
          </w:p>
        </w:tc>
        <w:tc>
          <w:tcPr>
            <w:tcW w:w="12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140" w:type="dxa"/>
            <w:vAlign w:val="bottom"/>
          </w:tcPr>
          <w:p>
            <w:pPr>
              <w:jc w:val="right"/>
              <w:ind w:right="30"/>
              <w:spacing w:after="0"/>
              <w:rPr>
                <w:sz w:val="20"/>
                <w:szCs w:val="20"/>
                <w:color w:val="auto"/>
              </w:rPr>
            </w:pPr>
            <w:r>
              <w:rPr>
                <w:rFonts w:ascii="Arial" w:cs="Arial" w:eastAsia="Arial" w:hAnsi="Arial"/>
                <w:sz w:val="18"/>
                <w:szCs w:val="18"/>
                <w:color w:val="auto"/>
              </w:rPr>
              <w:t>58,590</w:t>
            </w:r>
          </w:p>
        </w:tc>
      </w:tr>
      <w:tr>
        <w:trPr>
          <w:trHeight w:val="216"/>
        </w:trPr>
        <w:tc>
          <w:tcPr>
            <w:tcW w:w="788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Intangible assets, net</w:t>
            </w:r>
          </w:p>
        </w:tc>
        <w:tc>
          <w:tcPr>
            <w:tcW w:w="320" w:type="dxa"/>
            <w:vAlign w:val="bottom"/>
            <w:shd w:val="clear" w:color="auto" w:fill="CCEEFF"/>
          </w:tcPr>
          <w:p>
            <w:pPr>
              <w:spacing w:after="0"/>
              <w:rPr>
                <w:sz w:val="18"/>
                <w:szCs w:val="18"/>
                <w:color w:val="auto"/>
              </w:rPr>
            </w:pPr>
          </w:p>
        </w:tc>
        <w:tc>
          <w:tcPr>
            <w:tcW w:w="128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27,385</w:t>
            </w:r>
          </w:p>
        </w:tc>
        <w:tc>
          <w:tcPr>
            <w:tcW w:w="12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114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33,151</w:t>
            </w:r>
          </w:p>
        </w:tc>
      </w:tr>
      <w:tr>
        <w:trPr>
          <w:trHeight w:val="216"/>
        </w:trPr>
        <w:tc>
          <w:tcPr>
            <w:tcW w:w="7880" w:type="dxa"/>
            <w:vAlign w:val="bottom"/>
            <w:gridSpan w:val="3"/>
          </w:tcPr>
          <w:p>
            <w:pPr>
              <w:spacing w:after="0"/>
              <w:rPr>
                <w:sz w:val="20"/>
                <w:szCs w:val="20"/>
                <w:color w:val="auto"/>
              </w:rPr>
            </w:pPr>
            <w:r>
              <w:rPr>
                <w:rFonts w:ascii="Arial" w:cs="Arial" w:eastAsia="Arial" w:hAnsi="Arial"/>
                <w:sz w:val="18"/>
                <w:szCs w:val="18"/>
                <w:color w:val="auto"/>
              </w:rPr>
              <w:t>Other long-term assets</w:t>
            </w:r>
          </w:p>
        </w:tc>
        <w:tc>
          <w:tcPr>
            <w:tcW w:w="320" w:type="dxa"/>
            <w:vAlign w:val="bottom"/>
            <w:tcBorders>
              <w:bottom w:val="single" w:sz="8" w:color="auto"/>
            </w:tcBorders>
          </w:tcPr>
          <w:p>
            <w:pPr>
              <w:spacing w:after="0"/>
              <w:rPr>
                <w:sz w:val="18"/>
                <w:szCs w:val="18"/>
                <w:color w:val="auto"/>
              </w:rPr>
            </w:pPr>
          </w:p>
        </w:tc>
        <w:tc>
          <w:tcPr>
            <w:tcW w:w="128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5,375</w:t>
            </w:r>
          </w:p>
        </w:tc>
        <w:tc>
          <w:tcPr>
            <w:tcW w:w="120" w:type="dxa"/>
            <w:vAlign w:val="bottom"/>
          </w:tcPr>
          <w:p>
            <w:pPr>
              <w:spacing w:after="0"/>
              <w:rPr>
                <w:sz w:val="18"/>
                <w:szCs w:val="18"/>
                <w:color w:val="auto"/>
              </w:rPr>
            </w:pPr>
          </w:p>
        </w:tc>
        <w:tc>
          <w:tcPr>
            <w:tcW w:w="500" w:type="dxa"/>
            <w:vAlign w:val="bottom"/>
            <w:tcBorders>
              <w:bottom w:val="single" w:sz="8" w:color="auto"/>
            </w:tcBorders>
          </w:tcPr>
          <w:p>
            <w:pPr>
              <w:spacing w:after="0"/>
              <w:rPr>
                <w:sz w:val="18"/>
                <w:szCs w:val="18"/>
                <w:color w:val="auto"/>
              </w:rPr>
            </w:pPr>
          </w:p>
        </w:tc>
        <w:tc>
          <w:tcPr>
            <w:tcW w:w="114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1,092</w:t>
            </w:r>
          </w:p>
        </w:tc>
      </w:tr>
      <w:tr>
        <w:trPr>
          <w:trHeight w:val="249"/>
        </w:trPr>
        <w:tc>
          <w:tcPr>
            <w:tcW w:w="7880" w:type="dxa"/>
            <w:vAlign w:val="bottom"/>
            <w:gridSpan w:val="3"/>
            <w:shd w:val="clear" w:color="auto" w:fill="CCEEFF"/>
          </w:tcPr>
          <w:p>
            <w:pPr>
              <w:ind w:left="340"/>
              <w:spacing w:after="0"/>
              <w:rPr>
                <w:sz w:val="20"/>
                <w:szCs w:val="20"/>
                <w:color w:val="auto"/>
              </w:rPr>
            </w:pPr>
            <w:r>
              <w:rPr>
                <w:rFonts w:ascii="Arial" w:cs="Arial" w:eastAsia="Arial" w:hAnsi="Arial"/>
                <w:sz w:val="18"/>
                <w:szCs w:val="18"/>
                <w:color w:val="auto"/>
              </w:rPr>
              <w:t>Total assets</w:t>
            </w:r>
          </w:p>
        </w:tc>
        <w:tc>
          <w:tcPr>
            <w:tcW w:w="320" w:type="dxa"/>
            <w:vAlign w:val="bottom"/>
            <w:shd w:val="clear" w:color="auto" w:fill="CCEEFF"/>
          </w:tcPr>
          <w:p>
            <w:pPr>
              <w:jc w:val="right"/>
              <w:ind w:right="167"/>
              <w:spacing w:after="0"/>
              <w:rPr>
                <w:sz w:val="20"/>
                <w:szCs w:val="20"/>
                <w:color w:val="auto"/>
              </w:rPr>
            </w:pPr>
            <w:r>
              <w:rPr>
                <w:rFonts w:ascii="Arial" w:cs="Arial" w:eastAsia="Arial" w:hAnsi="Arial"/>
                <w:sz w:val="15"/>
                <w:szCs w:val="15"/>
                <w:color w:val="auto"/>
                <w:w w:val="71"/>
              </w:rPr>
              <w:t>$</w:t>
            </w:r>
          </w:p>
        </w:tc>
        <w:tc>
          <w:tcPr>
            <w:tcW w:w="128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162,344</w:t>
            </w:r>
          </w:p>
        </w:tc>
        <w:tc>
          <w:tcPr>
            <w:tcW w:w="620" w:type="dxa"/>
            <w:vAlign w:val="bottom"/>
            <w:gridSpan w:val="2"/>
            <w:shd w:val="clear" w:color="auto" w:fill="CCEEFF"/>
          </w:tcPr>
          <w:p>
            <w:pPr>
              <w:jc w:val="right"/>
              <w:ind w:right="420"/>
              <w:spacing w:after="0"/>
              <w:rPr>
                <w:sz w:val="20"/>
                <w:szCs w:val="20"/>
                <w:color w:val="auto"/>
              </w:rPr>
            </w:pPr>
            <w:r>
              <w:rPr>
                <w:rFonts w:ascii="Arial" w:cs="Arial" w:eastAsia="Arial" w:hAnsi="Arial"/>
                <w:sz w:val="18"/>
                <w:szCs w:val="18"/>
                <w:color w:val="auto"/>
              </w:rPr>
              <w:t>$</w:t>
            </w:r>
          </w:p>
        </w:tc>
        <w:tc>
          <w:tcPr>
            <w:tcW w:w="114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156,254</w:t>
            </w:r>
          </w:p>
        </w:tc>
      </w:tr>
      <w:tr>
        <w:trPr>
          <w:trHeight w:val="156"/>
        </w:trPr>
        <w:tc>
          <w:tcPr>
            <w:tcW w:w="7880" w:type="dxa"/>
            <w:vAlign w:val="bottom"/>
            <w:tcBorders>
              <w:top w:val="single" w:sz="8" w:color="CCEEFF"/>
            </w:tcBorders>
            <w:gridSpan w:val="3"/>
          </w:tcPr>
          <w:p>
            <w:pPr>
              <w:spacing w:after="0" w:line="156" w:lineRule="exact"/>
              <w:rPr>
                <w:sz w:val="20"/>
                <w:szCs w:val="20"/>
                <w:color w:val="auto"/>
              </w:rPr>
            </w:pPr>
            <w:r>
              <w:rPr>
                <w:rFonts w:ascii="Arial" w:cs="Arial" w:eastAsia="Arial" w:hAnsi="Arial"/>
                <w:sz w:val="18"/>
                <w:szCs w:val="18"/>
                <w:color w:val="auto"/>
              </w:rPr>
              <w:t>Liabilities and Stockholders' Equity</w:t>
            </w:r>
          </w:p>
        </w:tc>
        <w:tc>
          <w:tcPr>
            <w:tcW w:w="320" w:type="dxa"/>
            <w:vAlign w:val="bottom"/>
            <w:tcBorders>
              <w:top w:val="single" w:sz="8" w:color="auto"/>
            </w:tcBorders>
          </w:tcPr>
          <w:p>
            <w:pPr>
              <w:spacing w:after="0"/>
              <w:rPr>
                <w:sz w:val="13"/>
                <w:szCs w:val="13"/>
                <w:color w:val="auto"/>
              </w:rPr>
            </w:pPr>
          </w:p>
        </w:tc>
        <w:tc>
          <w:tcPr>
            <w:tcW w:w="1280" w:type="dxa"/>
            <w:vAlign w:val="bottom"/>
            <w:tcBorders>
              <w:top w:val="single" w:sz="8" w:color="auto"/>
            </w:tcBorders>
          </w:tcPr>
          <w:p>
            <w:pPr>
              <w:spacing w:after="0"/>
              <w:rPr>
                <w:sz w:val="13"/>
                <w:szCs w:val="13"/>
                <w:color w:val="auto"/>
              </w:rPr>
            </w:pPr>
          </w:p>
        </w:tc>
        <w:tc>
          <w:tcPr>
            <w:tcW w:w="120" w:type="dxa"/>
            <w:vAlign w:val="bottom"/>
            <w:tcBorders>
              <w:top w:val="single" w:sz="8" w:color="CCEEFF"/>
            </w:tcBorders>
          </w:tcPr>
          <w:p>
            <w:pPr>
              <w:spacing w:after="0"/>
              <w:rPr>
                <w:sz w:val="13"/>
                <w:szCs w:val="13"/>
                <w:color w:val="auto"/>
              </w:rPr>
            </w:pPr>
          </w:p>
        </w:tc>
        <w:tc>
          <w:tcPr>
            <w:tcW w:w="500" w:type="dxa"/>
            <w:vAlign w:val="bottom"/>
            <w:tcBorders>
              <w:top w:val="single" w:sz="8" w:color="auto"/>
            </w:tcBorders>
          </w:tcPr>
          <w:p>
            <w:pPr>
              <w:spacing w:after="0"/>
              <w:rPr>
                <w:sz w:val="13"/>
                <w:szCs w:val="13"/>
                <w:color w:val="auto"/>
              </w:rPr>
            </w:pPr>
          </w:p>
        </w:tc>
        <w:tc>
          <w:tcPr>
            <w:tcW w:w="1140" w:type="dxa"/>
            <w:vAlign w:val="bottom"/>
            <w:tcBorders>
              <w:top w:val="single" w:sz="8" w:color="auto"/>
            </w:tcBorders>
          </w:tcPr>
          <w:p>
            <w:pPr>
              <w:spacing w:after="0"/>
              <w:rPr>
                <w:sz w:val="13"/>
                <w:szCs w:val="13"/>
                <w:color w:val="auto"/>
              </w:rPr>
            </w:pPr>
          </w:p>
        </w:tc>
      </w:tr>
      <w:tr>
        <w:trPr>
          <w:trHeight w:val="21"/>
        </w:trPr>
        <w:tc>
          <w:tcPr>
            <w:tcW w:w="1280" w:type="dxa"/>
            <w:vAlign w:val="bottom"/>
            <w:tcBorders>
              <w:top w:val="single" w:sz="8" w:color="auto"/>
            </w:tcBorders>
          </w:tcPr>
          <w:p>
            <w:pPr>
              <w:spacing w:after="0" w:line="20" w:lineRule="exact"/>
              <w:rPr>
                <w:sz w:val="1"/>
                <w:szCs w:val="1"/>
                <w:color w:val="auto"/>
              </w:rPr>
            </w:pPr>
          </w:p>
        </w:tc>
        <w:tc>
          <w:tcPr>
            <w:tcW w:w="1300" w:type="dxa"/>
            <w:vAlign w:val="bottom"/>
            <w:tcBorders>
              <w:top w:val="single" w:sz="8" w:color="auto"/>
            </w:tcBorders>
          </w:tcPr>
          <w:p>
            <w:pPr>
              <w:spacing w:after="0" w:line="20" w:lineRule="exact"/>
              <w:rPr>
                <w:sz w:val="1"/>
                <w:szCs w:val="1"/>
                <w:color w:val="auto"/>
              </w:rPr>
            </w:pPr>
          </w:p>
        </w:tc>
        <w:tc>
          <w:tcPr>
            <w:tcW w:w="530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2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r>
      <w:tr>
        <w:trPr>
          <w:trHeight w:val="216"/>
        </w:trPr>
        <w:tc>
          <w:tcPr>
            <w:tcW w:w="788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Current liabilities:</w:t>
            </w:r>
          </w:p>
        </w:tc>
        <w:tc>
          <w:tcPr>
            <w:tcW w:w="320" w:type="dxa"/>
            <w:vAlign w:val="bottom"/>
            <w:shd w:val="clear" w:color="auto" w:fill="CCEEFF"/>
          </w:tcPr>
          <w:p>
            <w:pPr>
              <w:spacing w:after="0"/>
              <w:rPr>
                <w:sz w:val="18"/>
                <w:szCs w:val="18"/>
                <w:color w:val="auto"/>
              </w:rPr>
            </w:pPr>
          </w:p>
        </w:tc>
        <w:tc>
          <w:tcPr>
            <w:tcW w:w="12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r>
      <w:tr>
        <w:trPr>
          <w:trHeight w:val="216"/>
        </w:trPr>
        <w:tc>
          <w:tcPr>
            <w:tcW w:w="7880" w:type="dxa"/>
            <w:vAlign w:val="bottom"/>
            <w:gridSpan w:val="3"/>
          </w:tcPr>
          <w:p>
            <w:pPr>
              <w:ind w:left="180"/>
              <w:spacing w:after="0"/>
              <w:rPr>
                <w:sz w:val="20"/>
                <w:szCs w:val="20"/>
                <w:color w:val="auto"/>
              </w:rPr>
            </w:pPr>
            <w:r>
              <w:rPr>
                <w:rFonts w:ascii="Arial" w:cs="Arial" w:eastAsia="Arial" w:hAnsi="Arial"/>
                <w:sz w:val="18"/>
                <w:szCs w:val="18"/>
                <w:color w:val="auto"/>
              </w:rPr>
              <w:t>Current portion of long-term debt</w:t>
            </w:r>
          </w:p>
        </w:tc>
        <w:tc>
          <w:tcPr>
            <w:tcW w:w="320" w:type="dxa"/>
            <w:vAlign w:val="bottom"/>
          </w:tcPr>
          <w:p>
            <w:pPr>
              <w:jc w:val="right"/>
              <w:ind w:right="167"/>
              <w:spacing w:after="0"/>
              <w:rPr>
                <w:sz w:val="20"/>
                <w:szCs w:val="20"/>
                <w:color w:val="auto"/>
              </w:rPr>
            </w:pPr>
            <w:r>
              <w:rPr>
                <w:rFonts w:ascii="Arial" w:cs="Arial" w:eastAsia="Arial" w:hAnsi="Arial"/>
                <w:sz w:val="15"/>
                <w:szCs w:val="15"/>
                <w:color w:val="auto"/>
                <w:w w:val="71"/>
              </w:rPr>
              <w:t>$</w:t>
            </w:r>
          </w:p>
        </w:tc>
        <w:tc>
          <w:tcPr>
            <w:tcW w:w="1280" w:type="dxa"/>
            <w:vAlign w:val="bottom"/>
          </w:tcPr>
          <w:p>
            <w:pPr>
              <w:jc w:val="right"/>
              <w:ind w:right="10"/>
              <w:spacing w:after="0"/>
              <w:rPr>
                <w:sz w:val="20"/>
                <w:szCs w:val="20"/>
                <w:color w:val="auto"/>
              </w:rPr>
            </w:pPr>
            <w:r>
              <w:rPr>
                <w:rFonts w:ascii="Arial" w:cs="Arial" w:eastAsia="Arial" w:hAnsi="Arial"/>
                <w:sz w:val="18"/>
                <w:szCs w:val="18"/>
                <w:color w:val="auto"/>
              </w:rPr>
              <w:t>3,235</w:t>
            </w:r>
          </w:p>
        </w:tc>
        <w:tc>
          <w:tcPr>
            <w:tcW w:w="620" w:type="dxa"/>
            <w:vAlign w:val="bottom"/>
            <w:gridSpan w:val="2"/>
          </w:tcPr>
          <w:p>
            <w:pPr>
              <w:jc w:val="right"/>
              <w:ind w:right="420"/>
              <w:spacing w:after="0"/>
              <w:rPr>
                <w:sz w:val="20"/>
                <w:szCs w:val="20"/>
                <w:color w:val="auto"/>
              </w:rPr>
            </w:pPr>
            <w:r>
              <w:rPr>
                <w:rFonts w:ascii="Arial" w:cs="Arial" w:eastAsia="Arial" w:hAnsi="Arial"/>
                <w:sz w:val="18"/>
                <w:szCs w:val="18"/>
                <w:color w:val="auto"/>
              </w:rPr>
              <w:t>$</w:t>
            </w:r>
          </w:p>
        </w:tc>
        <w:tc>
          <w:tcPr>
            <w:tcW w:w="1140" w:type="dxa"/>
            <w:vAlign w:val="bottom"/>
          </w:tcPr>
          <w:p>
            <w:pPr>
              <w:jc w:val="right"/>
              <w:ind w:right="30"/>
              <w:spacing w:after="0"/>
              <w:rPr>
                <w:sz w:val="20"/>
                <w:szCs w:val="20"/>
                <w:color w:val="auto"/>
              </w:rPr>
            </w:pPr>
            <w:r>
              <w:rPr>
                <w:rFonts w:ascii="Arial" w:cs="Arial" w:eastAsia="Arial" w:hAnsi="Arial"/>
                <w:sz w:val="18"/>
                <w:szCs w:val="18"/>
                <w:color w:val="auto"/>
              </w:rPr>
              <w:t>1,721</w:t>
            </w:r>
          </w:p>
        </w:tc>
      </w:tr>
      <w:tr>
        <w:trPr>
          <w:trHeight w:val="216"/>
        </w:trPr>
        <w:tc>
          <w:tcPr>
            <w:tcW w:w="7880" w:type="dxa"/>
            <w:vAlign w:val="bottom"/>
            <w:gridSpan w:val="3"/>
            <w:shd w:val="clear" w:color="auto" w:fill="CCEEFF"/>
          </w:tcPr>
          <w:p>
            <w:pPr>
              <w:ind w:left="180"/>
              <w:spacing w:after="0"/>
              <w:rPr>
                <w:sz w:val="20"/>
                <w:szCs w:val="20"/>
                <w:color w:val="auto"/>
              </w:rPr>
            </w:pPr>
            <w:r>
              <w:rPr>
                <w:rFonts w:ascii="Arial" w:cs="Arial" w:eastAsia="Arial" w:hAnsi="Arial"/>
                <w:sz w:val="18"/>
                <w:szCs w:val="18"/>
                <w:color w:val="auto"/>
              </w:rPr>
              <w:t>Current portion of operating lease liabilities</w:t>
            </w:r>
          </w:p>
        </w:tc>
        <w:tc>
          <w:tcPr>
            <w:tcW w:w="320" w:type="dxa"/>
            <w:vAlign w:val="bottom"/>
            <w:shd w:val="clear" w:color="auto" w:fill="CCEEFF"/>
          </w:tcPr>
          <w:p>
            <w:pPr>
              <w:spacing w:after="0"/>
              <w:rPr>
                <w:sz w:val="18"/>
                <w:szCs w:val="18"/>
                <w:color w:val="auto"/>
              </w:rPr>
            </w:pPr>
          </w:p>
        </w:tc>
        <w:tc>
          <w:tcPr>
            <w:tcW w:w="128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2,142</w:t>
            </w:r>
          </w:p>
        </w:tc>
        <w:tc>
          <w:tcPr>
            <w:tcW w:w="12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114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2,111</w:t>
            </w:r>
          </w:p>
        </w:tc>
      </w:tr>
      <w:tr>
        <w:trPr>
          <w:trHeight w:val="216"/>
        </w:trPr>
        <w:tc>
          <w:tcPr>
            <w:tcW w:w="7880" w:type="dxa"/>
            <w:vAlign w:val="bottom"/>
            <w:gridSpan w:val="3"/>
          </w:tcPr>
          <w:p>
            <w:pPr>
              <w:ind w:left="180"/>
              <w:spacing w:after="0"/>
              <w:rPr>
                <w:sz w:val="20"/>
                <w:szCs w:val="20"/>
                <w:color w:val="auto"/>
              </w:rPr>
            </w:pPr>
            <w:r>
              <w:rPr>
                <w:rFonts w:ascii="Arial" w:cs="Arial" w:eastAsia="Arial" w:hAnsi="Arial"/>
                <w:sz w:val="18"/>
                <w:szCs w:val="18"/>
                <w:color w:val="auto"/>
              </w:rPr>
              <w:t>Accounts payable</w:t>
            </w:r>
          </w:p>
        </w:tc>
        <w:tc>
          <w:tcPr>
            <w:tcW w:w="320" w:type="dxa"/>
            <w:vAlign w:val="bottom"/>
          </w:tcPr>
          <w:p>
            <w:pPr>
              <w:spacing w:after="0"/>
              <w:rPr>
                <w:sz w:val="18"/>
                <w:szCs w:val="18"/>
                <w:color w:val="auto"/>
              </w:rPr>
            </w:pPr>
          </w:p>
        </w:tc>
        <w:tc>
          <w:tcPr>
            <w:tcW w:w="1280" w:type="dxa"/>
            <w:vAlign w:val="bottom"/>
          </w:tcPr>
          <w:p>
            <w:pPr>
              <w:jc w:val="right"/>
              <w:ind w:right="10"/>
              <w:spacing w:after="0"/>
              <w:rPr>
                <w:sz w:val="20"/>
                <w:szCs w:val="20"/>
                <w:color w:val="auto"/>
              </w:rPr>
            </w:pPr>
            <w:r>
              <w:rPr>
                <w:rFonts w:ascii="Arial" w:cs="Arial" w:eastAsia="Arial" w:hAnsi="Arial"/>
                <w:sz w:val="18"/>
                <w:szCs w:val="18"/>
                <w:color w:val="auto"/>
              </w:rPr>
              <w:t>4,911</w:t>
            </w:r>
          </w:p>
        </w:tc>
        <w:tc>
          <w:tcPr>
            <w:tcW w:w="12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140" w:type="dxa"/>
            <w:vAlign w:val="bottom"/>
          </w:tcPr>
          <w:p>
            <w:pPr>
              <w:jc w:val="right"/>
              <w:ind w:right="30"/>
              <w:spacing w:after="0"/>
              <w:rPr>
                <w:sz w:val="20"/>
                <w:szCs w:val="20"/>
                <w:color w:val="auto"/>
              </w:rPr>
            </w:pPr>
            <w:r>
              <w:rPr>
                <w:rFonts w:ascii="Arial" w:cs="Arial" w:eastAsia="Arial" w:hAnsi="Arial"/>
                <w:sz w:val="18"/>
                <w:szCs w:val="18"/>
                <w:color w:val="auto"/>
              </w:rPr>
              <w:t>5,972</w:t>
            </w:r>
          </w:p>
        </w:tc>
      </w:tr>
      <w:tr>
        <w:trPr>
          <w:trHeight w:val="216"/>
        </w:trPr>
        <w:tc>
          <w:tcPr>
            <w:tcW w:w="7880" w:type="dxa"/>
            <w:vAlign w:val="bottom"/>
            <w:gridSpan w:val="3"/>
            <w:shd w:val="clear" w:color="auto" w:fill="CCEEFF"/>
          </w:tcPr>
          <w:p>
            <w:pPr>
              <w:ind w:left="180"/>
              <w:spacing w:after="0"/>
              <w:rPr>
                <w:sz w:val="20"/>
                <w:szCs w:val="20"/>
                <w:color w:val="auto"/>
              </w:rPr>
            </w:pPr>
            <w:r>
              <w:rPr>
                <w:rFonts w:ascii="Arial" w:cs="Arial" w:eastAsia="Arial" w:hAnsi="Arial"/>
                <w:sz w:val="18"/>
                <w:szCs w:val="18"/>
                <w:color w:val="auto"/>
              </w:rPr>
              <w:t>Deferred revenue</w:t>
            </w:r>
          </w:p>
        </w:tc>
        <w:tc>
          <w:tcPr>
            <w:tcW w:w="320" w:type="dxa"/>
            <w:vAlign w:val="bottom"/>
            <w:shd w:val="clear" w:color="auto" w:fill="CCEEFF"/>
          </w:tcPr>
          <w:p>
            <w:pPr>
              <w:spacing w:after="0"/>
              <w:rPr>
                <w:sz w:val="18"/>
                <w:szCs w:val="18"/>
                <w:color w:val="auto"/>
              </w:rPr>
            </w:pPr>
          </w:p>
        </w:tc>
        <w:tc>
          <w:tcPr>
            <w:tcW w:w="128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4,266</w:t>
            </w:r>
          </w:p>
        </w:tc>
        <w:tc>
          <w:tcPr>
            <w:tcW w:w="12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114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3,771</w:t>
            </w:r>
          </w:p>
        </w:tc>
      </w:tr>
      <w:tr>
        <w:trPr>
          <w:trHeight w:val="216"/>
        </w:trPr>
        <w:tc>
          <w:tcPr>
            <w:tcW w:w="7880" w:type="dxa"/>
            <w:vAlign w:val="bottom"/>
            <w:gridSpan w:val="3"/>
          </w:tcPr>
          <w:p>
            <w:pPr>
              <w:ind w:left="180"/>
              <w:spacing w:after="0"/>
              <w:rPr>
                <w:sz w:val="20"/>
                <w:szCs w:val="20"/>
                <w:color w:val="auto"/>
              </w:rPr>
            </w:pPr>
            <w:r>
              <w:rPr>
                <w:rFonts w:ascii="Arial" w:cs="Arial" w:eastAsia="Arial" w:hAnsi="Arial"/>
                <w:sz w:val="18"/>
                <w:szCs w:val="18"/>
                <w:color w:val="auto"/>
              </w:rPr>
              <w:t>Other current liabilities</w:t>
            </w:r>
          </w:p>
        </w:tc>
        <w:tc>
          <w:tcPr>
            <w:tcW w:w="320" w:type="dxa"/>
            <w:vAlign w:val="bottom"/>
            <w:tcBorders>
              <w:bottom w:val="single" w:sz="8" w:color="auto"/>
            </w:tcBorders>
          </w:tcPr>
          <w:p>
            <w:pPr>
              <w:spacing w:after="0"/>
              <w:rPr>
                <w:sz w:val="18"/>
                <w:szCs w:val="18"/>
                <w:color w:val="auto"/>
              </w:rPr>
            </w:pPr>
          </w:p>
        </w:tc>
        <w:tc>
          <w:tcPr>
            <w:tcW w:w="128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10,762</w:t>
            </w:r>
          </w:p>
        </w:tc>
        <w:tc>
          <w:tcPr>
            <w:tcW w:w="120" w:type="dxa"/>
            <w:vAlign w:val="bottom"/>
          </w:tcPr>
          <w:p>
            <w:pPr>
              <w:spacing w:after="0"/>
              <w:rPr>
                <w:sz w:val="18"/>
                <w:szCs w:val="18"/>
                <w:color w:val="auto"/>
              </w:rPr>
            </w:pPr>
          </w:p>
        </w:tc>
        <w:tc>
          <w:tcPr>
            <w:tcW w:w="500" w:type="dxa"/>
            <w:vAlign w:val="bottom"/>
            <w:tcBorders>
              <w:bottom w:val="single" w:sz="8" w:color="auto"/>
            </w:tcBorders>
          </w:tcPr>
          <w:p>
            <w:pPr>
              <w:spacing w:after="0"/>
              <w:rPr>
                <w:sz w:val="18"/>
                <w:szCs w:val="18"/>
                <w:color w:val="auto"/>
              </w:rPr>
            </w:pPr>
          </w:p>
        </w:tc>
        <w:tc>
          <w:tcPr>
            <w:tcW w:w="114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7,478</w:t>
            </w:r>
          </w:p>
        </w:tc>
      </w:tr>
      <w:tr>
        <w:trPr>
          <w:trHeight w:val="210"/>
        </w:trPr>
        <w:tc>
          <w:tcPr>
            <w:tcW w:w="7880" w:type="dxa"/>
            <w:vAlign w:val="bottom"/>
            <w:gridSpan w:val="3"/>
            <w:shd w:val="clear" w:color="auto" w:fill="CCEEFF"/>
          </w:tcPr>
          <w:p>
            <w:pPr>
              <w:ind w:left="340"/>
              <w:spacing w:after="0"/>
              <w:rPr>
                <w:sz w:val="20"/>
                <w:szCs w:val="20"/>
                <w:color w:val="auto"/>
              </w:rPr>
            </w:pPr>
            <w:r>
              <w:rPr>
                <w:rFonts w:ascii="Arial" w:cs="Arial" w:eastAsia="Arial" w:hAnsi="Arial"/>
                <w:sz w:val="18"/>
                <w:szCs w:val="18"/>
                <w:color w:val="auto"/>
              </w:rPr>
              <w:t>Total current liabilities</w:t>
            </w:r>
          </w:p>
        </w:tc>
        <w:tc>
          <w:tcPr>
            <w:tcW w:w="320" w:type="dxa"/>
            <w:vAlign w:val="bottom"/>
            <w:shd w:val="clear" w:color="auto" w:fill="CCEEFF"/>
          </w:tcPr>
          <w:p>
            <w:pPr>
              <w:spacing w:after="0"/>
              <w:rPr>
                <w:sz w:val="18"/>
                <w:szCs w:val="18"/>
                <w:color w:val="auto"/>
              </w:rPr>
            </w:pPr>
          </w:p>
        </w:tc>
        <w:tc>
          <w:tcPr>
            <w:tcW w:w="128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25,316</w:t>
            </w:r>
          </w:p>
        </w:tc>
        <w:tc>
          <w:tcPr>
            <w:tcW w:w="12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114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21,053</w:t>
            </w:r>
          </w:p>
        </w:tc>
      </w:tr>
      <w:tr>
        <w:trPr>
          <w:trHeight w:val="216"/>
        </w:trPr>
        <w:tc>
          <w:tcPr>
            <w:tcW w:w="7880" w:type="dxa"/>
            <w:vAlign w:val="bottom"/>
            <w:gridSpan w:val="3"/>
          </w:tcPr>
          <w:p>
            <w:pPr>
              <w:spacing w:after="0"/>
              <w:rPr>
                <w:sz w:val="20"/>
                <w:szCs w:val="20"/>
                <w:color w:val="auto"/>
              </w:rPr>
            </w:pPr>
            <w:r>
              <w:rPr>
                <w:rFonts w:ascii="Arial" w:cs="Arial" w:eastAsia="Arial" w:hAnsi="Arial"/>
                <w:sz w:val="18"/>
                <w:szCs w:val="18"/>
                <w:color w:val="auto"/>
              </w:rPr>
              <w:t>Long-term debt</w:t>
            </w:r>
          </w:p>
        </w:tc>
        <w:tc>
          <w:tcPr>
            <w:tcW w:w="320" w:type="dxa"/>
            <w:vAlign w:val="bottom"/>
          </w:tcPr>
          <w:p>
            <w:pPr>
              <w:spacing w:after="0"/>
              <w:rPr>
                <w:sz w:val="18"/>
                <w:szCs w:val="18"/>
                <w:color w:val="auto"/>
              </w:rPr>
            </w:pPr>
          </w:p>
        </w:tc>
        <w:tc>
          <w:tcPr>
            <w:tcW w:w="1280" w:type="dxa"/>
            <w:vAlign w:val="bottom"/>
          </w:tcPr>
          <w:p>
            <w:pPr>
              <w:jc w:val="right"/>
              <w:ind w:right="10"/>
              <w:spacing w:after="0"/>
              <w:rPr>
                <w:sz w:val="20"/>
                <w:szCs w:val="20"/>
                <w:color w:val="auto"/>
              </w:rPr>
            </w:pPr>
            <w:r>
              <w:rPr>
                <w:rFonts w:ascii="Arial" w:cs="Arial" w:eastAsia="Arial" w:hAnsi="Arial"/>
                <w:sz w:val="18"/>
                <w:szCs w:val="18"/>
                <w:color w:val="auto"/>
              </w:rPr>
              <w:t>45,095</w:t>
            </w:r>
          </w:p>
        </w:tc>
        <w:tc>
          <w:tcPr>
            <w:tcW w:w="12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140" w:type="dxa"/>
            <w:vAlign w:val="bottom"/>
          </w:tcPr>
          <w:p>
            <w:pPr>
              <w:jc w:val="right"/>
              <w:ind w:right="30"/>
              <w:spacing w:after="0"/>
              <w:rPr>
                <w:sz w:val="20"/>
                <w:szCs w:val="20"/>
                <w:color w:val="auto"/>
              </w:rPr>
            </w:pPr>
            <w:r>
              <w:rPr>
                <w:rFonts w:ascii="Arial" w:cs="Arial" w:eastAsia="Arial" w:hAnsi="Arial"/>
                <w:sz w:val="18"/>
                <w:szCs w:val="18"/>
                <w:color w:val="auto"/>
              </w:rPr>
              <w:t>46,286</w:t>
            </w:r>
          </w:p>
        </w:tc>
      </w:tr>
      <w:tr>
        <w:trPr>
          <w:trHeight w:val="216"/>
        </w:trPr>
        <w:tc>
          <w:tcPr>
            <w:tcW w:w="788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Deferred income tax liabilities</w:t>
            </w:r>
          </w:p>
        </w:tc>
        <w:tc>
          <w:tcPr>
            <w:tcW w:w="320" w:type="dxa"/>
            <w:vAlign w:val="bottom"/>
            <w:shd w:val="clear" w:color="auto" w:fill="CCEEFF"/>
          </w:tcPr>
          <w:p>
            <w:pPr>
              <w:spacing w:after="0"/>
              <w:rPr>
                <w:sz w:val="18"/>
                <w:szCs w:val="18"/>
                <w:color w:val="auto"/>
              </w:rPr>
            </w:pPr>
          </w:p>
        </w:tc>
        <w:tc>
          <w:tcPr>
            <w:tcW w:w="128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1,558</w:t>
            </w:r>
          </w:p>
        </w:tc>
        <w:tc>
          <w:tcPr>
            <w:tcW w:w="12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114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1,899</w:t>
            </w:r>
          </w:p>
        </w:tc>
      </w:tr>
      <w:tr>
        <w:trPr>
          <w:trHeight w:val="216"/>
        </w:trPr>
        <w:tc>
          <w:tcPr>
            <w:tcW w:w="7880" w:type="dxa"/>
            <w:vAlign w:val="bottom"/>
            <w:gridSpan w:val="3"/>
          </w:tcPr>
          <w:p>
            <w:pPr>
              <w:spacing w:after="0"/>
              <w:rPr>
                <w:sz w:val="20"/>
                <w:szCs w:val="20"/>
                <w:color w:val="auto"/>
              </w:rPr>
            </w:pPr>
            <w:r>
              <w:rPr>
                <w:rFonts w:ascii="Arial" w:cs="Arial" w:eastAsia="Arial" w:hAnsi="Arial"/>
                <w:sz w:val="18"/>
                <w:szCs w:val="18"/>
                <w:color w:val="auto"/>
              </w:rPr>
              <w:t>Operating lease liabilities</w:t>
            </w:r>
          </w:p>
        </w:tc>
        <w:tc>
          <w:tcPr>
            <w:tcW w:w="320" w:type="dxa"/>
            <w:vAlign w:val="bottom"/>
          </w:tcPr>
          <w:p>
            <w:pPr>
              <w:spacing w:after="0"/>
              <w:rPr>
                <w:sz w:val="18"/>
                <w:szCs w:val="18"/>
                <w:color w:val="auto"/>
              </w:rPr>
            </w:pPr>
          </w:p>
        </w:tc>
        <w:tc>
          <w:tcPr>
            <w:tcW w:w="1280" w:type="dxa"/>
            <w:vAlign w:val="bottom"/>
          </w:tcPr>
          <w:p>
            <w:pPr>
              <w:jc w:val="right"/>
              <w:ind w:right="10"/>
              <w:spacing w:after="0"/>
              <w:rPr>
                <w:sz w:val="20"/>
                <w:szCs w:val="20"/>
                <w:color w:val="auto"/>
              </w:rPr>
            </w:pPr>
            <w:r>
              <w:rPr>
                <w:rFonts w:ascii="Arial" w:cs="Arial" w:eastAsia="Arial" w:hAnsi="Arial"/>
                <w:sz w:val="18"/>
                <w:szCs w:val="18"/>
                <w:color w:val="auto"/>
              </w:rPr>
              <w:t>6,488</w:t>
            </w:r>
          </w:p>
        </w:tc>
        <w:tc>
          <w:tcPr>
            <w:tcW w:w="12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140" w:type="dxa"/>
            <w:vAlign w:val="bottom"/>
          </w:tcPr>
          <w:p>
            <w:pPr>
              <w:jc w:val="right"/>
              <w:ind w:right="30"/>
              <w:spacing w:after="0"/>
              <w:rPr>
                <w:sz w:val="20"/>
                <w:szCs w:val="20"/>
                <w:color w:val="auto"/>
              </w:rPr>
            </w:pPr>
            <w:r>
              <w:rPr>
                <w:rFonts w:ascii="Arial" w:cs="Arial" w:eastAsia="Arial" w:hAnsi="Arial"/>
                <w:sz w:val="18"/>
                <w:szCs w:val="18"/>
                <w:color w:val="auto"/>
              </w:rPr>
              <w:t>7,481</w:t>
            </w:r>
          </w:p>
        </w:tc>
      </w:tr>
      <w:tr>
        <w:trPr>
          <w:trHeight w:val="216"/>
        </w:trPr>
        <w:tc>
          <w:tcPr>
            <w:tcW w:w="7880" w:type="dxa"/>
            <w:vAlign w:val="bottom"/>
            <w:tcBorders>
              <w:bottom w:val="single" w:sz="8" w:color="CCEEFF"/>
            </w:tcBorders>
            <w:gridSpan w:val="3"/>
            <w:shd w:val="clear" w:color="auto" w:fill="CCEEFF"/>
          </w:tcPr>
          <w:p>
            <w:pPr>
              <w:spacing w:after="0"/>
              <w:rPr>
                <w:sz w:val="20"/>
                <w:szCs w:val="20"/>
                <w:color w:val="auto"/>
              </w:rPr>
            </w:pPr>
            <w:r>
              <w:rPr>
                <w:rFonts w:ascii="Arial" w:cs="Arial" w:eastAsia="Arial" w:hAnsi="Arial"/>
                <w:sz w:val="18"/>
                <w:szCs w:val="18"/>
                <w:color w:val="auto"/>
              </w:rPr>
              <w:t>Other long-term liabilities</w:t>
            </w:r>
          </w:p>
        </w:tc>
        <w:tc>
          <w:tcPr>
            <w:tcW w:w="320" w:type="dxa"/>
            <w:vAlign w:val="bottom"/>
            <w:tcBorders>
              <w:bottom w:val="single" w:sz="8" w:color="auto"/>
            </w:tcBorders>
            <w:shd w:val="clear" w:color="auto" w:fill="CCEEFF"/>
          </w:tcPr>
          <w:p>
            <w:pPr>
              <w:spacing w:after="0"/>
              <w:rPr>
                <w:sz w:val="18"/>
                <w:szCs w:val="18"/>
                <w:color w:val="auto"/>
              </w:rPr>
            </w:pPr>
          </w:p>
        </w:tc>
        <w:tc>
          <w:tcPr>
            <w:tcW w:w="128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486</w:t>
            </w:r>
          </w:p>
        </w:tc>
        <w:tc>
          <w:tcPr>
            <w:tcW w:w="120" w:type="dxa"/>
            <w:vAlign w:val="bottom"/>
            <w:tcBorders>
              <w:bottom w:val="single" w:sz="8" w:color="CCEEFF"/>
            </w:tcBorders>
            <w:shd w:val="clear" w:color="auto" w:fill="CCEEFF"/>
          </w:tcPr>
          <w:p>
            <w:pPr>
              <w:spacing w:after="0"/>
              <w:rPr>
                <w:sz w:val="18"/>
                <w:szCs w:val="18"/>
                <w:color w:val="auto"/>
              </w:rPr>
            </w:pPr>
          </w:p>
        </w:tc>
        <w:tc>
          <w:tcPr>
            <w:tcW w:w="500" w:type="dxa"/>
            <w:vAlign w:val="bottom"/>
            <w:tcBorders>
              <w:bottom w:val="single" w:sz="8" w:color="auto"/>
            </w:tcBorders>
            <w:shd w:val="clear" w:color="auto" w:fill="CCEEFF"/>
          </w:tcPr>
          <w:p>
            <w:pPr>
              <w:spacing w:after="0"/>
              <w:rPr>
                <w:sz w:val="18"/>
                <w:szCs w:val="18"/>
                <w:color w:val="auto"/>
              </w:rPr>
            </w:pPr>
          </w:p>
        </w:tc>
        <w:tc>
          <w:tcPr>
            <w:tcW w:w="114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rPr>
              <w:t>2,854</w:t>
            </w:r>
          </w:p>
        </w:tc>
      </w:tr>
      <w:tr>
        <w:trPr>
          <w:trHeight w:val="210"/>
        </w:trPr>
        <w:tc>
          <w:tcPr>
            <w:tcW w:w="7880" w:type="dxa"/>
            <w:vAlign w:val="bottom"/>
            <w:gridSpan w:val="3"/>
          </w:tcPr>
          <w:p>
            <w:pPr>
              <w:ind w:left="180"/>
              <w:spacing w:after="0"/>
              <w:rPr>
                <w:sz w:val="20"/>
                <w:szCs w:val="20"/>
                <w:color w:val="auto"/>
              </w:rPr>
            </w:pPr>
            <w:r>
              <w:rPr>
                <w:rFonts w:ascii="Arial" w:cs="Arial" w:eastAsia="Arial" w:hAnsi="Arial"/>
                <w:sz w:val="18"/>
                <w:szCs w:val="18"/>
                <w:color w:val="auto"/>
              </w:rPr>
              <w:t>Total liabilities</w:t>
            </w:r>
          </w:p>
        </w:tc>
        <w:tc>
          <w:tcPr>
            <w:tcW w:w="320" w:type="dxa"/>
            <w:vAlign w:val="bottom"/>
            <w:tcBorders>
              <w:bottom w:val="single" w:sz="8" w:color="auto"/>
            </w:tcBorders>
          </w:tcPr>
          <w:p>
            <w:pPr>
              <w:spacing w:after="0"/>
              <w:rPr>
                <w:sz w:val="18"/>
                <w:szCs w:val="18"/>
                <w:color w:val="auto"/>
              </w:rPr>
            </w:pPr>
          </w:p>
        </w:tc>
        <w:tc>
          <w:tcPr>
            <w:tcW w:w="128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78,943</w:t>
            </w:r>
          </w:p>
        </w:tc>
        <w:tc>
          <w:tcPr>
            <w:tcW w:w="120" w:type="dxa"/>
            <w:vAlign w:val="bottom"/>
          </w:tcPr>
          <w:p>
            <w:pPr>
              <w:spacing w:after="0"/>
              <w:rPr>
                <w:sz w:val="18"/>
                <w:szCs w:val="18"/>
                <w:color w:val="auto"/>
              </w:rPr>
            </w:pPr>
          </w:p>
        </w:tc>
        <w:tc>
          <w:tcPr>
            <w:tcW w:w="500" w:type="dxa"/>
            <w:vAlign w:val="bottom"/>
            <w:tcBorders>
              <w:bottom w:val="single" w:sz="8" w:color="auto"/>
            </w:tcBorders>
          </w:tcPr>
          <w:p>
            <w:pPr>
              <w:spacing w:after="0"/>
              <w:rPr>
                <w:sz w:val="18"/>
                <w:szCs w:val="18"/>
                <w:color w:val="auto"/>
              </w:rPr>
            </w:pPr>
          </w:p>
        </w:tc>
        <w:tc>
          <w:tcPr>
            <w:tcW w:w="114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79,573</w:t>
            </w:r>
          </w:p>
        </w:tc>
      </w:tr>
      <w:tr>
        <w:trPr>
          <w:trHeight w:val="210"/>
        </w:trPr>
        <w:tc>
          <w:tcPr>
            <w:tcW w:w="788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Commitments and contingencies - Note 14</w:t>
            </w:r>
          </w:p>
        </w:tc>
        <w:tc>
          <w:tcPr>
            <w:tcW w:w="320" w:type="dxa"/>
            <w:vAlign w:val="bottom"/>
            <w:shd w:val="clear" w:color="auto" w:fill="CCEEFF"/>
          </w:tcPr>
          <w:p>
            <w:pPr>
              <w:spacing w:after="0"/>
              <w:rPr>
                <w:sz w:val="18"/>
                <w:szCs w:val="18"/>
                <w:color w:val="auto"/>
              </w:rPr>
            </w:pPr>
          </w:p>
        </w:tc>
        <w:tc>
          <w:tcPr>
            <w:tcW w:w="12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r>
      <w:tr>
        <w:trPr>
          <w:trHeight w:val="216"/>
        </w:trPr>
        <w:tc>
          <w:tcPr>
            <w:tcW w:w="7880" w:type="dxa"/>
            <w:vAlign w:val="bottom"/>
            <w:gridSpan w:val="3"/>
          </w:tcPr>
          <w:p>
            <w:pPr>
              <w:spacing w:after="0"/>
              <w:rPr>
                <w:sz w:val="20"/>
                <w:szCs w:val="20"/>
                <w:color w:val="auto"/>
              </w:rPr>
            </w:pPr>
            <w:r>
              <w:rPr>
                <w:rFonts w:ascii="Arial" w:cs="Arial" w:eastAsia="Arial" w:hAnsi="Arial"/>
                <w:sz w:val="18"/>
                <w:szCs w:val="18"/>
                <w:color w:val="auto"/>
              </w:rPr>
              <w:t>Stockholders' equity:</w:t>
            </w:r>
          </w:p>
        </w:tc>
        <w:tc>
          <w:tcPr>
            <w:tcW w:w="320" w:type="dxa"/>
            <w:vAlign w:val="bottom"/>
          </w:tcPr>
          <w:p>
            <w:pPr>
              <w:spacing w:after="0"/>
              <w:rPr>
                <w:sz w:val="18"/>
                <w:szCs w:val="18"/>
                <w:color w:val="auto"/>
              </w:rPr>
            </w:pPr>
          </w:p>
        </w:tc>
        <w:tc>
          <w:tcPr>
            <w:tcW w:w="12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140" w:type="dxa"/>
            <w:vAlign w:val="bottom"/>
          </w:tcPr>
          <w:p>
            <w:pPr>
              <w:spacing w:after="0"/>
              <w:rPr>
                <w:sz w:val="18"/>
                <w:szCs w:val="18"/>
                <w:color w:val="auto"/>
              </w:rPr>
            </w:pPr>
          </w:p>
        </w:tc>
      </w:tr>
      <w:tr>
        <w:trPr>
          <w:trHeight w:val="216"/>
        </w:trPr>
        <w:tc>
          <w:tcPr>
            <w:tcW w:w="7880" w:type="dxa"/>
            <w:vAlign w:val="bottom"/>
            <w:gridSpan w:val="3"/>
            <w:shd w:val="clear" w:color="auto" w:fill="CCEEFF"/>
          </w:tcPr>
          <w:p>
            <w:pPr>
              <w:ind w:left="180"/>
              <w:spacing w:after="0"/>
              <w:rPr>
                <w:sz w:val="20"/>
                <w:szCs w:val="20"/>
                <w:color w:val="auto"/>
              </w:rPr>
            </w:pPr>
            <w:r>
              <w:rPr>
                <w:rFonts w:ascii="Arial" w:cs="Arial" w:eastAsia="Arial" w:hAnsi="Arial"/>
                <w:sz w:val="18"/>
                <w:szCs w:val="18"/>
                <w:color w:val="auto"/>
              </w:rPr>
              <w:t>Preferred stock, par value $0.01 per share, 5,000,000 shares authorized</w:t>
            </w:r>
          </w:p>
        </w:tc>
        <w:tc>
          <w:tcPr>
            <w:tcW w:w="320" w:type="dxa"/>
            <w:vAlign w:val="bottom"/>
            <w:shd w:val="clear" w:color="auto" w:fill="CCEEFF"/>
          </w:tcPr>
          <w:p>
            <w:pPr>
              <w:spacing w:after="0"/>
              <w:rPr>
                <w:sz w:val="18"/>
                <w:szCs w:val="18"/>
                <w:color w:val="auto"/>
              </w:rPr>
            </w:pPr>
          </w:p>
        </w:tc>
        <w:tc>
          <w:tcPr>
            <w:tcW w:w="128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114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w:t>
            </w:r>
          </w:p>
        </w:tc>
      </w:tr>
      <w:tr>
        <w:trPr>
          <w:trHeight w:val="202"/>
        </w:trPr>
        <w:tc>
          <w:tcPr>
            <w:tcW w:w="7880" w:type="dxa"/>
            <w:vAlign w:val="bottom"/>
            <w:gridSpan w:val="3"/>
          </w:tcPr>
          <w:p>
            <w:pPr>
              <w:ind w:left="180"/>
              <w:spacing w:after="0" w:line="201" w:lineRule="exact"/>
              <w:rPr>
                <w:sz w:val="20"/>
                <w:szCs w:val="20"/>
                <w:color w:val="auto"/>
              </w:rPr>
            </w:pPr>
            <w:r>
              <w:rPr>
                <w:rFonts w:ascii="Arial" w:cs="Arial" w:eastAsia="Arial" w:hAnsi="Arial"/>
                <w:sz w:val="18"/>
                <w:szCs w:val="18"/>
                <w:color w:val="auto"/>
                <w:w w:val="92"/>
              </w:rPr>
              <w:t>Common stock, par value $0.01 per share, 80,000,000 shares authorized: 41,142,876 shares issued and</w:t>
            </w:r>
          </w:p>
        </w:tc>
        <w:tc>
          <w:tcPr>
            <w:tcW w:w="320" w:type="dxa"/>
            <w:vAlign w:val="bottom"/>
          </w:tcPr>
          <w:p>
            <w:pPr>
              <w:spacing w:after="0"/>
              <w:rPr>
                <w:sz w:val="17"/>
                <w:szCs w:val="17"/>
                <w:color w:val="auto"/>
              </w:rPr>
            </w:pPr>
          </w:p>
        </w:tc>
        <w:tc>
          <w:tcPr>
            <w:tcW w:w="12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1140" w:type="dxa"/>
            <w:vAlign w:val="bottom"/>
          </w:tcPr>
          <w:p>
            <w:pPr>
              <w:spacing w:after="0"/>
              <w:rPr>
                <w:sz w:val="17"/>
                <w:szCs w:val="17"/>
                <w:color w:val="auto"/>
              </w:rPr>
            </w:pPr>
          </w:p>
        </w:tc>
      </w:tr>
      <w:tr>
        <w:trPr>
          <w:trHeight w:val="216"/>
        </w:trPr>
        <w:tc>
          <w:tcPr>
            <w:tcW w:w="7880" w:type="dxa"/>
            <w:vAlign w:val="bottom"/>
            <w:gridSpan w:val="3"/>
          </w:tcPr>
          <w:p>
            <w:pPr>
              <w:ind w:left="340"/>
              <w:spacing w:after="0"/>
              <w:rPr>
                <w:sz w:val="20"/>
                <w:szCs w:val="20"/>
                <w:color w:val="auto"/>
              </w:rPr>
            </w:pPr>
            <w:r>
              <w:rPr>
                <w:rFonts w:ascii="Arial" w:cs="Arial" w:eastAsia="Arial" w:hAnsi="Arial"/>
                <w:sz w:val="18"/>
                <w:szCs w:val="18"/>
                <w:color w:val="auto"/>
                <w:w w:val="94"/>
              </w:rPr>
              <w:t>outstanding at December 31, 2021; 47,152,587 shares issued and 39,407,080 shares outstanding at</w:t>
            </w:r>
          </w:p>
        </w:tc>
        <w:tc>
          <w:tcPr>
            <w:tcW w:w="320" w:type="dxa"/>
            <w:vAlign w:val="bottom"/>
          </w:tcPr>
          <w:p>
            <w:pPr>
              <w:spacing w:after="0"/>
              <w:rPr>
                <w:sz w:val="18"/>
                <w:szCs w:val="18"/>
                <w:color w:val="auto"/>
              </w:rPr>
            </w:pPr>
          </w:p>
        </w:tc>
        <w:tc>
          <w:tcPr>
            <w:tcW w:w="12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140" w:type="dxa"/>
            <w:vAlign w:val="bottom"/>
          </w:tcPr>
          <w:p>
            <w:pPr>
              <w:spacing w:after="0"/>
              <w:rPr>
                <w:sz w:val="18"/>
                <w:szCs w:val="18"/>
                <w:color w:val="auto"/>
              </w:rPr>
            </w:pPr>
          </w:p>
        </w:tc>
      </w:tr>
      <w:tr>
        <w:trPr>
          <w:trHeight w:val="230"/>
        </w:trPr>
        <w:tc>
          <w:tcPr>
            <w:tcW w:w="7880" w:type="dxa"/>
            <w:vAlign w:val="bottom"/>
            <w:gridSpan w:val="3"/>
          </w:tcPr>
          <w:p>
            <w:pPr>
              <w:ind w:left="340"/>
              <w:spacing w:after="0"/>
              <w:rPr>
                <w:sz w:val="20"/>
                <w:szCs w:val="20"/>
                <w:color w:val="auto"/>
              </w:rPr>
            </w:pPr>
            <w:r>
              <w:rPr>
                <w:rFonts w:ascii="Arial" w:cs="Arial" w:eastAsia="Arial" w:hAnsi="Arial"/>
                <w:sz w:val="18"/>
                <w:szCs w:val="18"/>
                <w:color w:val="auto"/>
              </w:rPr>
              <w:t>December 31, 2020</w:t>
            </w:r>
          </w:p>
        </w:tc>
        <w:tc>
          <w:tcPr>
            <w:tcW w:w="320" w:type="dxa"/>
            <w:vAlign w:val="bottom"/>
          </w:tcPr>
          <w:p>
            <w:pPr>
              <w:spacing w:after="0"/>
              <w:rPr>
                <w:sz w:val="20"/>
                <w:szCs w:val="20"/>
                <w:color w:val="auto"/>
              </w:rPr>
            </w:pPr>
          </w:p>
        </w:tc>
        <w:tc>
          <w:tcPr>
            <w:tcW w:w="1280" w:type="dxa"/>
            <w:vAlign w:val="bottom"/>
          </w:tcPr>
          <w:p>
            <w:pPr>
              <w:jc w:val="right"/>
              <w:ind w:right="10"/>
              <w:spacing w:after="0"/>
              <w:rPr>
                <w:sz w:val="20"/>
                <w:szCs w:val="20"/>
                <w:color w:val="auto"/>
              </w:rPr>
            </w:pPr>
            <w:r>
              <w:rPr>
                <w:rFonts w:ascii="Arial" w:cs="Arial" w:eastAsia="Arial" w:hAnsi="Arial"/>
                <w:sz w:val="18"/>
                <w:szCs w:val="18"/>
                <w:color w:val="auto"/>
              </w:rPr>
              <w:t>452</w:t>
            </w:r>
          </w:p>
        </w:tc>
        <w:tc>
          <w:tcPr>
            <w:tcW w:w="12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1140" w:type="dxa"/>
            <w:vAlign w:val="bottom"/>
          </w:tcPr>
          <w:p>
            <w:pPr>
              <w:jc w:val="right"/>
              <w:ind w:right="30"/>
              <w:spacing w:after="0"/>
              <w:rPr>
                <w:sz w:val="20"/>
                <w:szCs w:val="20"/>
                <w:color w:val="auto"/>
              </w:rPr>
            </w:pPr>
            <w:r>
              <w:rPr>
                <w:rFonts w:ascii="Arial" w:cs="Arial" w:eastAsia="Arial" w:hAnsi="Arial"/>
                <w:sz w:val="18"/>
                <w:szCs w:val="18"/>
                <w:color w:val="auto"/>
              </w:rPr>
              <w:t>444</w:t>
            </w:r>
          </w:p>
        </w:tc>
      </w:tr>
      <w:tr>
        <w:trPr>
          <w:trHeight w:val="216"/>
        </w:trPr>
        <w:tc>
          <w:tcPr>
            <w:tcW w:w="7880" w:type="dxa"/>
            <w:vAlign w:val="bottom"/>
            <w:gridSpan w:val="3"/>
            <w:shd w:val="clear" w:color="auto" w:fill="CCEEFF"/>
          </w:tcPr>
          <w:p>
            <w:pPr>
              <w:ind w:left="180"/>
              <w:spacing w:after="0"/>
              <w:rPr>
                <w:sz w:val="20"/>
                <w:szCs w:val="20"/>
                <w:color w:val="auto"/>
              </w:rPr>
            </w:pPr>
            <w:r>
              <w:rPr>
                <w:rFonts w:ascii="Arial" w:cs="Arial" w:eastAsia="Arial" w:hAnsi="Arial"/>
                <w:sz w:val="18"/>
                <w:szCs w:val="18"/>
                <w:color w:val="auto"/>
              </w:rPr>
              <w:t>Additional paid-in-capital</w:t>
            </w:r>
          </w:p>
        </w:tc>
        <w:tc>
          <w:tcPr>
            <w:tcW w:w="320" w:type="dxa"/>
            <w:vAlign w:val="bottom"/>
            <w:shd w:val="clear" w:color="auto" w:fill="CCEEFF"/>
          </w:tcPr>
          <w:p>
            <w:pPr>
              <w:spacing w:after="0"/>
              <w:rPr>
                <w:sz w:val="18"/>
                <w:szCs w:val="18"/>
                <w:color w:val="auto"/>
              </w:rPr>
            </w:pPr>
          </w:p>
        </w:tc>
        <w:tc>
          <w:tcPr>
            <w:tcW w:w="128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225,650</w:t>
            </w:r>
          </w:p>
        </w:tc>
        <w:tc>
          <w:tcPr>
            <w:tcW w:w="12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114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232,357</w:t>
            </w:r>
          </w:p>
        </w:tc>
      </w:tr>
      <w:tr>
        <w:trPr>
          <w:trHeight w:val="216"/>
        </w:trPr>
        <w:tc>
          <w:tcPr>
            <w:tcW w:w="7880" w:type="dxa"/>
            <w:vAlign w:val="bottom"/>
            <w:gridSpan w:val="3"/>
          </w:tcPr>
          <w:p>
            <w:pPr>
              <w:ind w:left="180"/>
              <w:spacing w:after="0"/>
              <w:rPr>
                <w:sz w:val="20"/>
                <w:szCs w:val="20"/>
                <w:color w:val="auto"/>
              </w:rPr>
            </w:pPr>
            <w:r>
              <w:rPr>
                <w:rFonts w:ascii="Arial" w:cs="Arial" w:eastAsia="Arial" w:hAnsi="Arial"/>
                <w:sz w:val="18"/>
                <w:szCs w:val="18"/>
                <w:color w:val="auto"/>
              </w:rPr>
              <w:t>Accumulated deficit</w:t>
            </w:r>
          </w:p>
        </w:tc>
        <w:tc>
          <w:tcPr>
            <w:tcW w:w="320" w:type="dxa"/>
            <w:vAlign w:val="bottom"/>
          </w:tcPr>
          <w:p>
            <w:pPr>
              <w:spacing w:after="0"/>
              <w:rPr>
                <w:sz w:val="18"/>
                <w:szCs w:val="18"/>
                <w:color w:val="auto"/>
              </w:rPr>
            </w:pPr>
          </w:p>
        </w:tc>
        <w:tc>
          <w:tcPr>
            <w:tcW w:w="1280" w:type="dxa"/>
            <w:vAlign w:val="bottom"/>
          </w:tcPr>
          <w:p>
            <w:pPr>
              <w:jc w:val="right"/>
              <w:spacing w:after="0"/>
              <w:rPr>
                <w:sz w:val="20"/>
                <w:szCs w:val="20"/>
                <w:color w:val="auto"/>
              </w:rPr>
            </w:pPr>
            <w:r>
              <w:rPr>
                <w:rFonts w:ascii="Arial" w:cs="Arial" w:eastAsia="Arial" w:hAnsi="Arial"/>
                <w:sz w:val="18"/>
                <w:szCs w:val="18"/>
                <w:color w:val="auto"/>
              </w:rPr>
              <w:t>(132,674)</w:t>
            </w:r>
          </w:p>
        </w:tc>
        <w:tc>
          <w:tcPr>
            <w:tcW w:w="12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(132,386)</w:t>
            </w:r>
          </w:p>
        </w:tc>
      </w:tr>
      <w:tr>
        <w:trPr>
          <w:trHeight w:val="216"/>
        </w:trPr>
        <w:tc>
          <w:tcPr>
            <w:tcW w:w="7880" w:type="dxa"/>
            <w:vAlign w:val="bottom"/>
            <w:gridSpan w:val="3"/>
            <w:shd w:val="clear" w:color="auto" w:fill="CCEEFF"/>
          </w:tcPr>
          <w:p>
            <w:pPr>
              <w:ind w:left="180"/>
              <w:spacing w:after="0"/>
              <w:rPr>
                <w:sz w:val="20"/>
                <w:szCs w:val="20"/>
                <w:color w:val="auto"/>
              </w:rPr>
            </w:pPr>
            <w:r>
              <w:rPr>
                <w:rFonts w:ascii="Arial" w:cs="Arial" w:eastAsia="Arial" w:hAnsi="Arial"/>
                <w:sz w:val="18"/>
                <w:szCs w:val="18"/>
                <w:color w:val="auto"/>
              </w:rPr>
              <w:t>Accumulated other comprehensive loss</w:t>
            </w:r>
          </w:p>
        </w:tc>
        <w:tc>
          <w:tcPr>
            <w:tcW w:w="320" w:type="dxa"/>
            <w:vAlign w:val="bottom"/>
            <w:shd w:val="clear" w:color="auto" w:fill="CCEEFF"/>
          </w:tcPr>
          <w:p>
            <w:pPr>
              <w:spacing w:after="0"/>
              <w:rPr>
                <w:sz w:val="18"/>
                <w:szCs w:val="18"/>
                <w:color w:val="auto"/>
              </w:rPr>
            </w:pPr>
          </w:p>
        </w:tc>
        <w:tc>
          <w:tcPr>
            <w:tcW w:w="12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(10,027)</w:t>
            </w:r>
          </w:p>
        </w:tc>
        <w:tc>
          <w:tcPr>
            <w:tcW w:w="12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(13,066)</w:t>
            </w:r>
          </w:p>
        </w:tc>
      </w:tr>
      <w:tr>
        <w:trPr>
          <w:trHeight w:val="216"/>
        </w:trPr>
        <w:tc>
          <w:tcPr>
            <w:tcW w:w="7880" w:type="dxa"/>
            <w:vAlign w:val="bottom"/>
            <w:gridSpan w:val="3"/>
          </w:tcPr>
          <w:p>
            <w:pPr>
              <w:ind w:left="180"/>
              <w:spacing w:after="0"/>
              <w:rPr>
                <w:sz w:val="20"/>
                <w:szCs w:val="20"/>
                <w:color w:val="auto"/>
              </w:rPr>
            </w:pPr>
            <w:r>
              <w:rPr>
                <w:rFonts w:ascii="Arial" w:cs="Arial" w:eastAsia="Arial" w:hAnsi="Arial"/>
                <w:sz w:val="18"/>
                <w:szCs w:val="18"/>
                <w:color w:val="auto"/>
              </w:rPr>
              <w:t>Treasury stock at cost, -0- and 7,745,507 common shares, respectively</w:t>
            </w:r>
          </w:p>
        </w:tc>
        <w:tc>
          <w:tcPr>
            <w:tcW w:w="320" w:type="dxa"/>
            <w:vAlign w:val="bottom"/>
            <w:tcBorders>
              <w:bottom w:val="single" w:sz="8" w:color="auto"/>
            </w:tcBorders>
          </w:tcPr>
          <w:p>
            <w:pPr>
              <w:spacing w:after="0"/>
              <w:rPr>
                <w:sz w:val="18"/>
                <w:szCs w:val="18"/>
                <w:color w:val="auto"/>
              </w:rPr>
            </w:pPr>
          </w:p>
        </w:tc>
        <w:tc>
          <w:tcPr>
            <w:tcW w:w="128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500" w:type="dxa"/>
            <w:vAlign w:val="bottom"/>
            <w:tcBorders>
              <w:bottom w:val="single" w:sz="8" w:color="auto"/>
            </w:tcBorders>
          </w:tcPr>
          <w:p>
            <w:pPr>
              <w:spacing w:after="0"/>
              <w:rPr>
                <w:sz w:val="18"/>
                <w:szCs w:val="18"/>
                <w:color w:val="auto"/>
              </w:rPr>
            </w:pP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(10,668)</w:t>
            </w:r>
          </w:p>
        </w:tc>
      </w:tr>
      <w:tr>
        <w:trPr>
          <w:trHeight w:val="210"/>
        </w:trPr>
        <w:tc>
          <w:tcPr>
            <w:tcW w:w="7880" w:type="dxa"/>
            <w:vAlign w:val="bottom"/>
            <w:tcBorders>
              <w:bottom w:val="single" w:sz="8" w:color="CCEEFF"/>
            </w:tcBorders>
            <w:gridSpan w:val="3"/>
            <w:shd w:val="clear" w:color="auto" w:fill="CCEEFF"/>
          </w:tcPr>
          <w:p>
            <w:pPr>
              <w:ind w:left="180"/>
              <w:spacing w:after="0"/>
              <w:rPr>
                <w:sz w:val="20"/>
                <w:szCs w:val="20"/>
                <w:color w:val="auto"/>
              </w:rPr>
            </w:pPr>
            <w:r>
              <w:rPr>
                <w:rFonts w:ascii="Arial" w:cs="Arial" w:eastAsia="Arial" w:hAnsi="Arial"/>
                <w:sz w:val="18"/>
                <w:szCs w:val="18"/>
                <w:color w:val="auto"/>
              </w:rPr>
              <w:t>Total stockholders' equity</w:t>
            </w:r>
          </w:p>
        </w:tc>
        <w:tc>
          <w:tcPr>
            <w:tcW w:w="320" w:type="dxa"/>
            <w:vAlign w:val="bottom"/>
            <w:tcBorders>
              <w:bottom w:val="single" w:sz="8" w:color="auto"/>
            </w:tcBorders>
            <w:shd w:val="clear" w:color="auto" w:fill="CCEEFF"/>
          </w:tcPr>
          <w:p>
            <w:pPr>
              <w:spacing w:after="0"/>
              <w:rPr>
                <w:sz w:val="18"/>
                <w:szCs w:val="18"/>
                <w:color w:val="auto"/>
              </w:rPr>
            </w:pPr>
          </w:p>
        </w:tc>
        <w:tc>
          <w:tcPr>
            <w:tcW w:w="128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83,401</w:t>
            </w:r>
          </w:p>
        </w:tc>
        <w:tc>
          <w:tcPr>
            <w:tcW w:w="120" w:type="dxa"/>
            <w:vAlign w:val="bottom"/>
            <w:tcBorders>
              <w:bottom w:val="single" w:sz="8" w:color="CCEEFF"/>
            </w:tcBorders>
            <w:shd w:val="clear" w:color="auto" w:fill="CCEEFF"/>
          </w:tcPr>
          <w:p>
            <w:pPr>
              <w:spacing w:after="0"/>
              <w:rPr>
                <w:sz w:val="18"/>
                <w:szCs w:val="18"/>
                <w:color w:val="auto"/>
              </w:rPr>
            </w:pPr>
          </w:p>
        </w:tc>
        <w:tc>
          <w:tcPr>
            <w:tcW w:w="500" w:type="dxa"/>
            <w:vAlign w:val="bottom"/>
            <w:tcBorders>
              <w:bottom w:val="single" w:sz="8" w:color="auto"/>
            </w:tcBorders>
            <w:shd w:val="clear" w:color="auto" w:fill="CCEEFF"/>
          </w:tcPr>
          <w:p>
            <w:pPr>
              <w:spacing w:after="0"/>
              <w:rPr>
                <w:sz w:val="18"/>
                <w:szCs w:val="18"/>
                <w:color w:val="auto"/>
              </w:rPr>
            </w:pPr>
          </w:p>
        </w:tc>
        <w:tc>
          <w:tcPr>
            <w:tcW w:w="114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rPr>
              <w:t>76,681</w:t>
            </w:r>
          </w:p>
        </w:tc>
      </w:tr>
      <w:tr>
        <w:trPr>
          <w:trHeight w:val="210"/>
        </w:trPr>
        <w:tc>
          <w:tcPr>
            <w:tcW w:w="7880" w:type="dxa"/>
            <w:vAlign w:val="bottom"/>
            <w:gridSpan w:val="3"/>
          </w:tcPr>
          <w:p>
            <w:pPr>
              <w:ind w:left="340"/>
              <w:spacing w:after="0"/>
              <w:rPr>
                <w:sz w:val="20"/>
                <w:szCs w:val="20"/>
                <w:color w:val="auto"/>
              </w:rPr>
            </w:pPr>
            <w:r>
              <w:rPr>
                <w:rFonts w:ascii="Arial" w:cs="Arial" w:eastAsia="Arial" w:hAnsi="Arial"/>
                <w:sz w:val="18"/>
                <w:szCs w:val="18"/>
                <w:color w:val="auto"/>
              </w:rPr>
              <w:t>Total liabilities and stockholders' equity</w:t>
            </w:r>
          </w:p>
        </w:tc>
        <w:tc>
          <w:tcPr>
            <w:tcW w:w="320" w:type="dxa"/>
            <w:vAlign w:val="bottom"/>
          </w:tcPr>
          <w:p>
            <w:pPr>
              <w:jc w:val="right"/>
              <w:ind w:right="167"/>
              <w:spacing w:after="0"/>
              <w:rPr>
                <w:sz w:val="20"/>
                <w:szCs w:val="20"/>
                <w:color w:val="auto"/>
              </w:rPr>
            </w:pPr>
            <w:r>
              <w:rPr>
                <w:rFonts w:ascii="Arial" w:cs="Arial" w:eastAsia="Arial" w:hAnsi="Arial"/>
                <w:sz w:val="15"/>
                <w:szCs w:val="15"/>
                <w:color w:val="auto"/>
                <w:w w:val="71"/>
              </w:rPr>
              <w:t>$</w:t>
            </w:r>
          </w:p>
        </w:tc>
        <w:tc>
          <w:tcPr>
            <w:tcW w:w="1280" w:type="dxa"/>
            <w:vAlign w:val="bottom"/>
          </w:tcPr>
          <w:p>
            <w:pPr>
              <w:jc w:val="right"/>
              <w:ind w:right="10"/>
              <w:spacing w:after="0"/>
              <w:rPr>
                <w:sz w:val="20"/>
                <w:szCs w:val="20"/>
                <w:color w:val="auto"/>
              </w:rPr>
            </w:pPr>
            <w:r>
              <w:rPr>
                <w:rFonts w:ascii="Arial" w:cs="Arial" w:eastAsia="Arial" w:hAnsi="Arial"/>
                <w:sz w:val="18"/>
                <w:szCs w:val="18"/>
                <w:color w:val="auto"/>
              </w:rPr>
              <w:t>162,344</w:t>
            </w:r>
          </w:p>
        </w:tc>
        <w:tc>
          <w:tcPr>
            <w:tcW w:w="620" w:type="dxa"/>
            <w:vAlign w:val="bottom"/>
            <w:gridSpan w:val="2"/>
          </w:tcPr>
          <w:p>
            <w:pPr>
              <w:jc w:val="right"/>
              <w:ind w:right="420"/>
              <w:spacing w:after="0"/>
              <w:rPr>
                <w:sz w:val="20"/>
                <w:szCs w:val="20"/>
                <w:color w:val="auto"/>
              </w:rPr>
            </w:pPr>
            <w:r>
              <w:rPr>
                <w:rFonts w:ascii="Arial" w:cs="Arial" w:eastAsia="Arial" w:hAnsi="Arial"/>
                <w:sz w:val="18"/>
                <w:szCs w:val="18"/>
                <w:color w:val="auto"/>
              </w:rPr>
              <w:t>$</w:t>
            </w:r>
          </w:p>
        </w:tc>
        <w:tc>
          <w:tcPr>
            <w:tcW w:w="1140" w:type="dxa"/>
            <w:vAlign w:val="bottom"/>
          </w:tcPr>
          <w:p>
            <w:pPr>
              <w:jc w:val="right"/>
              <w:ind w:right="30"/>
              <w:spacing w:after="0"/>
              <w:rPr>
                <w:sz w:val="20"/>
                <w:szCs w:val="20"/>
                <w:color w:val="auto"/>
              </w:rPr>
            </w:pPr>
            <w:r>
              <w:rPr>
                <w:rFonts w:ascii="Arial" w:cs="Arial" w:eastAsia="Arial" w:hAnsi="Arial"/>
                <w:sz w:val="18"/>
                <w:szCs w:val="18"/>
                <w:color w:val="auto"/>
              </w:rPr>
              <w:t>156,254</w:t>
            </w:r>
          </w:p>
        </w:tc>
      </w:tr>
      <w:tr>
        <w:trPr>
          <w:trHeight w:val="20"/>
        </w:trPr>
        <w:tc>
          <w:tcPr>
            <w:tcW w:w="1280" w:type="dxa"/>
            <w:vAlign w:val="bottom"/>
          </w:tcPr>
          <w:p>
            <w:pPr>
              <w:spacing w:after="0" w:line="20" w:lineRule="exact"/>
              <w:rPr>
                <w:sz w:val="1"/>
                <w:szCs w:val="1"/>
                <w:color w:val="auto"/>
              </w:rPr>
            </w:pPr>
          </w:p>
        </w:tc>
        <w:tc>
          <w:tcPr>
            <w:tcW w:w="1300" w:type="dxa"/>
            <w:vAlign w:val="bottom"/>
          </w:tcPr>
          <w:p>
            <w:pPr>
              <w:spacing w:after="0" w:line="20" w:lineRule="exact"/>
              <w:rPr>
                <w:sz w:val="1"/>
                <w:szCs w:val="1"/>
                <w:color w:val="auto"/>
              </w:rPr>
            </w:pPr>
          </w:p>
        </w:tc>
        <w:tc>
          <w:tcPr>
            <w:tcW w:w="5300" w:type="dxa"/>
            <w:vAlign w:val="bottom"/>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12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45" w:lineRule="exact"/>
        <w:rPr>
          <w:sz w:val="20"/>
          <w:szCs w:val="20"/>
          <w:color w:val="auto"/>
        </w:rPr>
      </w:pPr>
    </w:p>
    <w:p>
      <w:pPr>
        <w:jc w:val="center"/>
        <w:ind w:right="-159"/>
        <w:spacing w:after="0"/>
        <w:rPr>
          <w:sz w:val="20"/>
          <w:szCs w:val="20"/>
          <w:color w:val="auto"/>
        </w:rPr>
      </w:pPr>
      <w:r>
        <w:rPr>
          <w:rFonts w:ascii="Arial" w:cs="Arial" w:eastAsia="Arial" w:hAnsi="Arial"/>
          <w:sz w:val="18"/>
          <w:szCs w:val="18"/>
          <w:color w:val="auto"/>
        </w:rPr>
        <w:t>See accompanying notes to consolidated financial statements.</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08" w:right="339" w:bottom="1440" w:gutter="0" w:footer="0" w:header="0"/>
        </w:sectPr>
      </w:pPr>
    </w:p>
    <w:bookmarkStart w:id="32" w:name="page33"/>
    <w:bookmarkEnd w:id="32"/>
    <w:tbl>
      <w:tblPr>
        <w:tblLayout w:type="fixed"/>
        <w:tblInd w:w="0" w:type="dxa"/>
        <w:tblCellMar>
          <w:top w:w="0" w:type="dxa"/>
          <w:left w:w="0" w:type="dxa"/>
          <w:bottom w:w="0" w:type="dxa"/>
          <w:right w:w="0" w:type="dxa"/>
        </w:tblCellMar>
      </w:tblPr>
      <w:tr>
        <w:trPr>
          <w:trHeight w:val="207"/>
        </w:trPr>
        <w:tc>
          <w:tcPr>
            <w:tcW w:w="3360" w:type="dxa"/>
            <w:vAlign w:val="bottom"/>
            <w:gridSpan w:val="2"/>
          </w:tcPr>
          <w:p>
            <w:pPr>
              <w:spacing w:after="0"/>
              <w:rPr>
                <w:rFonts w:ascii="Arial" w:cs="Arial" w:eastAsia="Arial" w:hAnsi="Arial"/>
                <w:sz w:val="18"/>
                <w:szCs w:val="18"/>
                <w:color w:val="0000EE"/>
              </w:rPr>
            </w:pPr>
            <w:hyperlink w:anchor="page3">
              <w:r>
                <w:rPr>
                  <w:rFonts w:ascii="Arial" w:cs="Arial" w:eastAsia="Arial" w:hAnsi="Arial"/>
                  <w:sz w:val="18"/>
                  <w:szCs w:val="18"/>
                  <w:color w:val="0000EE"/>
                </w:rPr>
                <w:t>Table of Contents</w:t>
              </w:r>
            </w:hyperlink>
          </w:p>
        </w:tc>
        <w:tc>
          <w:tcPr>
            <w:tcW w:w="458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2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280" w:type="dxa"/>
            <w:vAlign w:val="bottom"/>
          </w:tcPr>
          <w:p>
            <w:pPr>
              <w:spacing w:after="0"/>
              <w:rPr>
                <w:sz w:val="17"/>
                <w:szCs w:val="17"/>
                <w:color w:val="auto"/>
              </w:rPr>
            </w:pPr>
          </w:p>
        </w:tc>
      </w:tr>
      <w:tr>
        <w:trPr>
          <w:trHeight w:val="677"/>
        </w:trPr>
        <w:tc>
          <w:tcPr>
            <w:tcW w:w="1280" w:type="dxa"/>
            <w:vAlign w:val="bottom"/>
            <w:tcBorders>
              <w:top w:val="single" w:sz="8" w:color="0000EE"/>
            </w:tcBorders>
          </w:tcPr>
          <w:p>
            <w:pPr>
              <w:spacing w:after="0"/>
              <w:rPr>
                <w:sz w:val="24"/>
                <w:szCs w:val="24"/>
                <w:color w:val="auto"/>
              </w:rPr>
            </w:pPr>
          </w:p>
        </w:tc>
        <w:tc>
          <w:tcPr>
            <w:tcW w:w="2080" w:type="dxa"/>
            <w:vAlign w:val="bottom"/>
          </w:tcPr>
          <w:p>
            <w:pPr>
              <w:spacing w:after="0"/>
              <w:rPr>
                <w:sz w:val="24"/>
                <w:szCs w:val="24"/>
                <w:color w:val="auto"/>
              </w:rPr>
            </w:pPr>
          </w:p>
        </w:tc>
        <w:tc>
          <w:tcPr>
            <w:tcW w:w="4900" w:type="dxa"/>
            <w:vAlign w:val="bottom"/>
            <w:gridSpan w:val="2"/>
          </w:tcPr>
          <w:p>
            <w:pPr>
              <w:jc w:val="center"/>
              <w:ind w:right="220"/>
              <w:spacing w:after="0"/>
              <w:rPr>
                <w:sz w:val="20"/>
                <w:szCs w:val="20"/>
                <w:color w:val="auto"/>
              </w:rPr>
            </w:pPr>
            <w:r>
              <w:rPr>
                <w:rFonts w:ascii="Arial" w:cs="Arial" w:eastAsia="Arial" w:hAnsi="Arial"/>
                <w:sz w:val="18"/>
                <w:szCs w:val="18"/>
                <w:b w:val="1"/>
                <w:bCs w:val="1"/>
                <w:color w:val="auto"/>
                <w:w w:val="99"/>
              </w:rPr>
              <w:t>HARVARD BIOSCIENCE, INC.</w:t>
            </w:r>
          </w:p>
        </w:tc>
        <w:tc>
          <w:tcPr>
            <w:tcW w:w="12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280" w:type="dxa"/>
            <w:vAlign w:val="bottom"/>
          </w:tcPr>
          <w:p>
            <w:pPr>
              <w:spacing w:after="0"/>
              <w:rPr>
                <w:sz w:val="24"/>
                <w:szCs w:val="24"/>
                <w:color w:val="auto"/>
              </w:rPr>
            </w:pPr>
          </w:p>
        </w:tc>
      </w:tr>
      <w:tr>
        <w:trPr>
          <w:trHeight w:val="216"/>
        </w:trPr>
        <w:tc>
          <w:tcPr>
            <w:tcW w:w="1280" w:type="dxa"/>
            <w:vAlign w:val="bottom"/>
          </w:tcPr>
          <w:p>
            <w:pPr>
              <w:spacing w:after="0"/>
              <w:rPr>
                <w:sz w:val="18"/>
                <w:szCs w:val="18"/>
                <w:color w:val="auto"/>
              </w:rPr>
            </w:pPr>
          </w:p>
        </w:tc>
        <w:tc>
          <w:tcPr>
            <w:tcW w:w="2080" w:type="dxa"/>
            <w:vAlign w:val="bottom"/>
          </w:tcPr>
          <w:p>
            <w:pPr>
              <w:spacing w:after="0"/>
              <w:rPr>
                <w:sz w:val="18"/>
                <w:szCs w:val="18"/>
                <w:color w:val="auto"/>
              </w:rPr>
            </w:pPr>
          </w:p>
        </w:tc>
        <w:tc>
          <w:tcPr>
            <w:tcW w:w="4900" w:type="dxa"/>
            <w:vAlign w:val="bottom"/>
            <w:gridSpan w:val="2"/>
          </w:tcPr>
          <w:p>
            <w:pPr>
              <w:jc w:val="center"/>
              <w:ind w:right="220"/>
              <w:spacing w:after="0"/>
              <w:rPr>
                <w:sz w:val="20"/>
                <w:szCs w:val="20"/>
                <w:color w:val="auto"/>
              </w:rPr>
            </w:pPr>
            <w:r>
              <w:rPr>
                <w:rFonts w:ascii="Arial" w:cs="Arial" w:eastAsia="Arial" w:hAnsi="Arial"/>
                <w:sz w:val="18"/>
                <w:szCs w:val="18"/>
                <w:b w:val="1"/>
                <w:bCs w:val="1"/>
                <w:color w:val="auto"/>
                <w:w w:val="98"/>
              </w:rPr>
              <w:t>CONSOLIDATED STATEMENTS OF OPERATIONS</w:t>
            </w:r>
          </w:p>
        </w:tc>
        <w:tc>
          <w:tcPr>
            <w:tcW w:w="12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280" w:type="dxa"/>
            <w:vAlign w:val="bottom"/>
          </w:tcPr>
          <w:p>
            <w:pPr>
              <w:spacing w:after="0"/>
              <w:rPr>
                <w:sz w:val="18"/>
                <w:szCs w:val="18"/>
                <w:color w:val="auto"/>
              </w:rPr>
            </w:pPr>
          </w:p>
        </w:tc>
      </w:tr>
      <w:tr>
        <w:trPr>
          <w:trHeight w:val="234"/>
        </w:trPr>
        <w:tc>
          <w:tcPr>
            <w:tcW w:w="1280" w:type="dxa"/>
            <w:vAlign w:val="bottom"/>
          </w:tcPr>
          <w:p>
            <w:pPr>
              <w:spacing w:after="0"/>
              <w:rPr>
                <w:sz w:val="20"/>
                <w:szCs w:val="20"/>
                <w:color w:val="auto"/>
              </w:rPr>
            </w:pPr>
          </w:p>
        </w:tc>
        <w:tc>
          <w:tcPr>
            <w:tcW w:w="2080" w:type="dxa"/>
            <w:vAlign w:val="bottom"/>
          </w:tcPr>
          <w:p>
            <w:pPr>
              <w:spacing w:after="0"/>
              <w:rPr>
                <w:sz w:val="20"/>
                <w:szCs w:val="20"/>
                <w:color w:val="auto"/>
              </w:rPr>
            </w:pPr>
          </w:p>
        </w:tc>
        <w:tc>
          <w:tcPr>
            <w:tcW w:w="4900" w:type="dxa"/>
            <w:vAlign w:val="bottom"/>
            <w:gridSpan w:val="2"/>
          </w:tcPr>
          <w:p>
            <w:pPr>
              <w:jc w:val="center"/>
              <w:ind w:right="220"/>
              <w:spacing w:after="0"/>
              <w:rPr>
                <w:sz w:val="20"/>
                <w:szCs w:val="20"/>
                <w:color w:val="auto"/>
              </w:rPr>
            </w:pPr>
            <w:r>
              <w:rPr>
                <w:rFonts w:ascii="Arial" w:cs="Arial" w:eastAsia="Arial" w:hAnsi="Arial"/>
                <w:sz w:val="18"/>
                <w:szCs w:val="18"/>
                <w:b w:val="1"/>
                <w:bCs w:val="1"/>
                <w:color w:val="auto"/>
                <w:w w:val="88"/>
              </w:rPr>
              <w:t>(In thousands, except per share data)</w:t>
            </w:r>
          </w:p>
        </w:tc>
        <w:tc>
          <w:tcPr>
            <w:tcW w:w="12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280" w:type="dxa"/>
            <w:vAlign w:val="bottom"/>
          </w:tcPr>
          <w:p>
            <w:pPr>
              <w:spacing w:after="0"/>
              <w:rPr>
                <w:sz w:val="20"/>
                <w:szCs w:val="20"/>
                <w:color w:val="auto"/>
              </w:rPr>
            </w:pPr>
          </w:p>
        </w:tc>
      </w:tr>
      <w:tr>
        <w:trPr>
          <w:trHeight w:val="432"/>
        </w:trPr>
        <w:tc>
          <w:tcPr>
            <w:tcW w:w="1280" w:type="dxa"/>
            <w:vAlign w:val="bottom"/>
          </w:tcPr>
          <w:p>
            <w:pPr>
              <w:spacing w:after="0"/>
              <w:rPr>
                <w:sz w:val="24"/>
                <w:szCs w:val="24"/>
                <w:color w:val="auto"/>
              </w:rPr>
            </w:pPr>
          </w:p>
        </w:tc>
        <w:tc>
          <w:tcPr>
            <w:tcW w:w="2080" w:type="dxa"/>
            <w:vAlign w:val="bottom"/>
          </w:tcPr>
          <w:p>
            <w:pPr>
              <w:spacing w:after="0"/>
              <w:rPr>
                <w:sz w:val="24"/>
                <w:szCs w:val="24"/>
                <w:color w:val="auto"/>
              </w:rPr>
            </w:pPr>
          </w:p>
        </w:tc>
        <w:tc>
          <w:tcPr>
            <w:tcW w:w="4580" w:type="dxa"/>
            <w:vAlign w:val="bottom"/>
          </w:tcPr>
          <w:p>
            <w:pPr>
              <w:spacing w:after="0"/>
              <w:rPr>
                <w:sz w:val="24"/>
                <w:szCs w:val="24"/>
                <w:color w:val="auto"/>
              </w:rPr>
            </w:pPr>
          </w:p>
        </w:tc>
        <w:tc>
          <w:tcPr>
            <w:tcW w:w="320" w:type="dxa"/>
            <w:vAlign w:val="bottom"/>
            <w:tcBorders>
              <w:bottom w:val="single" w:sz="8" w:color="auto"/>
            </w:tcBorders>
          </w:tcPr>
          <w:p>
            <w:pPr>
              <w:spacing w:after="0"/>
              <w:rPr>
                <w:sz w:val="24"/>
                <w:szCs w:val="24"/>
                <w:color w:val="auto"/>
              </w:rPr>
            </w:pPr>
          </w:p>
        </w:tc>
        <w:tc>
          <w:tcPr>
            <w:tcW w:w="2980" w:type="dxa"/>
            <w:vAlign w:val="bottom"/>
            <w:tcBorders>
              <w:bottom w:val="single" w:sz="8" w:color="auto"/>
            </w:tcBorders>
            <w:gridSpan w:val="4"/>
          </w:tcPr>
          <w:p>
            <w:pPr>
              <w:jc w:val="right"/>
              <w:ind w:right="610"/>
              <w:spacing w:after="0"/>
              <w:rPr>
                <w:sz w:val="20"/>
                <w:szCs w:val="20"/>
                <w:color w:val="auto"/>
              </w:rPr>
            </w:pPr>
            <w:r>
              <w:rPr>
                <w:rFonts w:ascii="Arial" w:cs="Arial" w:eastAsia="Arial" w:hAnsi="Arial"/>
                <w:sz w:val="18"/>
                <w:szCs w:val="18"/>
                <w:b w:val="1"/>
                <w:bCs w:val="1"/>
                <w:color w:val="auto"/>
              </w:rPr>
              <w:t>Year Ended December 31,</w:t>
            </w:r>
          </w:p>
        </w:tc>
      </w:tr>
      <w:tr>
        <w:trPr>
          <w:trHeight w:val="209"/>
        </w:trPr>
        <w:tc>
          <w:tcPr>
            <w:tcW w:w="1280" w:type="dxa"/>
            <w:vAlign w:val="bottom"/>
          </w:tcPr>
          <w:p>
            <w:pPr>
              <w:spacing w:after="0"/>
              <w:rPr>
                <w:sz w:val="18"/>
                <w:szCs w:val="18"/>
                <w:color w:val="auto"/>
              </w:rPr>
            </w:pPr>
          </w:p>
        </w:tc>
        <w:tc>
          <w:tcPr>
            <w:tcW w:w="2080" w:type="dxa"/>
            <w:vAlign w:val="bottom"/>
          </w:tcPr>
          <w:p>
            <w:pPr>
              <w:spacing w:after="0"/>
              <w:rPr>
                <w:sz w:val="18"/>
                <w:szCs w:val="18"/>
                <w:color w:val="auto"/>
              </w:rPr>
            </w:pPr>
          </w:p>
        </w:tc>
        <w:tc>
          <w:tcPr>
            <w:tcW w:w="4580" w:type="dxa"/>
            <w:vAlign w:val="bottom"/>
          </w:tcPr>
          <w:p>
            <w:pPr>
              <w:spacing w:after="0"/>
              <w:rPr>
                <w:sz w:val="18"/>
                <w:szCs w:val="18"/>
                <w:color w:val="auto"/>
              </w:rPr>
            </w:pPr>
          </w:p>
        </w:tc>
        <w:tc>
          <w:tcPr>
            <w:tcW w:w="320" w:type="dxa"/>
            <w:vAlign w:val="bottom"/>
            <w:tcBorders>
              <w:bottom w:val="single" w:sz="8" w:color="auto"/>
            </w:tcBorders>
          </w:tcPr>
          <w:p>
            <w:pPr>
              <w:spacing w:after="0"/>
              <w:rPr>
                <w:sz w:val="18"/>
                <w:szCs w:val="18"/>
                <w:color w:val="auto"/>
              </w:rPr>
            </w:pPr>
          </w:p>
        </w:tc>
        <w:tc>
          <w:tcPr>
            <w:tcW w:w="1260" w:type="dxa"/>
            <w:vAlign w:val="bottom"/>
            <w:tcBorders>
              <w:bottom w:val="single" w:sz="8" w:color="auto"/>
            </w:tcBorders>
          </w:tcPr>
          <w:p>
            <w:pPr>
              <w:jc w:val="right"/>
              <w:ind w:right="570"/>
              <w:spacing w:after="0"/>
              <w:rPr>
                <w:sz w:val="20"/>
                <w:szCs w:val="20"/>
                <w:color w:val="auto"/>
              </w:rPr>
            </w:pPr>
            <w:r>
              <w:rPr>
                <w:rFonts w:ascii="Arial" w:cs="Arial" w:eastAsia="Arial" w:hAnsi="Arial"/>
                <w:sz w:val="18"/>
                <w:szCs w:val="18"/>
                <w:b w:val="1"/>
                <w:bCs w:val="1"/>
                <w:color w:val="auto"/>
              </w:rPr>
              <w:t>2021</w:t>
            </w:r>
          </w:p>
        </w:tc>
        <w:tc>
          <w:tcPr>
            <w:tcW w:w="120" w:type="dxa"/>
            <w:vAlign w:val="bottom"/>
          </w:tcPr>
          <w:p>
            <w:pPr>
              <w:spacing w:after="0"/>
              <w:rPr>
                <w:sz w:val="18"/>
                <w:szCs w:val="18"/>
                <w:color w:val="auto"/>
              </w:rPr>
            </w:pPr>
          </w:p>
        </w:tc>
        <w:tc>
          <w:tcPr>
            <w:tcW w:w="320" w:type="dxa"/>
            <w:vAlign w:val="bottom"/>
            <w:tcBorders>
              <w:bottom w:val="single" w:sz="8" w:color="auto"/>
            </w:tcBorders>
          </w:tcPr>
          <w:p>
            <w:pPr>
              <w:spacing w:after="0"/>
              <w:rPr>
                <w:sz w:val="18"/>
                <w:szCs w:val="18"/>
                <w:color w:val="auto"/>
              </w:rPr>
            </w:pPr>
          </w:p>
        </w:tc>
        <w:tc>
          <w:tcPr>
            <w:tcW w:w="1280" w:type="dxa"/>
            <w:vAlign w:val="bottom"/>
            <w:tcBorders>
              <w:bottom w:val="single" w:sz="8" w:color="auto"/>
            </w:tcBorders>
          </w:tcPr>
          <w:p>
            <w:pPr>
              <w:jc w:val="right"/>
              <w:ind w:right="590"/>
              <w:spacing w:after="0"/>
              <w:rPr>
                <w:sz w:val="20"/>
                <w:szCs w:val="20"/>
                <w:color w:val="auto"/>
              </w:rPr>
            </w:pPr>
            <w:r>
              <w:rPr>
                <w:rFonts w:ascii="Arial" w:cs="Arial" w:eastAsia="Arial" w:hAnsi="Arial"/>
                <w:sz w:val="18"/>
                <w:szCs w:val="18"/>
                <w:b w:val="1"/>
                <w:bCs w:val="1"/>
                <w:color w:val="auto"/>
              </w:rPr>
              <w:t>2020</w:t>
            </w:r>
          </w:p>
        </w:tc>
      </w:tr>
      <w:tr>
        <w:trPr>
          <w:trHeight w:val="210"/>
        </w:trPr>
        <w:tc>
          <w:tcPr>
            <w:tcW w:w="1280" w:type="dxa"/>
            <w:vAlign w:val="bottom"/>
          </w:tcPr>
          <w:p>
            <w:pPr>
              <w:spacing w:after="0"/>
              <w:rPr>
                <w:sz w:val="18"/>
                <w:szCs w:val="18"/>
                <w:color w:val="auto"/>
              </w:rPr>
            </w:pPr>
          </w:p>
        </w:tc>
        <w:tc>
          <w:tcPr>
            <w:tcW w:w="2080" w:type="dxa"/>
            <w:vAlign w:val="bottom"/>
          </w:tcPr>
          <w:p>
            <w:pPr>
              <w:spacing w:after="0"/>
              <w:rPr>
                <w:sz w:val="18"/>
                <w:szCs w:val="18"/>
                <w:color w:val="auto"/>
              </w:rPr>
            </w:pPr>
          </w:p>
        </w:tc>
        <w:tc>
          <w:tcPr>
            <w:tcW w:w="45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280" w:type="dxa"/>
            <w:vAlign w:val="bottom"/>
          </w:tcPr>
          <w:p>
            <w:pPr>
              <w:spacing w:after="0"/>
              <w:rPr>
                <w:sz w:val="18"/>
                <w:szCs w:val="18"/>
                <w:color w:val="auto"/>
              </w:rPr>
            </w:pPr>
          </w:p>
        </w:tc>
      </w:tr>
      <w:tr>
        <w:trPr>
          <w:trHeight w:val="216"/>
        </w:trPr>
        <w:tc>
          <w:tcPr>
            <w:tcW w:w="33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Revenues</w:t>
            </w:r>
          </w:p>
        </w:tc>
        <w:tc>
          <w:tcPr>
            <w:tcW w:w="49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26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118,904</w:t>
            </w:r>
          </w:p>
        </w:tc>
        <w:tc>
          <w:tcPr>
            <w:tcW w:w="44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128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102,100</w:t>
            </w:r>
          </w:p>
        </w:tc>
      </w:tr>
      <w:tr>
        <w:trPr>
          <w:trHeight w:val="216"/>
        </w:trPr>
        <w:tc>
          <w:tcPr>
            <w:tcW w:w="3360" w:type="dxa"/>
            <w:vAlign w:val="bottom"/>
            <w:gridSpan w:val="2"/>
          </w:tcPr>
          <w:p>
            <w:pPr>
              <w:spacing w:after="0"/>
              <w:rPr>
                <w:sz w:val="20"/>
                <w:szCs w:val="20"/>
                <w:color w:val="auto"/>
              </w:rPr>
            </w:pPr>
            <w:r>
              <w:rPr>
                <w:rFonts w:ascii="Arial" w:cs="Arial" w:eastAsia="Arial" w:hAnsi="Arial"/>
                <w:sz w:val="18"/>
                <w:szCs w:val="18"/>
                <w:color w:val="auto"/>
              </w:rPr>
              <w:t>Cost of revenues</w:t>
            </w:r>
          </w:p>
        </w:tc>
        <w:tc>
          <w:tcPr>
            <w:tcW w:w="4580" w:type="dxa"/>
            <w:vAlign w:val="bottom"/>
          </w:tcPr>
          <w:p>
            <w:pPr>
              <w:spacing w:after="0"/>
              <w:rPr>
                <w:sz w:val="18"/>
                <w:szCs w:val="18"/>
                <w:color w:val="auto"/>
              </w:rPr>
            </w:pPr>
          </w:p>
        </w:tc>
        <w:tc>
          <w:tcPr>
            <w:tcW w:w="320" w:type="dxa"/>
            <w:vAlign w:val="bottom"/>
            <w:tcBorders>
              <w:bottom w:val="single" w:sz="8" w:color="auto"/>
            </w:tcBorders>
          </w:tcPr>
          <w:p>
            <w:pPr>
              <w:spacing w:after="0"/>
              <w:rPr>
                <w:sz w:val="18"/>
                <w:szCs w:val="18"/>
                <w:color w:val="auto"/>
              </w:rPr>
            </w:pPr>
          </w:p>
        </w:tc>
        <w:tc>
          <w:tcPr>
            <w:tcW w:w="126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51,252</w:t>
            </w:r>
          </w:p>
        </w:tc>
        <w:tc>
          <w:tcPr>
            <w:tcW w:w="120" w:type="dxa"/>
            <w:vAlign w:val="bottom"/>
          </w:tcPr>
          <w:p>
            <w:pPr>
              <w:spacing w:after="0"/>
              <w:rPr>
                <w:sz w:val="18"/>
                <w:szCs w:val="18"/>
                <w:color w:val="auto"/>
              </w:rPr>
            </w:pPr>
          </w:p>
        </w:tc>
        <w:tc>
          <w:tcPr>
            <w:tcW w:w="320" w:type="dxa"/>
            <w:vAlign w:val="bottom"/>
            <w:tcBorders>
              <w:bottom w:val="single" w:sz="8" w:color="auto"/>
            </w:tcBorders>
          </w:tcPr>
          <w:p>
            <w:pPr>
              <w:spacing w:after="0"/>
              <w:rPr>
                <w:sz w:val="18"/>
                <w:szCs w:val="18"/>
                <w:color w:val="auto"/>
              </w:rPr>
            </w:pPr>
          </w:p>
        </w:tc>
        <w:tc>
          <w:tcPr>
            <w:tcW w:w="128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44,059</w:t>
            </w:r>
          </w:p>
        </w:tc>
      </w:tr>
      <w:tr>
        <w:trPr>
          <w:trHeight w:val="209"/>
        </w:trPr>
        <w:tc>
          <w:tcPr>
            <w:tcW w:w="3360" w:type="dxa"/>
            <w:vAlign w:val="bottom"/>
            <w:tcBorders>
              <w:bottom w:val="single" w:sz="8" w:color="CCEEFF"/>
            </w:tcBorders>
            <w:gridSpan w:val="2"/>
            <w:shd w:val="clear" w:color="auto" w:fill="CCEEFF"/>
          </w:tcPr>
          <w:p>
            <w:pPr>
              <w:ind w:left="180"/>
              <w:spacing w:after="0"/>
              <w:rPr>
                <w:sz w:val="20"/>
                <w:szCs w:val="20"/>
                <w:color w:val="auto"/>
              </w:rPr>
            </w:pPr>
            <w:r>
              <w:rPr>
                <w:rFonts w:ascii="Arial" w:cs="Arial" w:eastAsia="Arial" w:hAnsi="Arial"/>
                <w:sz w:val="18"/>
                <w:szCs w:val="18"/>
                <w:color w:val="auto"/>
              </w:rPr>
              <w:t>Gross profit</w:t>
            </w:r>
          </w:p>
        </w:tc>
        <w:tc>
          <w:tcPr>
            <w:tcW w:w="4580" w:type="dxa"/>
            <w:vAlign w:val="bottom"/>
            <w:tcBorders>
              <w:bottom w:val="single" w:sz="8" w:color="CCEEFF"/>
            </w:tcBorders>
            <w:shd w:val="clear" w:color="auto" w:fill="CCEEFF"/>
          </w:tcPr>
          <w:p>
            <w:pPr>
              <w:spacing w:after="0"/>
              <w:rPr>
                <w:sz w:val="18"/>
                <w:szCs w:val="18"/>
                <w:color w:val="auto"/>
              </w:rPr>
            </w:pPr>
          </w:p>
        </w:tc>
        <w:tc>
          <w:tcPr>
            <w:tcW w:w="320" w:type="dxa"/>
            <w:vAlign w:val="bottom"/>
            <w:tcBorders>
              <w:bottom w:val="single" w:sz="8" w:color="auto"/>
            </w:tcBorders>
            <w:shd w:val="clear" w:color="auto" w:fill="CCEEFF"/>
          </w:tcPr>
          <w:p>
            <w:pPr>
              <w:spacing w:after="0"/>
              <w:rPr>
                <w:sz w:val="18"/>
                <w:szCs w:val="18"/>
                <w:color w:val="auto"/>
              </w:rPr>
            </w:pPr>
          </w:p>
        </w:tc>
        <w:tc>
          <w:tcPr>
            <w:tcW w:w="126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67,652</w:t>
            </w:r>
          </w:p>
        </w:tc>
        <w:tc>
          <w:tcPr>
            <w:tcW w:w="120" w:type="dxa"/>
            <w:vAlign w:val="bottom"/>
            <w:tcBorders>
              <w:bottom w:val="single" w:sz="8" w:color="CCEEFF"/>
            </w:tcBorders>
            <w:shd w:val="clear" w:color="auto" w:fill="CCEEFF"/>
          </w:tcPr>
          <w:p>
            <w:pPr>
              <w:spacing w:after="0"/>
              <w:rPr>
                <w:sz w:val="18"/>
                <w:szCs w:val="18"/>
                <w:color w:val="auto"/>
              </w:rPr>
            </w:pPr>
          </w:p>
        </w:tc>
        <w:tc>
          <w:tcPr>
            <w:tcW w:w="320" w:type="dxa"/>
            <w:vAlign w:val="bottom"/>
            <w:tcBorders>
              <w:bottom w:val="single" w:sz="8" w:color="auto"/>
            </w:tcBorders>
            <w:shd w:val="clear" w:color="auto" w:fill="CCEEFF"/>
          </w:tcPr>
          <w:p>
            <w:pPr>
              <w:spacing w:after="0"/>
              <w:rPr>
                <w:sz w:val="18"/>
                <w:szCs w:val="18"/>
                <w:color w:val="auto"/>
              </w:rPr>
            </w:pPr>
          </w:p>
        </w:tc>
        <w:tc>
          <w:tcPr>
            <w:tcW w:w="128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rPr>
              <w:t>58,041</w:t>
            </w:r>
          </w:p>
        </w:tc>
      </w:tr>
      <w:tr>
        <w:trPr>
          <w:trHeight w:val="210"/>
        </w:trPr>
        <w:tc>
          <w:tcPr>
            <w:tcW w:w="1280" w:type="dxa"/>
            <w:vAlign w:val="bottom"/>
          </w:tcPr>
          <w:p>
            <w:pPr>
              <w:spacing w:after="0"/>
              <w:rPr>
                <w:sz w:val="18"/>
                <w:szCs w:val="18"/>
                <w:color w:val="auto"/>
              </w:rPr>
            </w:pPr>
          </w:p>
        </w:tc>
        <w:tc>
          <w:tcPr>
            <w:tcW w:w="2080" w:type="dxa"/>
            <w:vAlign w:val="bottom"/>
          </w:tcPr>
          <w:p>
            <w:pPr>
              <w:spacing w:after="0"/>
              <w:rPr>
                <w:sz w:val="18"/>
                <w:szCs w:val="18"/>
                <w:color w:val="auto"/>
              </w:rPr>
            </w:pPr>
          </w:p>
        </w:tc>
        <w:tc>
          <w:tcPr>
            <w:tcW w:w="45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280" w:type="dxa"/>
            <w:vAlign w:val="bottom"/>
          </w:tcPr>
          <w:p>
            <w:pPr>
              <w:spacing w:after="0"/>
              <w:rPr>
                <w:sz w:val="18"/>
                <w:szCs w:val="18"/>
                <w:color w:val="auto"/>
              </w:rPr>
            </w:pPr>
          </w:p>
        </w:tc>
      </w:tr>
      <w:tr>
        <w:trPr>
          <w:trHeight w:val="216"/>
        </w:trPr>
        <w:tc>
          <w:tcPr>
            <w:tcW w:w="3360" w:type="dxa"/>
            <w:vAlign w:val="bottom"/>
            <w:gridSpan w:val="2"/>
            <w:shd w:val="clear" w:color="auto" w:fill="CCEEFF"/>
          </w:tcPr>
          <w:p>
            <w:pPr>
              <w:ind w:left="180"/>
              <w:spacing w:after="0"/>
              <w:rPr>
                <w:sz w:val="20"/>
                <w:szCs w:val="20"/>
                <w:color w:val="auto"/>
              </w:rPr>
            </w:pPr>
            <w:r>
              <w:rPr>
                <w:rFonts w:ascii="Arial" w:cs="Arial" w:eastAsia="Arial" w:hAnsi="Arial"/>
                <w:sz w:val="18"/>
                <w:szCs w:val="18"/>
                <w:color w:val="auto"/>
              </w:rPr>
              <w:t>Sales and marketing expenses</w:t>
            </w:r>
          </w:p>
        </w:tc>
        <w:tc>
          <w:tcPr>
            <w:tcW w:w="45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26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24,642</w:t>
            </w:r>
          </w:p>
        </w:tc>
        <w:tc>
          <w:tcPr>
            <w:tcW w:w="1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28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19,916</w:t>
            </w:r>
          </w:p>
        </w:tc>
      </w:tr>
      <w:tr>
        <w:trPr>
          <w:trHeight w:val="216"/>
        </w:trPr>
        <w:tc>
          <w:tcPr>
            <w:tcW w:w="3360" w:type="dxa"/>
            <w:vAlign w:val="bottom"/>
            <w:gridSpan w:val="2"/>
          </w:tcPr>
          <w:p>
            <w:pPr>
              <w:ind w:left="180"/>
              <w:spacing w:after="0"/>
              <w:rPr>
                <w:sz w:val="20"/>
                <w:szCs w:val="20"/>
                <w:color w:val="auto"/>
              </w:rPr>
            </w:pPr>
            <w:r>
              <w:rPr>
                <w:rFonts w:ascii="Arial" w:cs="Arial" w:eastAsia="Arial" w:hAnsi="Arial"/>
                <w:sz w:val="18"/>
                <w:szCs w:val="18"/>
                <w:color w:val="auto"/>
              </w:rPr>
              <w:t>General and administrative expenses</w:t>
            </w:r>
          </w:p>
        </w:tc>
        <w:tc>
          <w:tcPr>
            <w:tcW w:w="45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260" w:type="dxa"/>
            <w:vAlign w:val="bottom"/>
          </w:tcPr>
          <w:p>
            <w:pPr>
              <w:jc w:val="right"/>
              <w:ind w:right="10"/>
              <w:spacing w:after="0"/>
              <w:rPr>
                <w:sz w:val="20"/>
                <w:szCs w:val="20"/>
                <w:color w:val="auto"/>
              </w:rPr>
            </w:pPr>
            <w:r>
              <w:rPr>
                <w:rFonts w:ascii="Arial" w:cs="Arial" w:eastAsia="Arial" w:hAnsi="Arial"/>
                <w:sz w:val="18"/>
                <w:szCs w:val="18"/>
                <w:color w:val="auto"/>
              </w:rPr>
              <w:t>24,305</w:t>
            </w:r>
          </w:p>
        </w:tc>
        <w:tc>
          <w:tcPr>
            <w:tcW w:w="1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280" w:type="dxa"/>
            <w:vAlign w:val="bottom"/>
          </w:tcPr>
          <w:p>
            <w:pPr>
              <w:jc w:val="right"/>
              <w:ind w:right="30"/>
              <w:spacing w:after="0"/>
              <w:rPr>
                <w:sz w:val="20"/>
                <w:szCs w:val="20"/>
                <w:color w:val="auto"/>
              </w:rPr>
            </w:pPr>
            <w:r>
              <w:rPr>
                <w:rFonts w:ascii="Arial" w:cs="Arial" w:eastAsia="Arial" w:hAnsi="Arial"/>
                <w:sz w:val="18"/>
                <w:szCs w:val="18"/>
                <w:color w:val="auto"/>
              </w:rPr>
              <w:t>23,509</w:t>
            </w:r>
          </w:p>
        </w:tc>
      </w:tr>
      <w:tr>
        <w:trPr>
          <w:trHeight w:val="216"/>
        </w:trPr>
        <w:tc>
          <w:tcPr>
            <w:tcW w:w="3360" w:type="dxa"/>
            <w:vAlign w:val="bottom"/>
            <w:gridSpan w:val="2"/>
            <w:shd w:val="clear" w:color="auto" w:fill="CCEEFF"/>
          </w:tcPr>
          <w:p>
            <w:pPr>
              <w:ind w:left="180"/>
              <w:spacing w:after="0"/>
              <w:rPr>
                <w:sz w:val="20"/>
                <w:szCs w:val="20"/>
                <w:color w:val="auto"/>
              </w:rPr>
            </w:pPr>
            <w:r>
              <w:rPr>
                <w:rFonts w:ascii="Arial" w:cs="Arial" w:eastAsia="Arial" w:hAnsi="Arial"/>
                <w:sz w:val="18"/>
                <w:szCs w:val="18"/>
                <w:color w:val="auto"/>
              </w:rPr>
              <w:t>Research and development expenses</w:t>
            </w:r>
          </w:p>
        </w:tc>
        <w:tc>
          <w:tcPr>
            <w:tcW w:w="45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26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10,799</w:t>
            </w:r>
          </w:p>
        </w:tc>
        <w:tc>
          <w:tcPr>
            <w:tcW w:w="1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28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8,685</w:t>
            </w:r>
          </w:p>
        </w:tc>
      </w:tr>
      <w:tr>
        <w:trPr>
          <w:trHeight w:val="216"/>
        </w:trPr>
        <w:tc>
          <w:tcPr>
            <w:tcW w:w="3360" w:type="dxa"/>
            <w:vAlign w:val="bottom"/>
            <w:gridSpan w:val="2"/>
          </w:tcPr>
          <w:p>
            <w:pPr>
              <w:ind w:left="180"/>
              <w:spacing w:after="0"/>
              <w:rPr>
                <w:sz w:val="20"/>
                <w:szCs w:val="20"/>
                <w:color w:val="auto"/>
              </w:rPr>
            </w:pPr>
            <w:r>
              <w:rPr>
                <w:rFonts w:ascii="Arial" w:cs="Arial" w:eastAsia="Arial" w:hAnsi="Arial"/>
                <w:sz w:val="18"/>
                <w:szCs w:val="18"/>
                <w:color w:val="auto"/>
              </w:rPr>
              <w:t>Amortization of intangible assets</w:t>
            </w:r>
          </w:p>
        </w:tc>
        <w:tc>
          <w:tcPr>
            <w:tcW w:w="4580" w:type="dxa"/>
            <w:vAlign w:val="bottom"/>
          </w:tcPr>
          <w:p>
            <w:pPr>
              <w:spacing w:after="0"/>
              <w:rPr>
                <w:sz w:val="18"/>
                <w:szCs w:val="18"/>
                <w:color w:val="auto"/>
              </w:rPr>
            </w:pPr>
          </w:p>
        </w:tc>
        <w:tc>
          <w:tcPr>
            <w:tcW w:w="320" w:type="dxa"/>
            <w:vAlign w:val="bottom"/>
            <w:tcBorders>
              <w:bottom w:val="single" w:sz="8" w:color="auto"/>
            </w:tcBorders>
          </w:tcPr>
          <w:p>
            <w:pPr>
              <w:spacing w:after="0"/>
              <w:rPr>
                <w:sz w:val="18"/>
                <w:szCs w:val="18"/>
                <w:color w:val="auto"/>
              </w:rPr>
            </w:pPr>
          </w:p>
        </w:tc>
        <w:tc>
          <w:tcPr>
            <w:tcW w:w="126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5,840</w:t>
            </w:r>
          </w:p>
        </w:tc>
        <w:tc>
          <w:tcPr>
            <w:tcW w:w="120" w:type="dxa"/>
            <w:vAlign w:val="bottom"/>
          </w:tcPr>
          <w:p>
            <w:pPr>
              <w:spacing w:after="0"/>
              <w:rPr>
                <w:sz w:val="18"/>
                <w:szCs w:val="18"/>
                <w:color w:val="auto"/>
              </w:rPr>
            </w:pPr>
          </w:p>
        </w:tc>
        <w:tc>
          <w:tcPr>
            <w:tcW w:w="320" w:type="dxa"/>
            <w:vAlign w:val="bottom"/>
            <w:tcBorders>
              <w:bottom w:val="single" w:sz="8" w:color="auto"/>
            </w:tcBorders>
          </w:tcPr>
          <w:p>
            <w:pPr>
              <w:spacing w:after="0"/>
              <w:rPr>
                <w:sz w:val="18"/>
                <w:szCs w:val="18"/>
                <w:color w:val="auto"/>
              </w:rPr>
            </w:pPr>
          </w:p>
        </w:tc>
        <w:tc>
          <w:tcPr>
            <w:tcW w:w="128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5,710</w:t>
            </w:r>
          </w:p>
        </w:tc>
      </w:tr>
      <w:tr>
        <w:trPr>
          <w:trHeight w:val="209"/>
        </w:trPr>
        <w:tc>
          <w:tcPr>
            <w:tcW w:w="3360" w:type="dxa"/>
            <w:vAlign w:val="bottom"/>
            <w:tcBorders>
              <w:bottom w:val="single" w:sz="8" w:color="CCEEFF"/>
            </w:tcBorders>
            <w:gridSpan w:val="2"/>
            <w:shd w:val="clear" w:color="auto" w:fill="CCEEFF"/>
          </w:tcPr>
          <w:p>
            <w:pPr>
              <w:spacing w:after="0"/>
              <w:rPr>
                <w:sz w:val="20"/>
                <w:szCs w:val="20"/>
                <w:color w:val="auto"/>
              </w:rPr>
            </w:pPr>
            <w:r>
              <w:rPr>
                <w:rFonts w:ascii="Arial" w:cs="Arial" w:eastAsia="Arial" w:hAnsi="Arial"/>
                <w:sz w:val="18"/>
                <w:szCs w:val="18"/>
                <w:color w:val="auto"/>
              </w:rPr>
              <w:t>Total operating expenses</w:t>
            </w:r>
          </w:p>
        </w:tc>
        <w:tc>
          <w:tcPr>
            <w:tcW w:w="4580" w:type="dxa"/>
            <w:vAlign w:val="bottom"/>
            <w:tcBorders>
              <w:bottom w:val="single" w:sz="8" w:color="CCEEFF"/>
            </w:tcBorders>
            <w:shd w:val="clear" w:color="auto" w:fill="CCEEFF"/>
          </w:tcPr>
          <w:p>
            <w:pPr>
              <w:spacing w:after="0"/>
              <w:rPr>
                <w:sz w:val="18"/>
                <w:szCs w:val="18"/>
                <w:color w:val="auto"/>
              </w:rPr>
            </w:pPr>
          </w:p>
        </w:tc>
        <w:tc>
          <w:tcPr>
            <w:tcW w:w="320" w:type="dxa"/>
            <w:vAlign w:val="bottom"/>
            <w:tcBorders>
              <w:bottom w:val="single" w:sz="8" w:color="auto"/>
            </w:tcBorders>
            <w:shd w:val="clear" w:color="auto" w:fill="CCEEFF"/>
          </w:tcPr>
          <w:p>
            <w:pPr>
              <w:spacing w:after="0"/>
              <w:rPr>
                <w:sz w:val="18"/>
                <w:szCs w:val="18"/>
                <w:color w:val="auto"/>
              </w:rPr>
            </w:pPr>
          </w:p>
        </w:tc>
        <w:tc>
          <w:tcPr>
            <w:tcW w:w="126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65,586</w:t>
            </w:r>
          </w:p>
        </w:tc>
        <w:tc>
          <w:tcPr>
            <w:tcW w:w="120" w:type="dxa"/>
            <w:vAlign w:val="bottom"/>
            <w:tcBorders>
              <w:bottom w:val="single" w:sz="8" w:color="CCEEFF"/>
            </w:tcBorders>
            <w:shd w:val="clear" w:color="auto" w:fill="CCEEFF"/>
          </w:tcPr>
          <w:p>
            <w:pPr>
              <w:spacing w:after="0"/>
              <w:rPr>
                <w:sz w:val="18"/>
                <w:szCs w:val="18"/>
                <w:color w:val="auto"/>
              </w:rPr>
            </w:pPr>
          </w:p>
        </w:tc>
        <w:tc>
          <w:tcPr>
            <w:tcW w:w="320" w:type="dxa"/>
            <w:vAlign w:val="bottom"/>
            <w:tcBorders>
              <w:bottom w:val="single" w:sz="8" w:color="auto"/>
            </w:tcBorders>
            <w:shd w:val="clear" w:color="auto" w:fill="CCEEFF"/>
          </w:tcPr>
          <w:p>
            <w:pPr>
              <w:spacing w:after="0"/>
              <w:rPr>
                <w:sz w:val="18"/>
                <w:szCs w:val="18"/>
                <w:color w:val="auto"/>
              </w:rPr>
            </w:pPr>
          </w:p>
        </w:tc>
        <w:tc>
          <w:tcPr>
            <w:tcW w:w="128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rPr>
              <w:t>57,820</w:t>
            </w:r>
          </w:p>
        </w:tc>
      </w:tr>
      <w:tr>
        <w:trPr>
          <w:trHeight w:val="209"/>
        </w:trPr>
        <w:tc>
          <w:tcPr>
            <w:tcW w:w="1280" w:type="dxa"/>
            <w:vAlign w:val="bottom"/>
          </w:tcPr>
          <w:p>
            <w:pPr>
              <w:spacing w:after="0"/>
              <w:rPr>
                <w:sz w:val="18"/>
                <w:szCs w:val="18"/>
                <w:color w:val="auto"/>
              </w:rPr>
            </w:pPr>
          </w:p>
        </w:tc>
        <w:tc>
          <w:tcPr>
            <w:tcW w:w="2080" w:type="dxa"/>
            <w:vAlign w:val="bottom"/>
          </w:tcPr>
          <w:p>
            <w:pPr>
              <w:spacing w:after="0"/>
              <w:rPr>
                <w:sz w:val="18"/>
                <w:szCs w:val="18"/>
                <w:color w:val="auto"/>
              </w:rPr>
            </w:pPr>
          </w:p>
        </w:tc>
        <w:tc>
          <w:tcPr>
            <w:tcW w:w="45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280" w:type="dxa"/>
            <w:vAlign w:val="bottom"/>
          </w:tcPr>
          <w:p>
            <w:pPr>
              <w:spacing w:after="0"/>
              <w:rPr>
                <w:sz w:val="18"/>
                <w:szCs w:val="18"/>
                <w:color w:val="auto"/>
              </w:rPr>
            </w:pPr>
          </w:p>
        </w:tc>
      </w:tr>
      <w:tr>
        <w:trPr>
          <w:trHeight w:val="216"/>
        </w:trPr>
        <w:tc>
          <w:tcPr>
            <w:tcW w:w="3360" w:type="dxa"/>
            <w:vAlign w:val="bottom"/>
            <w:tcBorders>
              <w:bottom w:val="single" w:sz="8" w:color="CCEEFF"/>
            </w:tcBorders>
            <w:gridSpan w:val="2"/>
            <w:shd w:val="clear" w:color="auto" w:fill="CCEEFF"/>
          </w:tcPr>
          <w:p>
            <w:pPr>
              <w:spacing w:after="0"/>
              <w:rPr>
                <w:sz w:val="20"/>
                <w:szCs w:val="20"/>
                <w:color w:val="auto"/>
              </w:rPr>
            </w:pPr>
            <w:r>
              <w:rPr>
                <w:rFonts w:ascii="Arial" w:cs="Arial" w:eastAsia="Arial" w:hAnsi="Arial"/>
                <w:sz w:val="18"/>
                <w:szCs w:val="18"/>
                <w:color w:val="auto"/>
              </w:rPr>
              <w:t>Operating income</w:t>
            </w:r>
          </w:p>
        </w:tc>
        <w:tc>
          <w:tcPr>
            <w:tcW w:w="4580" w:type="dxa"/>
            <w:vAlign w:val="bottom"/>
            <w:tcBorders>
              <w:bottom w:val="single" w:sz="8" w:color="CCEEFF"/>
            </w:tcBorders>
            <w:shd w:val="clear" w:color="auto" w:fill="CCEEFF"/>
          </w:tcPr>
          <w:p>
            <w:pPr>
              <w:spacing w:after="0"/>
              <w:rPr>
                <w:sz w:val="18"/>
                <w:szCs w:val="18"/>
                <w:color w:val="auto"/>
              </w:rPr>
            </w:pPr>
          </w:p>
        </w:tc>
        <w:tc>
          <w:tcPr>
            <w:tcW w:w="320" w:type="dxa"/>
            <w:vAlign w:val="bottom"/>
            <w:tcBorders>
              <w:bottom w:val="single" w:sz="8" w:color="auto"/>
            </w:tcBorders>
            <w:shd w:val="clear" w:color="auto" w:fill="CCEEFF"/>
          </w:tcPr>
          <w:p>
            <w:pPr>
              <w:spacing w:after="0"/>
              <w:rPr>
                <w:sz w:val="18"/>
                <w:szCs w:val="18"/>
                <w:color w:val="auto"/>
              </w:rPr>
            </w:pPr>
          </w:p>
        </w:tc>
        <w:tc>
          <w:tcPr>
            <w:tcW w:w="126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2,066</w:t>
            </w:r>
          </w:p>
        </w:tc>
        <w:tc>
          <w:tcPr>
            <w:tcW w:w="120" w:type="dxa"/>
            <w:vAlign w:val="bottom"/>
            <w:tcBorders>
              <w:bottom w:val="single" w:sz="8" w:color="CCEEFF"/>
            </w:tcBorders>
            <w:shd w:val="clear" w:color="auto" w:fill="CCEEFF"/>
          </w:tcPr>
          <w:p>
            <w:pPr>
              <w:spacing w:after="0"/>
              <w:rPr>
                <w:sz w:val="18"/>
                <w:szCs w:val="18"/>
                <w:color w:val="auto"/>
              </w:rPr>
            </w:pPr>
          </w:p>
        </w:tc>
        <w:tc>
          <w:tcPr>
            <w:tcW w:w="320" w:type="dxa"/>
            <w:vAlign w:val="bottom"/>
            <w:tcBorders>
              <w:bottom w:val="single" w:sz="8" w:color="auto"/>
            </w:tcBorders>
            <w:shd w:val="clear" w:color="auto" w:fill="CCEEFF"/>
          </w:tcPr>
          <w:p>
            <w:pPr>
              <w:spacing w:after="0"/>
              <w:rPr>
                <w:sz w:val="18"/>
                <w:szCs w:val="18"/>
                <w:color w:val="auto"/>
              </w:rPr>
            </w:pPr>
          </w:p>
        </w:tc>
        <w:tc>
          <w:tcPr>
            <w:tcW w:w="128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rPr>
              <w:t>221</w:t>
            </w:r>
          </w:p>
        </w:tc>
      </w:tr>
      <w:tr>
        <w:trPr>
          <w:trHeight w:val="210"/>
        </w:trPr>
        <w:tc>
          <w:tcPr>
            <w:tcW w:w="1280" w:type="dxa"/>
            <w:vAlign w:val="bottom"/>
          </w:tcPr>
          <w:p>
            <w:pPr>
              <w:spacing w:after="0"/>
              <w:rPr>
                <w:sz w:val="18"/>
                <w:szCs w:val="18"/>
                <w:color w:val="auto"/>
              </w:rPr>
            </w:pPr>
          </w:p>
        </w:tc>
        <w:tc>
          <w:tcPr>
            <w:tcW w:w="2080" w:type="dxa"/>
            <w:vAlign w:val="bottom"/>
          </w:tcPr>
          <w:p>
            <w:pPr>
              <w:spacing w:after="0"/>
              <w:rPr>
                <w:sz w:val="18"/>
                <w:szCs w:val="18"/>
                <w:color w:val="auto"/>
              </w:rPr>
            </w:pPr>
          </w:p>
        </w:tc>
        <w:tc>
          <w:tcPr>
            <w:tcW w:w="45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280" w:type="dxa"/>
            <w:vAlign w:val="bottom"/>
          </w:tcPr>
          <w:p>
            <w:pPr>
              <w:spacing w:after="0"/>
              <w:rPr>
                <w:sz w:val="18"/>
                <w:szCs w:val="18"/>
                <w:color w:val="auto"/>
              </w:rPr>
            </w:pPr>
          </w:p>
        </w:tc>
      </w:tr>
      <w:tr>
        <w:trPr>
          <w:trHeight w:val="216"/>
        </w:trPr>
        <w:tc>
          <w:tcPr>
            <w:tcW w:w="33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Other expense:</w:t>
            </w:r>
          </w:p>
        </w:tc>
        <w:tc>
          <w:tcPr>
            <w:tcW w:w="45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2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280" w:type="dxa"/>
            <w:vAlign w:val="bottom"/>
            <w:shd w:val="clear" w:color="auto" w:fill="CCEEFF"/>
          </w:tcPr>
          <w:p>
            <w:pPr>
              <w:spacing w:after="0"/>
              <w:rPr>
                <w:sz w:val="18"/>
                <w:szCs w:val="18"/>
                <w:color w:val="auto"/>
              </w:rPr>
            </w:pPr>
          </w:p>
        </w:tc>
      </w:tr>
      <w:tr>
        <w:trPr>
          <w:trHeight w:val="216"/>
        </w:trPr>
        <w:tc>
          <w:tcPr>
            <w:tcW w:w="3360" w:type="dxa"/>
            <w:vAlign w:val="bottom"/>
            <w:gridSpan w:val="2"/>
          </w:tcPr>
          <w:p>
            <w:pPr>
              <w:ind w:left="180"/>
              <w:spacing w:after="0"/>
              <w:rPr>
                <w:sz w:val="20"/>
                <w:szCs w:val="20"/>
                <w:color w:val="auto"/>
              </w:rPr>
            </w:pPr>
            <w:r>
              <w:rPr>
                <w:rFonts w:ascii="Arial" w:cs="Arial" w:eastAsia="Arial" w:hAnsi="Arial"/>
                <w:sz w:val="18"/>
                <w:szCs w:val="18"/>
                <w:color w:val="auto"/>
              </w:rPr>
              <w:t>Interest expense</w:t>
            </w:r>
          </w:p>
        </w:tc>
        <w:tc>
          <w:tcPr>
            <w:tcW w:w="45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260" w:type="dxa"/>
            <w:vAlign w:val="bottom"/>
          </w:tcPr>
          <w:p>
            <w:pPr>
              <w:jc w:val="right"/>
              <w:spacing w:after="0"/>
              <w:rPr>
                <w:sz w:val="20"/>
                <w:szCs w:val="20"/>
                <w:color w:val="auto"/>
              </w:rPr>
            </w:pPr>
            <w:r>
              <w:rPr>
                <w:rFonts w:ascii="Arial" w:cs="Arial" w:eastAsia="Arial" w:hAnsi="Arial"/>
                <w:sz w:val="18"/>
                <w:szCs w:val="18"/>
                <w:color w:val="auto"/>
              </w:rPr>
              <w:t>(1,540)</w:t>
            </w:r>
          </w:p>
        </w:tc>
        <w:tc>
          <w:tcPr>
            <w:tcW w:w="1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280" w:type="dxa"/>
            <w:vAlign w:val="bottom"/>
          </w:tcPr>
          <w:p>
            <w:pPr>
              <w:jc w:val="right"/>
              <w:spacing w:after="0"/>
              <w:rPr>
                <w:sz w:val="20"/>
                <w:szCs w:val="20"/>
                <w:color w:val="auto"/>
              </w:rPr>
            </w:pPr>
            <w:r>
              <w:rPr>
                <w:rFonts w:ascii="Arial" w:cs="Arial" w:eastAsia="Arial" w:hAnsi="Arial"/>
                <w:sz w:val="18"/>
                <w:szCs w:val="18"/>
                <w:color w:val="auto"/>
              </w:rPr>
              <w:t>(4,831)</w:t>
            </w:r>
          </w:p>
        </w:tc>
      </w:tr>
      <w:tr>
        <w:trPr>
          <w:trHeight w:val="216"/>
        </w:trPr>
        <w:tc>
          <w:tcPr>
            <w:tcW w:w="3360" w:type="dxa"/>
            <w:vAlign w:val="bottom"/>
            <w:gridSpan w:val="2"/>
            <w:shd w:val="clear" w:color="auto" w:fill="CCEEFF"/>
          </w:tcPr>
          <w:p>
            <w:pPr>
              <w:ind w:left="180"/>
              <w:spacing w:after="0"/>
              <w:rPr>
                <w:sz w:val="20"/>
                <w:szCs w:val="20"/>
                <w:color w:val="auto"/>
              </w:rPr>
            </w:pPr>
            <w:r>
              <w:rPr>
                <w:rFonts w:ascii="Arial" w:cs="Arial" w:eastAsia="Arial" w:hAnsi="Arial"/>
                <w:sz w:val="18"/>
                <w:szCs w:val="18"/>
                <w:color w:val="auto"/>
              </w:rPr>
              <w:t>Debt extinguishment and related costs</w:t>
            </w:r>
          </w:p>
        </w:tc>
        <w:tc>
          <w:tcPr>
            <w:tcW w:w="45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26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2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(1,876)</w:t>
            </w:r>
          </w:p>
        </w:tc>
      </w:tr>
      <w:tr>
        <w:trPr>
          <w:trHeight w:val="216"/>
        </w:trPr>
        <w:tc>
          <w:tcPr>
            <w:tcW w:w="3360" w:type="dxa"/>
            <w:vAlign w:val="bottom"/>
            <w:gridSpan w:val="2"/>
          </w:tcPr>
          <w:p>
            <w:pPr>
              <w:ind w:left="180"/>
              <w:spacing w:after="0"/>
              <w:rPr>
                <w:sz w:val="20"/>
                <w:szCs w:val="20"/>
                <w:color w:val="auto"/>
              </w:rPr>
            </w:pPr>
            <w:r>
              <w:rPr>
                <w:rFonts w:ascii="Arial" w:cs="Arial" w:eastAsia="Arial" w:hAnsi="Arial"/>
                <w:sz w:val="18"/>
                <w:szCs w:val="18"/>
                <w:color w:val="auto"/>
              </w:rPr>
              <w:t>Other, net</w:t>
            </w:r>
          </w:p>
        </w:tc>
        <w:tc>
          <w:tcPr>
            <w:tcW w:w="4580" w:type="dxa"/>
            <w:vAlign w:val="bottom"/>
          </w:tcPr>
          <w:p>
            <w:pPr>
              <w:spacing w:after="0"/>
              <w:rPr>
                <w:sz w:val="18"/>
                <w:szCs w:val="18"/>
                <w:color w:val="auto"/>
              </w:rPr>
            </w:pPr>
          </w:p>
        </w:tc>
        <w:tc>
          <w:tcPr>
            <w:tcW w:w="320" w:type="dxa"/>
            <w:vAlign w:val="bottom"/>
            <w:tcBorders>
              <w:bottom w:val="single" w:sz="8" w:color="auto"/>
            </w:tcBorders>
          </w:tcPr>
          <w:p>
            <w:pPr>
              <w:spacing w:after="0"/>
              <w:rPr>
                <w:sz w:val="18"/>
                <w:szCs w:val="18"/>
                <w:color w:val="auto"/>
              </w:rPr>
            </w:pPr>
          </w:p>
        </w:tc>
        <w:tc>
          <w:tcPr>
            <w:tcW w:w="12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(666)</w:t>
            </w:r>
          </w:p>
        </w:tc>
        <w:tc>
          <w:tcPr>
            <w:tcW w:w="120" w:type="dxa"/>
            <w:vAlign w:val="bottom"/>
          </w:tcPr>
          <w:p>
            <w:pPr>
              <w:spacing w:after="0"/>
              <w:rPr>
                <w:sz w:val="18"/>
                <w:szCs w:val="18"/>
                <w:color w:val="auto"/>
              </w:rPr>
            </w:pPr>
          </w:p>
        </w:tc>
        <w:tc>
          <w:tcPr>
            <w:tcW w:w="320" w:type="dxa"/>
            <w:vAlign w:val="bottom"/>
            <w:tcBorders>
              <w:bottom w:val="single" w:sz="8" w:color="auto"/>
            </w:tcBorders>
          </w:tcPr>
          <w:p>
            <w:pPr>
              <w:spacing w:after="0"/>
              <w:rPr>
                <w:sz w:val="18"/>
                <w:szCs w:val="18"/>
                <w:color w:val="auto"/>
              </w:rPr>
            </w:pPr>
          </w:p>
        </w:tc>
        <w:tc>
          <w:tcPr>
            <w:tcW w:w="12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(806)</w:t>
            </w:r>
          </w:p>
        </w:tc>
      </w:tr>
      <w:tr>
        <w:trPr>
          <w:trHeight w:val="209"/>
        </w:trPr>
        <w:tc>
          <w:tcPr>
            <w:tcW w:w="3360" w:type="dxa"/>
            <w:vAlign w:val="bottom"/>
            <w:tcBorders>
              <w:bottom w:val="single" w:sz="8" w:color="CCEEFF"/>
            </w:tcBorders>
            <w:gridSpan w:val="2"/>
            <w:shd w:val="clear" w:color="auto" w:fill="CCEEFF"/>
          </w:tcPr>
          <w:p>
            <w:pPr>
              <w:spacing w:after="0"/>
              <w:rPr>
                <w:sz w:val="20"/>
                <w:szCs w:val="20"/>
                <w:color w:val="auto"/>
              </w:rPr>
            </w:pPr>
            <w:r>
              <w:rPr>
                <w:rFonts w:ascii="Arial" w:cs="Arial" w:eastAsia="Arial" w:hAnsi="Arial"/>
                <w:sz w:val="18"/>
                <w:szCs w:val="18"/>
                <w:color w:val="auto"/>
              </w:rPr>
              <w:t>Total other expense</w:t>
            </w:r>
          </w:p>
        </w:tc>
        <w:tc>
          <w:tcPr>
            <w:tcW w:w="4580" w:type="dxa"/>
            <w:vAlign w:val="bottom"/>
            <w:tcBorders>
              <w:bottom w:val="single" w:sz="8" w:color="CCEEFF"/>
            </w:tcBorders>
            <w:shd w:val="clear" w:color="auto" w:fill="CCEEFF"/>
          </w:tcPr>
          <w:p>
            <w:pPr>
              <w:spacing w:after="0"/>
              <w:rPr>
                <w:sz w:val="18"/>
                <w:szCs w:val="18"/>
                <w:color w:val="auto"/>
              </w:rPr>
            </w:pPr>
          </w:p>
        </w:tc>
        <w:tc>
          <w:tcPr>
            <w:tcW w:w="320" w:type="dxa"/>
            <w:vAlign w:val="bottom"/>
            <w:tcBorders>
              <w:bottom w:val="single" w:sz="8" w:color="auto"/>
            </w:tcBorders>
            <w:shd w:val="clear" w:color="auto" w:fill="CCEEFF"/>
          </w:tcPr>
          <w:p>
            <w:pPr>
              <w:spacing w:after="0"/>
              <w:rPr>
                <w:sz w:val="18"/>
                <w:szCs w:val="18"/>
                <w:color w:val="auto"/>
              </w:rPr>
            </w:pPr>
          </w:p>
        </w:tc>
        <w:tc>
          <w:tcPr>
            <w:tcW w:w="12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(2,206)</w:t>
            </w:r>
          </w:p>
        </w:tc>
        <w:tc>
          <w:tcPr>
            <w:tcW w:w="120" w:type="dxa"/>
            <w:vAlign w:val="bottom"/>
            <w:tcBorders>
              <w:bottom w:val="single" w:sz="8" w:color="CCEEFF"/>
            </w:tcBorders>
            <w:shd w:val="clear" w:color="auto" w:fill="CCEEFF"/>
          </w:tcPr>
          <w:p>
            <w:pPr>
              <w:spacing w:after="0"/>
              <w:rPr>
                <w:sz w:val="18"/>
                <w:szCs w:val="18"/>
                <w:color w:val="auto"/>
              </w:rPr>
            </w:pPr>
          </w:p>
        </w:tc>
        <w:tc>
          <w:tcPr>
            <w:tcW w:w="320" w:type="dxa"/>
            <w:vAlign w:val="bottom"/>
            <w:tcBorders>
              <w:bottom w:val="single" w:sz="8" w:color="auto"/>
            </w:tcBorders>
            <w:shd w:val="clear" w:color="auto" w:fill="CCEEFF"/>
          </w:tcPr>
          <w:p>
            <w:pPr>
              <w:spacing w:after="0"/>
              <w:rPr>
                <w:sz w:val="18"/>
                <w:szCs w:val="18"/>
                <w:color w:val="auto"/>
              </w:rPr>
            </w:pPr>
          </w:p>
        </w:tc>
        <w:tc>
          <w:tcPr>
            <w:tcW w:w="12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(7,513)</w:t>
            </w:r>
          </w:p>
        </w:tc>
      </w:tr>
      <w:tr>
        <w:trPr>
          <w:trHeight w:val="209"/>
        </w:trPr>
        <w:tc>
          <w:tcPr>
            <w:tcW w:w="1280" w:type="dxa"/>
            <w:vAlign w:val="bottom"/>
          </w:tcPr>
          <w:p>
            <w:pPr>
              <w:spacing w:after="0"/>
              <w:rPr>
                <w:sz w:val="18"/>
                <w:szCs w:val="18"/>
                <w:color w:val="auto"/>
              </w:rPr>
            </w:pPr>
          </w:p>
        </w:tc>
        <w:tc>
          <w:tcPr>
            <w:tcW w:w="2080" w:type="dxa"/>
            <w:vAlign w:val="bottom"/>
          </w:tcPr>
          <w:p>
            <w:pPr>
              <w:spacing w:after="0"/>
              <w:rPr>
                <w:sz w:val="18"/>
                <w:szCs w:val="18"/>
                <w:color w:val="auto"/>
              </w:rPr>
            </w:pPr>
          </w:p>
        </w:tc>
        <w:tc>
          <w:tcPr>
            <w:tcW w:w="45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280" w:type="dxa"/>
            <w:vAlign w:val="bottom"/>
          </w:tcPr>
          <w:p>
            <w:pPr>
              <w:spacing w:after="0"/>
              <w:rPr>
                <w:sz w:val="18"/>
                <w:szCs w:val="18"/>
                <w:color w:val="auto"/>
              </w:rPr>
            </w:pPr>
          </w:p>
        </w:tc>
      </w:tr>
      <w:tr>
        <w:trPr>
          <w:trHeight w:val="216"/>
        </w:trPr>
        <w:tc>
          <w:tcPr>
            <w:tcW w:w="33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Loss before income taxes</w:t>
            </w:r>
          </w:p>
        </w:tc>
        <w:tc>
          <w:tcPr>
            <w:tcW w:w="45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2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(140)</w:t>
            </w:r>
          </w:p>
        </w:tc>
        <w:tc>
          <w:tcPr>
            <w:tcW w:w="1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2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(7,292)</w:t>
            </w:r>
          </w:p>
        </w:tc>
      </w:tr>
      <w:tr>
        <w:trPr>
          <w:trHeight w:val="216"/>
        </w:trPr>
        <w:tc>
          <w:tcPr>
            <w:tcW w:w="3360" w:type="dxa"/>
            <w:vAlign w:val="bottom"/>
            <w:gridSpan w:val="2"/>
          </w:tcPr>
          <w:p>
            <w:pPr>
              <w:spacing w:after="0"/>
              <w:rPr>
                <w:sz w:val="20"/>
                <w:szCs w:val="20"/>
                <w:color w:val="auto"/>
              </w:rPr>
            </w:pPr>
            <w:r>
              <w:rPr>
                <w:rFonts w:ascii="Arial" w:cs="Arial" w:eastAsia="Arial" w:hAnsi="Arial"/>
                <w:sz w:val="18"/>
                <w:szCs w:val="18"/>
                <w:color w:val="auto"/>
              </w:rPr>
              <w:t>Income tax expense</w:t>
            </w:r>
          </w:p>
        </w:tc>
        <w:tc>
          <w:tcPr>
            <w:tcW w:w="4580" w:type="dxa"/>
            <w:vAlign w:val="bottom"/>
          </w:tcPr>
          <w:p>
            <w:pPr>
              <w:spacing w:after="0"/>
              <w:rPr>
                <w:sz w:val="18"/>
                <w:szCs w:val="18"/>
                <w:color w:val="auto"/>
              </w:rPr>
            </w:pPr>
          </w:p>
        </w:tc>
        <w:tc>
          <w:tcPr>
            <w:tcW w:w="320" w:type="dxa"/>
            <w:vAlign w:val="bottom"/>
            <w:tcBorders>
              <w:bottom w:val="single" w:sz="8" w:color="auto"/>
            </w:tcBorders>
          </w:tcPr>
          <w:p>
            <w:pPr>
              <w:spacing w:after="0"/>
              <w:rPr>
                <w:sz w:val="18"/>
                <w:szCs w:val="18"/>
                <w:color w:val="auto"/>
              </w:rPr>
            </w:pPr>
          </w:p>
        </w:tc>
        <w:tc>
          <w:tcPr>
            <w:tcW w:w="126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148</w:t>
            </w:r>
          </w:p>
        </w:tc>
        <w:tc>
          <w:tcPr>
            <w:tcW w:w="120" w:type="dxa"/>
            <w:vAlign w:val="bottom"/>
          </w:tcPr>
          <w:p>
            <w:pPr>
              <w:spacing w:after="0"/>
              <w:rPr>
                <w:sz w:val="18"/>
                <w:szCs w:val="18"/>
                <w:color w:val="auto"/>
              </w:rPr>
            </w:pPr>
          </w:p>
        </w:tc>
        <w:tc>
          <w:tcPr>
            <w:tcW w:w="320" w:type="dxa"/>
            <w:vAlign w:val="bottom"/>
            <w:tcBorders>
              <w:bottom w:val="single" w:sz="8" w:color="auto"/>
            </w:tcBorders>
          </w:tcPr>
          <w:p>
            <w:pPr>
              <w:spacing w:after="0"/>
              <w:rPr>
                <w:sz w:val="18"/>
                <w:szCs w:val="18"/>
                <w:color w:val="auto"/>
              </w:rPr>
            </w:pPr>
          </w:p>
        </w:tc>
        <w:tc>
          <w:tcPr>
            <w:tcW w:w="128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518</w:t>
            </w:r>
          </w:p>
        </w:tc>
      </w:tr>
      <w:tr>
        <w:trPr>
          <w:trHeight w:val="250"/>
        </w:trPr>
        <w:tc>
          <w:tcPr>
            <w:tcW w:w="33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Net loss</w:t>
            </w:r>
          </w:p>
        </w:tc>
        <w:tc>
          <w:tcPr>
            <w:tcW w:w="49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2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(288)</w:t>
            </w:r>
          </w:p>
        </w:tc>
        <w:tc>
          <w:tcPr>
            <w:tcW w:w="44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12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(7,810)</w:t>
            </w:r>
          </w:p>
        </w:tc>
      </w:tr>
      <w:tr>
        <w:trPr>
          <w:trHeight w:val="197"/>
        </w:trPr>
        <w:tc>
          <w:tcPr>
            <w:tcW w:w="1280" w:type="dxa"/>
            <w:vAlign w:val="bottom"/>
            <w:tcBorders>
              <w:top w:val="single" w:sz="8" w:color="CCEEFF"/>
            </w:tcBorders>
          </w:tcPr>
          <w:p>
            <w:pPr>
              <w:spacing w:after="0"/>
              <w:rPr>
                <w:sz w:val="17"/>
                <w:szCs w:val="17"/>
                <w:color w:val="auto"/>
              </w:rPr>
            </w:pPr>
          </w:p>
        </w:tc>
        <w:tc>
          <w:tcPr>
            <w:tcW w:w="2080" w:type="dxa"/>
            <w:vAlign w:val="bottom"/>
            <w:tcBorders>
              <w:top w:val="single" w:sz="8" w:color="CCEEFF"/>
            </w:tcBorders>
          </w:tcPr>
          <w:p>
            <w:pPr>
              <w:spacing w:after="0"/>
              <w:rPr>
                <w:sz w:val="17"/>
                <w:szCs w:val="17"/>
                <w:color w:val="auto"/>
              </w:rPr>
            </w:pPr>
          </w:p>
        </w:tc>
        <w:tc>
          <w:tcPr>
            <w:tcW w:w="4580" w:type="dxa"/>
            <w:vAlign w:val="bottom"/>
            <w:tcBorders>
              <w:top w:val="single" w:sz="8" w:color="CCEEFF"/>
            </w:tcBorders>
          </w:tcPr>
          <w:p>
            <w:pPr>
              <w:spacing w:after="0"/>
              <w:rPr>
                <w:sz w:val="17"/>
                <w:szCs w:val="17"/>
                <w:color w:val="auto"/>
              </w:rPr>
            </w:pPr>
          </w:p>
        </w:tc>
        <w:tc>
          <w:tcPr>
            <w:tcW w:w="320" w:type="dxa"/>
            <w:vAlign w:val="bottom"/>
            <w:tcBorders>
              <w:top w:val="single" w:sz="8" w:color="auto"/>
            </w:tcBorders>
          </w:tcPr>
          <w:p>
            <w:pPr>
              <w:spacing w:after="0"/>
              <w:rPr>
                <w:sz w:val="17"/>
                <w:szCs w:val="17"/>
                <w:color w:val="auto"/>
              </w:rPr>
            </w:pPr>
          </w:p>
        </w:tc>
        <w:tc>
          <w:tcPr>
            <w:tcW w:w="1260" w:type="dxa"/>
            <w:vAlign w:val="bottom"/>
            <w:tcBorders>
              <w:top w:val="single" w:sz="8" w:color="auto"/>
            </w:tcBorders>
          </w:tcPr>
          <w:p>
            <w:pPr>
              <w:spacing w:after="0"/>
              <w:rPr>
                <w:sz w:val="17"/>
                <w:szCs w:val="17"/>
                <w:color w:val="auto"/>
              </w:rPr>
            </w:pPr>
          </w:p>
        </w:tc>
        <w:tc>
          <w:tcPr>
            <w:tcW w:w="120" w:type="dxa"/>
            <w:vAlign w:val="bottom"/>
            <w:tcBorders>
              <w:top w:val="single" w:sz="8" w:color="CCEEFF"/>
            </w:tcBorders>
          </w:tcPr>
          <w:p>
            <w:pPr>
              <w:spacing w:after="0"/>
              <w:rPr>
                <w:sz w:val="17"/>
                <w:szCs w:val="17"/>
                <w:color w:val="auto"/>
              </w:rPr>
            </w:pPr>
          </w:p>
        </w:tc>
        <w:tc>
          <w:tcPr>
            <w:tcW w:w="320" w:type="dxa"/>
            <w:vAlign w:val="bottom"/>
            <w:tcBorders>
              <w:top w:val="single" w:sz="8" w:color="auto"/>
            </w:tcBorders>
          </w:tcPr>
          <w:p>
            <w:pPr>
              <w:spacing w:after="0"/>
              <w:rPr>
                <w:sz w:val="17"/>
                <w:szCs w:val="17"/>
                <w:color w:val="auto"/>
              </w:rPr>
            </w:pPr>
          </w:p>
        </w:tc>
        <w:tc>
          <w:tcPr>
            <w:tcW w:w="1280" w:type="dxa"/>
            <w:vAlign w:val="bottom"/>
            <w:tcBorders>
              <w:top w:val="single" w:sz="8" w:color="auto"/>
            </w:tcBorders>
          </w:tcPr>
          <w:p>
            <w:pPr>
              <w:spacing w:after="0"/>
              <w:rPr>
                <w:sz w:val="17"/>
                <w:szCs w:val="17"/>
                <w:color w:val="auto"/>
              </w:rPr>
            </w:pPr>
          </w:p>
        </w:tc>
      </w:tr>
      <w:tr>
        <w:trPr>
          <w:trHeight w:val="216"/>
        </w:trPr>
        <w:tc>
          <w:tcPr>
            <w:tcW w:w="33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Loss per share:</w:t>
            </w:r>
          </w:p>
        </w:tc>
        <w:tc>
          <w:tcPr>
            <w:tcW w:w="45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2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280" w:type="dxa"/>
            <w:vAlign w:val="bottom"/>
            <w:shd w:val="clear" w:color="auto" w:fill="CCEEFF"/>
          </w:tcPr>
          <w:p>
            <w:pPr>
              <w:spacing w:after="0"/>
              <w:rPr>
                <w:sz w:val="18"/>
                <w:szCs w:val="18"/>
                <w:color w:val="auto"/>
              </w:rPr>
            </w:pPr>
          </w:p>
        </w:tc>
      </w:tr>
      <w:tr>
        <w:trPr>
          <w:trHeight w:val="216"/>
        </w:trPr>
        <w:tc>
          <w:tcPr>
            <w:tcW w:w="3360" w:type="dxa"/>
            <w:vAlign w:val="bottom"/>
            <w:gridSpan w:val="2"/>
          </w:tcPr>
          <w:p>
            <w:pPr>
              <w:ind w:left="180"/>
              <w:spacing w:after="0"/>
              <w:rPr>
                <w:sz w:val="20"/>
                <w:szCs w:val="20"/>
                <w:color w:val="auto"/>
              </w:rPr>
            </w:pPr>
            <w:r>
              <w:rPr>
                <w:rFonts w:ascii="Arial" w:cs="Arial" w:eastAsia="Arial" w:hAnsi="Arial"/>
                <w:sz w:val="18"/>
                <w:szCs w:val="18"/>
                <w:color w:val="auto"/>
                <w:w w:val="95"/>
              </w:rPr>
              <w:t>Basic and diluted loss per common share</w:t>
            </w:r>
          </w:p>
        </w:tc>
        <w:tc>
          <w:tcPr>
            <w:tcW w:w="490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260" w:type="dxa"/>
            <w:vAlign w:val="bottom"/>
          </w:tcPr>
          <w:p>
            <w:pPr>
              <w:jc w:val="right"/>
              <w:spacing w:after="0"/>
              <w:rPr>
                <w:sz w:val="20"/>
                <w:szCs w:val="20"/>
                <w:color w:val="auto"/>
              </w:rPr>
            </w:pPr>
            <w:r>
              <w:rPr>
                <w:rFonts w:ascii="Arial" w:cs="Arial" w:eastAsia="Arial" w:hAnsi="Arial"/>
                <w:sz w:val="18"/>
                <w:szCs w:val="18"/>
                <w:color w:val="auto"/>
              </w:rPr>
              <w:t>(0.01)</w:t>
            </w:r>
          </w:p>
        </w:tc>
        <w:tc>
          <w:tcPr>
            <w:tcW w:w="44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1280" w:type="dxa"/>
            <w:vAlign w:val="bottom"/>
          </w:tcPr>
          <w:p>
            <w:pPr>
              <w:jc w:val="right"/>
              <w:spacing w:after="0"/>
              <w:rPr>
                <w:sz w:val="20"/>
                <w:szCs w:val="20"/>
                <w:color w:val="auto"/>
              </w:rPr>
            </w:pPr>
            <w:r>
              <w:rPr>
                <w:rFonts w:ascii="Arial" w:cs="Arial" w:eastAsia="Arial" w:hAnsi="Arial"/>
                <w:sz w:val="18"/>
                <w:szCs w:val="18"/>
                <w:color w:val="auto"/>
              </w:rPr>
              <w:t>(0.20)</w:t>
            </w:r>
          </w:p>
        </w:tc>
      </w:tr>
      <w:tr>
        <w:trPr>
          <w:trHeight w:val="216"/>
        </w:trPr>
        <w:tc>
          <w:tcPr>
            <w:tcW w:w="1280" w:type="dxa"/>
            <w:vAlign w:val="bottom"/>
            <w:shd w:val="clear" w:color="auto" w:fill="CCEEFF"/>
          </w:tcPr>
          <w:p>
            <w:pPr>
              <w:spacing w:after="0"/>
              <w:rPr>
                <w:sz w:val="18"/>
                <w:szCs w:val="18"/>
                <w:color w:val="auto"/>
              </w:rPr>
            </w:pPr>
          </w:p>
        </w:tc>
        <w:tc>
          <w:tcPr>
            <w:tcW w:w="2080" w:type="dxa"/>
            <w:vAlign w:val="bottom"/>
            <w:shd w:val="clear" w:color="auto" w:fill="CCEEFF"/>
          </w:tcPr>
          <w:p>
            <w:pPr>
              <w:spacing w:after="0"/>
              <w:rPr>
                <w:sz w:val="18"/>
                <w:szCs w:val="18"/>
                <w:color w:val="auto"/>
              </w:rPr>
            </w:pPr>
          </w:p>
        </w:tc>
        <w:tc>
          <w:tcPr>
            <w:tcW w:w="45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2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280" w:type="dxa"/>
            <w:vAlign w:val="bottom"/>
            <w:shd w:val="clear" w:color="auto" w:fill="CCEEFF"/>
          </w:tcPr>
          <w:p>
            <w:pPr>
              <w:spacing w:after="0"/>
              <w:rPr>
                <w:sz w:val="18"/>
                <w:szCs w:val="18"/>
                <w:color w:val="auto"/>
              </w:rPr>
            </w:pPr>
          </w:p>
        </w:tc>
      </w:tr>
      <w:tr>
        <w:trPr>
          <w:trHeight w:val="216"/>
        </w:trPr>
        <w:tc>
          <w:tcPr>
            <w:tcW w:w="3360" w:type="dxa"/>
            <w:vAlign w:val="bottom"/>
            <w:gridSpan w:val="2"/>
          </w:tcPr>
          <w:p>
            <w:pPr>
              <w:spacing w:after="0"/>
              <w:rPr>
                <w:sz w:val="20"/>
                <w:szCs w:val="20"/>
                <w:color w:val="auto"/>
              </w:rPr>
            </w:pPr>
            <w:r>
              <w:rPr>
                <w:rFonts w:ascii="Arial" w:cs="Arial" w:eastAsia="Arial" w:hAnsi="Arial"/>
                <w:sz w:val="18"/>
                <w:szCs w:val="18"/>
                <w:color w:val="auto"/>
              </w:rPr>
              <w:t>Weighted-average common shares:</w:t>
            </w:r>
          </w:p>
        </w:tc>
        <w:tc>
          <w:tcPr>
            <w:tcW w:w="45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280" w:type="dxa"/>
            <w:vAlign w:val="bottom"/>
          </w:tcPr>
          <w:p>
            <w:pPr>
              <w:spacing w:after="0"/>
              <w:rPr>
                <w:sz w:val="18"/>
                <w:szCs w:val="18"/>
                <w:color w:val="auto"/>
              </w:rPr>
            </w:pPr>
          </w:p>
        </w:tc>
      </w:tr>
      <w:tr>
        <w:trPr>
          <w:trHeight w:val="216"/>
        </w:trPr>
        <w:tc>
          <w:tcPr>
            <w:tcW w:w="3360" w:type="dxa"/>
            <w:vAlign w:val="bottom"/>
            <w:gridSpan w:val="2"/>
            <w:shd w:val="clear" w:color="auto" w:fill="CCEEFF"/>
          </w:tcPr>
          <w:p>
            <w:pPr>
              <w:ind w:left="180"/>
              <w:spacing w:after="0"/>
              <w:rPr>
                <w:sz w:val="20"/>
                <w:szCs w:val="20"/>
                <w:color w:val="auto"/>
              </w:rPr>
            </w:pPr>
            <w:r>
              <w:rPr>
                <w:rFonts w:ascii="Arial" w:cs="Arial" w:eastAsia="Arial" w:hAnsi="Arial"/>
                <w:sz w:val="18"/>
                <w:szCs w:val="18"/>
                <w:color w:val="auto"/>
              </w:rPr>
              <w:t>Basic and diluted</w:t>
            </w:r>
          </w:p>
        </w:tc>
        <w:tc>
          <w:tcPr>
            <w:tcW w:w="45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26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40,343</w:t>
            </w:r>
          </w:p>
        </w:tc>
        <w:tc>
          <w:tcPr>
            <w:tcW w:w="1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28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38,640</w:t>
            </w:r>
          </w:p>
        </w:tc>
      </w:tr>
    </w:tbl>
    <w:p>
      <w:pPr>
        <w:spacing w:after="0" w:line="200" w:lineRule="exact"/>
        <w:rPr>
          <w:sz w:val="20"/>
          <w:szCs w:val="20"/>
          <w:color w:val="auto"/>
        </w:rPr>
      </w:pPr>
    </w:p>
    <w:p>
      <w:pPr>
        <w:spacing w:after="0" w:line="245" w:lineRule="exact"/>
        <w:rPr>
          <w:sz w:val="20"/>
          <w:szCs w:val="20"/>
          <w:color w:val="auto"/>
        </w:rPr>
      </w:pPr>
    </w:p>
    <w:p>
      <w:pPr>
        <w:jc w:val="center"/>
        <w:ind w:right="-159"/>
        <w:spacing w:after="0"/>
        <w:rPr>
          <w:sz w:val="20"/>
          <w:szCs w:val="20"/>
          <w:color w:val="auto"/>
        </w:rPr>
      </w:pPr>
      <w:r>
        <w:rPr>
          <w:rFonts w:ascii="Arial" w:cs="Arial" w:eastAsia="Arial" w:hAnsi="Arial"/>
          <w:sz w:val="18"/>
          <w:szCs w:val="18"/>
          <w:color w:val="auto"/>
        </w:rPr>
        <w:t>See accompanying notes to consolidated financial statements.</w:t>
      </w: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08" w:right="339" w:bottom="1440" w:gutter="0" w:footer="0" w:header="0"/>
        </w:sectPr>
      </w:pPr>
    </w:p>
    <w:bookmarkStart w:id="33" w:name="page34"/>
    <w:bookmarkEnd w:id="33"/>
    <w:tbl>
      <w:tblPr>
        <w:tblLayout w:type="fixed"/>
        <w:tblInd w:w="0" w:type="dxa"/>
        <w:tblCellMar>
          <w:top w:w="0" w:type="dxa"/>
          <w:left w:w="0" w:type="dxa"/>
          <w:bottom w:w="0" w:type="dxa"/>
          <w:right w:w="0" w:type="dxa"/>
        </w:tblCellMar>
      </w:tblPr>
      <w:tr>
        <w:trPr>
          <w:trHeight w:val="207"/>
        </w:trPr>
        <w:tc>
          <w:tcPr>
            <w:tcW w:w="7780" w:type="dxa"/>
            <w:vAlign w:val="bottom"/>
            <w:gridSpan w:val="2"/>
          </w:tcPr>
          <w:p>
            <w:pPr>
              <w:spacing w:after="0"/>
              <w:rPr>
                <w:rFonts w:ascii="Arial" w:cs="Arial" w:eastAsia="Arial" w:hAnsi="Arial"/>
                <w:sz w:val="18"/>
                <w:szCs w:val="18"/>
                <w:color w:val="0000EE"/>
              </w:rPr>
            </w:pPr>
            <w:hyperlink w:anchor="page3">
              <w:r>
                <w:rPr>
                  <w:rFonts w:ascii="Arial" w:cs="Arial" w:eastAsia="Arial" w:hAnsi="Arial"/>
                  <w:sz w:val="18"/>
                  <w:szCs w:val="18"/>
                  <w:color w:val="0000EE"/>
                </w:rPr>
                <w:t>Table of Contents</w:t>
              </w:r>
            </w:hyperlink>
          </w:p>
        </w:tc>
        <w:tc>
          <w:tcPr>
            <w:tcW w:w="102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677"/>
        </w:trPr>
        <w:tc>
          <w:tcPr>
            <w:tcW w:w="1280" w:type="dxa"/>
            <w:vAlign w:val="bottom"/>
            <w:tcBorders>
              <w:top w:val="single" w:sz="8" w:color="0000EE"/>
            </w:tcBorders>
          </w:tcPr>
          <w:p>
            <w:pPr>
              <w:spacing w:after="0"/>
              <w:rPr>
                <w:sz w:val="24"/>
                <w:szCs w:val="24"/>
                <w:color w:val="auto"/>
              </w:rPr>
            </w:pPr>
          </w:p>
        </w:tc>
        <w:tc>
          <w:tcPr>
            <w:tcW w:w="6500" w:type="dxa"/>
            <w:vAlign w:val="bottom"/>
          </w:tcPr>
          <w:p>
            <w:pPr>
              <w:jc w:val="center"/>
              <w:ind w:left="2250"/>
              <w:spacing w:after="0"/>
              <w:rPr>
                <w:sz w:val="20"/>
                <w:szCs w:val="20"/>
                <w:color w:val="auto"/>
              </w:rPr>
            </w:pPr>
            <w:r>
              <w:rPr>
                <w:rFonts w:ascii="Arial" w:cs="Arial" w:eastAsia="Arial" w:hAnsi="Arial"/>
                <w:sz w:val="18"/>
                <w:szCs w:val="18"/>
                <w:b w:val="1"/>
                <w:bCs w:val="1"/>
                <w:color w:val="auto"/>
                <w:w w:val="99"/>
              </w:rPr>
              <w:t>HARVARD BIOSCIENCE, INC.</w:t>
            </w:r>
          </w:p>
        </w:tc>
        <w:tc>
          <w:tcPr>
            <w:tcW w:w="102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1280" w:type="dxa"/>
            <w:vAlign w:val="bottom"/>
          </w:tcPr>
          <w:p>
            <w:pPr>
              <w:spacing w:after="0"/>
              <w:rPr>
                <w:sz w:val="18"/>
                <w:szCs w:val="18"/>
                <w:color w:val="auto"/>
              </w:rPr>
            </w:pPr>
          </w:p>
        </w:tc>
        <w:tc>
          <w:tcPr>
            <w:tcW w:w="7520" w:type="dxa"/>
            <w:vAlign w:val="bottom"/>
            <w:gridSpan w:val="2"/>
          </w:tcPr>
          <w:p>
            <w:pPr>
              <w:jc w:val="center"/>
              <w:ind w:left="1230"/>
              <w:spacing w:after="0"/>
              <w:rPr>
                <w:sz w:val="20"/>
                <w:szCs w:val="20"/>
                <w:color w:val="auto"/>
              </w:rPr>
            </w:pPr>
            <w:r>
              <w:rPr>
                <w:rFonts w:ascii="Arial" w:cs="Arial" w:eastAsia="Arial" w:hAnsi="Arial"/>
                <w:sz w:val="18"/>
                <w:szCs w:val="18"/>
                <w:b w:val="1"/>
                <w:bCs w:val="1"/>
                <w:color w:val="auto"/>
              </w:rPr>
              <w:t>CONSOLIDATED STATEMENTS OF COMPREHENSIVE INCOME (LOSS)</w:t>
            </w:r>
          </w:p>
        </w:tc>
        <w:tc>
          <w:tcPr>
            <w:tcW w:w="6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1280" w:type="dxa"/>
            <w:vAlign w:val="bottom"/>
          </w:tcPr>
          <w:p>
            <w:pPr>
              <w:spacing w:after="0"/>
              <w:rPr>
                <w:sz w:val="20"/>
                <w:szCs w:val="20"/>
                <w:color w:val="auto"/>
              </w:rPr>
            </w:pPr>
          </w:p>
        </w:tc>
        <w:tc>
          <w:tcPr>
            <w:tcW w:w="6500" w:type="dxa"/>
            <w:vAlign w:val="bottom"/>
          </w:tcPr>
          <w:p>
            <w:pPr>
              <w:jc w:val="center"/>
              <w:ind w:left="2250"/>
              <w:spacing w:after="0"/>
              <w:rPr>
                <w:sz w:val="20"/>
                <w:szCs w:val="20"/>
                <w:color w:val="auto"/>
              </w:rPr>
            </w:pPr>
            <w:r>
              <w:rPr>
                <w:rFonts w:ascii="Arial" w:cs="Arial" w:eastAsia="Arial" w:hAnsi="Arial"/>
                <w:sz w:val="18"/>
                <w:szCs w:val="18"/>
                <w:b w:val="1"/>
                <w:bCs w:val="1"/>
                <w:color w:val="auto"/>
                <w:w w:val="90"/>
              </w:rPr>
              <w:t>(In thousands)</w:t>
            </w:r>
          </w:p>
        </w:tc>
        <w:tc>
          <w:tcPr>
            <w:tcW w:w="102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4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32"/>
        </w:trPr>
        <w:tc>
          <w:tcPr>
            <w:tcW w:w="1280" w:type="dxa"/>
            <w:vAlign w:val="bottom"/>
          </w:tcPr>
          <w:p>
            <w:pPr>
              <w:spacing w:after="0"/>
              <w:rPr>
                <w:sz w:val="24"/>
                <w:szCs w:val="24"/>
                <w:color w:val="auto"/>
              </w:rPr>
            </w:pPr>
          </w:p>
        </w:tc>
        <w:tc>
          <w:tcPr>
            <w:tcW w:w="6500" w:type="dxa"/>
            <w:vAlign w:val="bottom"/>
          </w:tcPr>
          <w:p>
            <w:pPr>
              <w:spacing w:after="0"/>
              <w:rPr>
                <w:sz w:val="24"/>
                <w:szCs w:val="24"/>
                <w:color w:val="auto"/>
              </w:rPr>
            </w:pPr>
          </w:p>
        </w:tc>
        <w:tc>
          <w:tcPr>
            <w:tcW w:w="2800" w:type="dxa"/>
            <w:vAlign w:val="bottom"/>
            <w:tcBorders>
              <w:bottom w:val="single" w:sz="8" w:color="auto"/>
            </w:tcBorders>
            <w:gridSpan w:val="4"/>
          </w:tcPr>
          <w:p>
            <w:pPr>
              <w:jc w:val="right"/>
              <w:ind w:right="120"/>
              <w:spacing w:after="0"/>
              <w:rPr>
                <w:sz w:val="20"/>
                <w:szCs w:val="20"/>
                <w:color w:val="auto"/>
              </w:rPr>
            </w:pPr>
            <w:r>
              <w:rPr>
                <w:rFonts w:ascii="Arial" w:cs="Arial" w:eastAsia="Arial" w:hAnsi="Arial"/>
                <w:sz w:val="18"/>
                <w:szCs w:val="18"/>
                <w:b w:val="1"/>
                <w:bCs w:val="1"/>
                <w:color w:val="auto"/>
              </w:rPr>
              <w:t>Year Ended December 31,</w:t>
            </w:r>
          </w:p>
        </w:tc>
        <w:tc>
          <w:tcPr>
            <w:tcW w:w="66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09"/>
        </w:trPr>
        <w:tc>
          <w:tcPr>
            <w:tcW w:w="1280" w:type="dxa"/>
            <w:vAlign w:val="bottom"/>
          </w:tcPr>
          <w:p>
            <w:pPr>
              <w:spacing w:after="0"/>
              <w:rPr>
                <w:sz w:val="18"/>
                <w:szCs w:val="18"/>
                <w:color w:val="auto"/>
              </w:rPr>
            </w:pPr>
          </w:p>
        </w:tc>
        <w:tc>
          <w:tcPr>
            <w:tcW w:w="650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Arial" w:cs="Arial" w:eastAsia="Arial" w:hAnsi="Arial"/>
                <w:sz w:val="18"/>
                <w:szCs w:val="18"/>
                <w:b w:val="1"/>
                <w:bCs w:val="1"/>
                <w:color w:val="auto"/>
              </w:rPr>
              <w:t>2021</w:t>
            </w:r>
          </w:p>
        </w:tc>
        <w:tc>
          <w:tcPr>
            <w:tcW w:w="640" w:type="dxa"/>
            <w:vAlign w:val="bottom"/>
          </w:tcPr>
          <w:p>
            <w:pPr>
              <w:spacing w:after="0"/>
              <w:rPr>
                <w:sz w:val="18"/>
                <w:szCs w:val="18"/>
                <w:color w:val="auto"/>
              </w:rPr>
            </w:pPr>
          </w:p>
        </w:tc>
        <w:tc>
          <w:tcPr>
            <w:tcW w:w="1140" w:type="dxa"/>
            <w:vAlign w:val="bottom"/>
            <w:gridSpan w:val="2"/>
          </w:tcPr>
          <w:p>
            <w:pPr>
              <w:jc w:val="right"/>
              <w:ind w:right="80"/>
              <w:spacing w:after="0"/>
              <w:rPr>
                <w:sz w:val="20"/>
                <w:szCs w:val="20"/>
                <w:color w:val="auto"/>
              </w:rPr>
            </w:pPr>
            <w:r>
              <w:rPr>
                <w:rFonts w:ascii="Arial" w:cs="Arial" w:eastAsia="Arial" w:hAnsi="Arial"/>
                <w:sz w:val="18"/>
                <w:szCs w:val="18"/>
                <w:b w:val="1"/>
                <w:bCs w:val="1"/>
                <w:color w:val="auto"/>
              </w:rPr>
              <w:t>2020</w:t>
            </w:r>
          </w:p>
        </w:tc>
        <w:tc>
          <w:tcPr>
            <w:tcW w:w="6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1280" w:type="dxa"/>
            <w:vAlign w:val="bottom"/>
          </w:tcPr>
          <w:p>
            <w:pPr>
              <w:spacing w:after="0"/>
              <w:rPr>
                <w:sz w:val="18"/>
                <w:szCs w:val="18"/>
                <w:color w:val="auto"/>
              </w:rPr>
            </w:pPr>
          </w:p>
        </w:tc>
        <w:tc>
          <w:tcPr>
            <w:tcW w:w="6500" w:type="dxa"/>
            <w:vAlign w:val="bottom"/>
          </w:tcPr>
          <w:p>
            <w:pPr>
              <w:spacing w:after="0"/>
              <w:rPr>
                <w:sz w:val="18"/>
                <w:szCs w:val="18"/>
                <w:color w:val="auto"/>
              </w:rPr>
            </w:pPr>
          </w:p>
        </w:tc>
        <w:tc>
          <w:tcPr>
            <w:tcW w:w="1020" w:type="dxa"/>
            <w:vAlign w:val="bottom"/>
            <w:tcBorders>
              <w:top w:val="single" w:sz="8" w:color="auto"/>
            </w:tcBorders>
          </w:tcPr>
          <w:p>
            <w:pPr>
              <w:spacing w:after="0"/>
              <w:rPr>
                <w:sz w:val="18"/>
                <w:szCs w:val="18"/>
                <w:color w:val="auto"/>
              </w:rPr>
            </w:pPr>
          </w:p>
        </w:tc>
        <w:tc>
          <w:tcPr>
            <w:tcW w:w="64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1040" w:type="dxa"/>
            <w:vAlign w:val="bottom"/>
            <w:tcBorders>
              <w:top w:val="single" w:sz="8" w:color="auto"/>
            </w:tcBorders>
          </w:tcPr>
          <w:p>
            <w:pPr>
              <w:spacing w:after="0"/>
              <w:rPr>
                <w:sz w:val="18"/>
                <w:szCs w:val="18"/>
                <w:color w:val="auto"/>
              </w:rPr>
            </w:pPr>
          </w:p>
        </w:tc>
        <w:tc>
          <w:tcPr>
            <w:tcW w:w="660" w:type="dxa"/>
            <w:vAlign w:val="bottom"/>
            <w:tcBorders>
              <w:top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7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Net loss</w:t>
            </w:r>
          </w:p>
        </w:tc>
        <w:tc>
          <w:tcPr>
            <w:tcW w:w="1020" w:type="dxa"/>
            <w:vAlign w:val="bottom"/>
            <w:shd w:val="clear" w:color="auto" w:fill="CCEEFF"/>
          </w:tcPr>
          <w:p>
            <w:pPr>
              <w:jc w:val="right"/>
              <w:ind w:right="830"/>
              <w:spacing w:after="0"/>
              <w:rPr>
                <w:sz w:val="20"/>
                <w:szCs w:val="20"/>
                <w:color w:val="auto"/>
              </w:rPr>
            </w:pPr>
            <w:r>
              <w:rPr>
                <w:rFonts w:ascii="Arial" w:cs="Arial" w:eastAsia="Arial" w:hAnsi="Arial"/>
                <w:sz w:val="18"/>
                <w:szCs w:val="18"/>
                <w:color w:val="auto"/>
                <w:w w:val="79"/>
              </w:rPr>
              <w:t>$</w:t>
            </w: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(288)</w:t>
            </w:r>
          </w:p>
        </w:tc>
        <w:tc>
          <w:tcPr>
            <w:tcW w:w="1140" w:type="dxa"/>
            <w:vAlign w:val="bottom"/>
            <w:gridSpan w:val="2"/>
            <w:shd w:val="clear" w:color="auto" w:fill="CCEEFF"/>
          </w:tcPr>
          <w:p>
            <w:pPr>
              <w:jc w:val="right"/>
              <w:ind w:right="960"/>
              <w:spacing w:after="0"/>
              <w:rPr>
                <w:sz w:val="20"/>
                <w:szCs w:val="20"/>
                <w:color w:val="auto"/>
              </w:rPr>
            </w:pPr>
            <w:r>
              <w:rPr>
                <w:rFonts w:ascii="Arial" w:cs="Arial" w:eastAsia="Arial" w:hAnsi="Arial"/>
                <w:sz w:val="18"/>
                <w:szCs w:val="18"/>
                <w:color w:val="auto"/>
              </w:rPr>
              <w:t>$</w:t>
            </w: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(7,810)</w:t>
            </w:r>
          </w:p>
        </w:tc>
        <w:tc>
          <w:tcPr>
            <w:tcW w:w="0" w:type="dxa"/>
            <w:vAlign w:val="bottom"/>
          </w:tcPr>
          <w:p>
            <w:pPr>
              <w:spacing w:after="0"/>
              <w:rPr>
                <w:sz w:val="1"/>
                <w:szCs w:val="1"/>
                <w:color w:val="auto"/>
              </w:rPr>
            </w:pPr>
          </w:p>
        </w:tc>
      </w:tr>
      <w:tr>
        <w:trPr>
          <w:trHeight w:val="216"/>
        </w:trPr>
        <w:tc>
          <w:tcPr>
            <w:tcW w:w="7780" w:type="dxa"/>
            <w:vAlign w:val="bottom"/>
            <w:gridSpan w:val="2"/>
          </w:tcPr>
          <w:p>
            <w:pPr>
              <w:spacing w:after="0"/>
              <w:rPr>
                <w:sz w:val="20"/>
                <w:szCs w:val="20"/>
                <w:color w:val="auto"/>
              </w:rPr>
            </w:pPr>
            <w:r>
              <w:rPr>
                <w:rFonts w:ascii="Arial" w:cs="Arial" w:eastAsia="Arial" w:hAnsi="Arial"/>
                <w:sz w:val="18"/>
                <w:szCs w:val="18"/>
                <w:color w:val="auto"/>
              </w:rPr>
              <w:t>Other comprehensive (loss) income:</w:t>
            </w:r>
          </w:p>
        </w:tc>
        <w:tc>
          <w:tcPr>
            <w:tcW w:w="102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780" w:type="dxa"/>
            <w:vAlign w:val="bottom"/>
            <w:gridSpan w:val="2"/>
            <w:shd w:val="clear" w:color="auto" w:fill="CCEEFF"/>
          </w:tcPr>
          <w:p>
            <w:pPr>
              <w:ind w:left="180"/>
              <w:spacing w:after="0"/>
              <w:rPr>
                <w:sz w:val="20"/>
                <w:szCs w:val="20"/>
                <w:color w:val="auto"/>
              </w:rPr>
            </w:pPr>
            <w:r>
              <w:rPr>
                <w:rFonts w:ascii="Arial" w:cs="Arial" w:eastAsia="Arial" w:hAnsi="Arial"/>
                <w:sz w:val="18"/>
                <w:szCs w:val="18"/>
                <w:color w:val="auto"/>
              </w:rPr>
              <w:t>Foreign currency translation adjustments</w:t>
            </w:r>
          </w:p>
        </w:tc>
        <w:tc>
          <w:tcPr>
            <w:tcW w:w="102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8"/>
              </w:rPr>
              <w:t>(2,353)</w:t>
            </w:r>
          </w:p>
        </w:tc>
        <w:tc>
          <w:tcPr>
            <w:tcW w:w="10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66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1,700</w:t>
            </w:r>
          </w:p>
        </w:tc>
        <w:tc>
          <w:tcPr>
            <w:tcW w:w="0" w:type="dxa"/>
            <w:vAlign w:val="bottom"/>
          </w:tcPr>
          <w:p>
            <w:pPr>
              <w:spacing w:after="0"/>
              <w:rPr>
                <w:sz w:val="1"/>
                <w:szCs w:val="1"/>
                <w:color w:val="auto"/>
              </w:rPr>
            </w:pPr>
          </w:p>
        </w:tc>
      </w:tr>
      <w:tr>
        <w:trPr>
          <w:trHeight w:val="216"/>
        </w:trPr>
        <w:tc>
          <w:tcPr>
            <w:tcW w:w="7780" w:type="dxa"/>
            <w:vAlign w:val="bottom"/>
            <w:gridSpan w:val="2"/>
          </w:tcPr>
          <w:p>
            <w:pPr>
              <w:ind w:left="180"/>
              <w:spacing w:after="0"/>
              <w:rPr>
                <w:sz w:val="20"/>
                <w:szCs w:val="20"/>
                <w:color w:val="auto"/>
              </w:rPr>
            </w:pPr>
            <w:r>
              <w:rPr>
                <w:rFonts w:ascii="Arial" w:cs="Arial" w:eastAsia="Arial" w:hAnsi="Arial"/>
                <w:sz w:val="18"/>
                <w:szCs w:val="18"/>
                <w:color w:val="auto"/>
              </w:rPr>
              <w:t>Derivatives qualifying as hedges:</w:t>
            </w:r>
          </w:p>
        </w:tc>
        <w:tc>
          <w:tcPr>
            <w:tcW w:w="102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780" w:type="dxa"/>
            <w:vAlign w:val="bottom"/>
            <w:gridSpan w:val="2"/>
            <w:shd w:val="clear" w:color="auto" w:fill="CCEEFF"/>
          </w:tcPr>
          <w:p>
            <w:pPr>
              <w:ind w:left="340"/>
              <w:spacing w:after="0"/>
              <w:rPr>
                <w:sz w:val="20"/>
                <w:szCs w:val="20"/>
                <w:color w:val="auto"/>
              </w:rPr>
            </w:pPr>
            <w:r>
              <w:rPr>
                <w:rFonts w:ascii="Arial" w:cs="Arial" w:eastAsia="Arial" w:hAnsi="Arial"/>
                <w:sz w:val="18"/>
                <w:szCs w:val="18"/>
                <w:color w:val="auto"/>
              </w:rPr>
              <w:t>Loss on derivative instruments designated and qualifying as cash flow hedges</w:t>
            </w:r>
          </w:p>
        </w:tc>
        <w:tc>
          <w:tcPr>
            <w:tcW w:w="1020" w:type="dxa"/>
            <w:vAlign w:val="bottom"/>
            <w:shd w:val="clear" w:color="auto" w:fill="CCEEFF"/>
          </w:tcPr>
          <w:p>
            <w:pPr>
              <w:spacing w:after="0"/>
              <w:rPr>
                <w:sz w:val="18"/>
                <w:szCs w:val="18"/>
                <w:color w:val="auto"/>
              </w:rPr>
            </w:pPr>
          </w:p>
        </w:tc>
        <w:tc>
          <w:tcPr>
            <w:tcW w:w="64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(206)</w:t>
            </w:r>
          </w:p>
        </w:tc>
        <w:tc>
          <w:tcPr>
            <w:tcW w:w="0" w:type="dxa"/>
            <w:vAlign w:val="bottom"/>
          </w:tcPr>
          <w:p>
            <w:pPr>
              <w:spacing w:after="0"/>
              <w:rPr>
                <w:sz w:val="1"/>
                <w:szCs w:val="1"/>
                <w:color w:val="auto"/>
              </w:rPr>
            </w:pPr>
          </w:p>
        </w:tc>
      </w:tr>
      <w:tr>
        <w:trPr>
          <w:trHeight w:val="216"/>
        </w:trPr>
        <w:tc>
          <w:tcPr>
            <w:tcW w:w="7780" w:type="dxa"/>
            <w:vAlign w:val="bottom"/>
            <w:gridSpan w:val="2"/>
          </w:tcPr>
          <w:p>
            <w:pPr>
              <w:ind w:left="340"/>
              <w:spacing w:after="0"/>
              <w:rPr>
                <w:sz w:val="20"/>
                <w:szCs w:val="20"/>
                <w:color w:val="auto"/>
              </w:rPr>
            </w:pPr>
            <w:r>
              <w:rPr>
                <w:rFonts w:ascii="Arial" w:cs="Arial" w:eastAsia="Arial" w:hAnsi="Arial"/>
                <w:sz w:val="18"/>
                <w:szCs w:val="18"/>
                <w:color w:val="auto"/>
              </w:rPr>
              <w:t>Amounts reclassified from accumulated other comprehensive loss to net loss</w:t>
            </w:r>
          </w:p>
        </w:tc>
        <w:tc>
          <w:tcPr>
            <w:tcW w:w="1020" w:type="dxa"/>
            <w:vAlign w:val="bottom"/>
            <w:tcBorders>
              <w:bottom w:val="single" w:sz="8" w:color="auto"/>
            </w:tcBorders>
          </w:tcPr>
          <w:p>
            <w:pPr>
              <w:spacing w:after="0"/>
              <w:rPr>
                <w:sz w:val="18"/>
                <w:szCs w:val="18"/>
                <w:color w:val="auto"/>
              </w:rPr>
            </w:pPr>
          </w:p>
        </w:tc>
        <w:tc>
          <w:tcPr>
            <w:tcW w:w="64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1040" w:type="dxa"/>
            <w:vAlign w:val="bottom"/>
            <w:tcBorders>
              <w:bottom w:val="single" w:sz="8" w:color="auto"/>
            </w:tcBorders>
          </w:tcPr>
          <w:p>
            <w:pPr>
              <w:spacing w:after="0"/>
              <w:rPr>
                <w:sz w:val="18"/>
                <w:szCs w:val="18"/>
                <w:color w:val="auto"/>
              </w:rPr>
            </w:pPr>
          </w:p>
        </w:tc>
        <w:tc>
          <w:tcPr>
            <w:tcW w:w="66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809</w:t>
            </w:r>
          </w:p>
        </w:tc>
        <w:tc>
          <w:tcPr>
            <w:tcW w:w="0" w:type="dxa"/>
            <w:vAlign w:val="bottom"/>
          </w:tcPr>
          <w:p>
            <w:pPr>
              <w:spacing w:after="0"/>
              <w:rPr>
                <w:sz w:val="1"/>
                <w:szCs w:val="1"/>
                <w:color w:val="auto"/>
              </w:rPr>
            </w:pPr>
          </w:p>
        </w:tc>
      </w:tr>
      <w:tr>
        <w:trPr>
          <w:trHeight w:val="209"/>
        </w:trPr>
        <w:tc>
          <w:tcPr>
            <w:tcW w:w="7780" w:type="dxa"/>
            <w:vAlign w:val="bottom"/>
            <w:gridSpan w:val="2"/>
            <w:shd w:val="clear" w:color="auto" w:fill="CCEEFF"/>
          </w:tcPr>
          <w:p>
            <w:pPr>
              <w:ind w:left="500"/>
              <w:spacing w:after="0"/>
              <w:rPr>
                <w:sz w:val="20"/>
                <w:szCs w:val="20"/>
                <w:color w:val="auto"/>
              </w:rPr>
            </w:pPr>
            <w:r>
              <w:rPr>
                <w:rFonts w:ascii="Arial" w:cs="Arial" w:eastAsia="Arial" w:hAnsi="Arial"/>
                <w:sz w:val="18"/>
                <w:szCs w:val="18"/>
                <w:color w:val="auto"/>
              </w:rPr>
              <w:t>Derivatives qualifying as hedges</w:t>
            </w:r>
          </w:p>
        </w:tc>
        <w:tc>
          <w:tcPr>
            <w:tcW w:w="1020" w:type="dxa"/>
            <w:vAlign w:val="bottom"/>
            <w:shd w:val="clear" w:color="auto" w:fill="CCEEFF"/>
          </w:tcPr>
          <w:p>
            <w:pPr>
              <w:spacing w:after="0"/>
              <w:rPr>
                <w:sz w:val="18"/>
                <w:szCs w:val="18"/>
                <w:color w:val="auto"/>
              </w:rPr>
            </w:pPr>
          </w:p>
        </w:tc>
        <w:tc>
          <w:tcPr>
            <w:tcW w:w="64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66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603</w:t>
            </w:r>
          </w:p>
        </w:tc>
        <w:tc>
          <w:tcPr>
            <w:tcW w:w="0" w:type="dxa"/>
            <w:vAlign w:val="bottom"/>
          </w:tcPr>
          <w:p>
            <w:pPr>
              <w:spacing w:after="0"/>
              <w:rPr>
                <w:sz w:val="1"/>
                <w:szCs w:val="1"/>
                <w:color w:val="auto"/>
              </w:rPr>
            </w:pPr>
          </w:p>
        </w:tc>
      </w:tr>
      <w:tr>
        <w:trPr>
          <w:trHeight w:val="216"/>
        </w:trPr>
        <w:tc>
          <w:tcPr>
            <w:tcW w:w="7780" w:type="dxa"/>
            <w:vAlign w:val="bottom"/>
            <w:gridSpan w:val="2"/>
          </w:tcPr>
          <w:p>
            <w:pPr>
              <w:ind w:left="180"/>
              <w:spacing w:after="0"/>
              <w:rPr>
                <w:sz w:val="20"/>
                <w:szCs w:val="20"/>
                <w:color w:val="auto"/>
              </w:rPr>
            </w:pPr>
            <w:r>
              <w:rPr>
                <w:rFonts w:ascii="Arial" w:cs="Arial" w:eastAsia="Arial" w:hAnsi="Arial"/>
                <w:sz w:val="18"/>
                <w:szCs w:val="18"/>
                <w:color w:val="auto"/>
              </w:rPr>
              <w:t>Defined benefit pension plans, net of tax</w:t>
            </w:r>
          </w:p>
        </w:tc>
        <w:tc>
          <w:tcPr>
            <w:tcW w:w="102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780" w:type="dxa"/>
            <w:vAlign w:val="bottom"/>
            <w:gridSpan w:val="2"/>
            <w:shd w:val="clear" w:color="auto" w:fill="CCEEFF"/>
          </w:tcPr>
          <w:p>
            <w:pPr>
              <w:ind w:left="340"/>
              <w:spacing w:after="0"/>
              <w:rPr>
                <w:sz w:val="20"/>
                <w:szCs w:val="20"/>
                <w:color w:val="auto"/>
              </w:rPr>
            </w:pPr>
            <w:r>
              <w:rPr>
                <w:rFonts w:ascii="Arial" w:cs="Arial" w:eastAsia="Arial" w:hAnsi="Arial"/>
                <w:sz w:val="18"/>
                <w:szCs w:val="18"/>
                <w:color w:val="auto"/>
              </w:rPr>
              <w:t>Net gain (loss), net of tax expense of $1,160 and $ -0- , respectively</w:t>
            </w:r>
          </w:p>
        </w:tc>
        <w:tc>
          <w:tcPr>
            <w:tcW w:w="1020" w:type="dxa"/>
            <w:vAlign w:val="bottom"/>
            <w:shd w:val="clear" w:color="auto" w:fill="CCEEFF"/>
          </w:tcPr>
          <w:p>
            <w:pPr>
              <w:spacing w:after="0"/>
              <w:rPr>
                <w:sz w:val="18"/>
                <w:szCs w:val="18"/>
                <w:color w:val="auto"/>
              </w:rPr>
            </w:pPr>
          </w:p>
        </w:tc>
        <w:tc>
          <w:tcPr>
            <w:tcW w:w="64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4,946</w:t>
            </w:r>
          </w:p>
        </w:tc>
        <w:tc>
          <w:tcPr>
            <w:tcW w:w="10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(2,785)</w:t>
            </w:r>
          </w:p>
        </w:tc>
        <w:tc>
          <w:tcPr>
            <w:tcW w:w="0" w:type="dxa"/>
            <w:vAlign w:val="bottom"/>
          </w:tcPr>
          <w:p>
            <w:pPr>
              <w:spacing w:after="0"/>
              <w:rPr>
                <w:sz w:val="1"/>
                <w:szCs w:val="1"/>
                <w:color w:val="auto"/>
              </w:rPr>
            </w:pPr>
          </w:p>
        </w:tc>
      </w:tr>
      <w:tr>
        <w:trPr>
          <w:trHeight w:val="202"/>
        </w:trPr>
        <w:tc>
          <w:tcPr>
            <w:tcW w:w="7780" w:type="dxa"/>
            <w:vAlign w:val="bottom"/>
            <w:gridSpan w:val="2"/>
          </w:tcPr>
          <w:p>
            <w:pPr>
              <w:ind w:left="340"/>
              <w:spacing w:after="0" w:line="201" w:lineRule="exact"/>
              <w:rPr>
                <w:sz w:val="20"/>
                <w:szCs w:val="20"/>
                <w:color w:val="auto"/>
              </w:rPr>
            </w:pPr>
            <w:r>
              <w:rPr>
                <w:rFonts w:ascii="Arial" w:cs="Arial" w:eastAsia="Arial" w:hAnsi="Arial"/>
                <w:sz w:val="18"/>
                <w:szCs w:val="18"/>
                <w:color w:val="auto"/>
                <w:w w:val="94"/>
              </w:rPr>
              <w:t>Amounts reclassified from accumulated other comprehensive loss to net loss, net of tax expense of</w:t>
            </w:r>
          </w:p>
        </w:tc>
        <w:tc>
          <w:tcPr>
            <w:tcW w:w="1020" w:type="dxa"/>
            <w:vAlign w:val="bottom"/>
          </w:tcPr>
          <w:p>
            <w:pPr>
              <w:spacing w:after="0"/>
              <w:rPr>
                <w:sz w:val="17"/>
                <w:szCs w:val="17"/>
                <w:color w:val="auto"/>
              </w:rPr>
            </w:pPr>
          </w:p>
        </w:tc>
        <w:tc>
          <w:tcPr>
            <w:tcW w:w="640" w:type="dxa"/>
            <w:vAlign w:val="bottom"/>
            <w:vMerge w:val="restart"/>
          </w:tcPr>
          <w:p>
            <w:pPr>
              <w:jc w:val="right"/>
              <w:ind w:right="30"/>
              <w:spacing w:after="0"/>
              <w:rPr>
                <w:sz w:val="20"/>
                <w:szCs w:val="20"/>
                <w:color w:val="auto"/>
              </w:rPr>
            </w:pPr>
            <w:r>
              <w:rPr>
                <w:rFonts w:ascii="Arial" w:cs="Arial" w:eastAsia="Arial" w:hAnsi="Arial"/>
                <w:sz w:val="18"/>
                <w:szCs w:val="18"/>
                <w:color w:val="auto"/>
              </w:rPr>
              <w:t>446</w:t>
            </w:r>
          </w:p>
        </w:tc>
        <w:tc>
          <w:tcPr>
            <w:tcW w:w="10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660" w:type="dxa"/>
            <w:vAlign w:val="bottom"/>
            <w:vMerge w:val="restart"/>
          </w:tcPr>
          <w:p>
            <w:pPr>
              <w:jc w:val="right"/>
              <w:ind w:right="30"/>
              <w:spacing w:after="0"/>
              <w:rPr>
                <w:sz w:val="20"/>
                <w:szCs w:val="20"/>
                <w:color w:val="auto"/>
              </w:rPr>
            </w:pPr>
            <w:r>
              <w:rPr>
                <w:rFonts w:ascii="Arial" w:cs="Arial" w:eastAsia="Arial" w:hAnsi="Arial"/>
                <w:sz w:val="18"/>
                <w:szCs w:val="18"/>
                <w:color w:val="auto"/>
              </w:rPr>
              <w:t>105</w:t>
            </w:r>
          </w:p>
        </w:tc>
        <w:tc>
          <w:tcPr>
            <w:tcW w:w="0" w:type="dxa"/>
            <w:vAlign w:val="bottom"/>
          </w:tcPr>
          <w:p>
            <w:pPr>
              <w:spacing w:after="0"/>
              <w:rPr>
                <w:sz w:val="1"/>
                <w:szCs w:val="1"/>
                <w:color w:val="auto"/>
              </w:rPr>
            </w:pPr>
          </w:p>
        </w:tc>
      </w:tr>
      <w:tr>
        <w:trPr>
          <w:trHeight w:val="217"/>
        </w:trPr>
        <w:tc>
          <w:tcPr>
            <w:tcW w:w="7780" w:type="dxa"/>
            <w:vAlign w:val="bottom"/>
            <w:gridSpan w:val="2"/>
          </w:tcPr>
          <w:p>
            <w:pPr>
              <w:ind w:left="340"/>
              <w:spacing w:after="0"/>
              <w:rPr>
                <w:sz w:val="20"/>
                <w:szCs w:val="20"/>
                <w:color w:val="auto"/>
              </w:rPr>
            </w:pPr>
            <w:r>
              <w:rPr>
                <w:rFonts w:ascii="Arial" w:cs="Arial" w:eastAsia="Arial" w:hAnsi="Arial"/>
                <w:sz w:val="18"/>
                <w:szCs w:val="18"/>
                <w:color w:val="auto"/>
              </w:rPr>
              <w:t>$105 and $-0- , respectively</w:t>
            </w:r>
          </w:p>
        </w:tc>
        <w:tc>
          <w:tcPr>
            <w:tcW w:w="1020" w:type="dxa"/>
            <w:vAlign w:val="bottom"/>
            <w:tcBorders>
              <w:bottom w:val="single" w:sz="8" w:color="auto"/>
            </w:tcBorders>
          </w:tcPr>
          <w:p>
            <w:pPr>
              <w:spacing w:after="0"/>
              <w:rPr>
                <w:sz w:val="18"/>
                <w:szCs w:val="18"/>
                <w:color w:val="auto"/>
              </w:rPr>
            </w:pPr>
          </w:p>
        </w:tc>
        <w:tc>
          <w:tcPr>
            <w:tcW w:w="640" w:type="dxa"/>
            <w:vAlign w:val="bottom"/>
            <w:tcBorders>
              <w:bottom w:val="single" w:sz="8" w:color="auto"/>
            </w:tcBorders>
            <w:vMerge w:val="continue"/>
          </w:tcPr>
          <w:p>
            <w:pPr>
              <w:spacing w:after="0"/>
              <w:rPr>
                <w:sz w:val="18"/>
                <w:szCs w:val="18"/>
                <w:color w:val="auto"/>
              </w:rPr>
            </w:pPr>
          </w:p>
        </w:tc>
        <w:tc>
          <w:tcPr>
            <w:tcW w:w="100" w:type="dxa"/>
            <w:vAlign w:val="bottom"/>
          </w:tcPr>
          <w:p>
            <w:pPr>
              <w:spacing w:after="0"/>
              <w:rPr>
                <w:sz w:val="18"/>
                <w:szCs w:val="18"/>
                <w:color w:val="auto"/>
              </w:rPr>
            </w:pPr>
          </w:p>
        </w:tc>
        <w:tc>
          <w:tcPr>
            <w:tcW w:w="1040" w:type="dxa"/>
            <w:vAlign w:val="bottom"/>
            <w:tcBorders>
              <w:bottom w:val="single" w:sz="8" w:color="auto"/>
            </w:tcBorders>
          </w:tcPr>
          <w:p>
            <w:pPr>
              <w:spacing w:after="0"/>
              <w:rPr>
                <w:sz w:val="18"/>
                <w:szCs w:val="18"/>
                <w:color w:val="auto"/>
              </w:rPr>
            </w:pPr>
          </w:p>
        </w:tc>
        <w:tc>
          <w:tcPr>
            <w:tcW w:w="660" w:type="dxa"/>
            <w:vAlign w:val="bottom"/>
            <w:tcBorders>
              <w:bottom w:val="single" w:sz="8" w:color="auto"/>
            </w:tcBorders>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7780" w:type="dxa"/>
            <w:vAlign w:val="bottom"/>
            <w:tcBorders>
              <w:bottom w:val="single" w:sz="8" w:color="CCEEFF"/>
            </w:tcBorders>
            <w:gridSpan w:val="2"/>
            <w:shd w:val="clear" w:color="auto" w:fill="CCEEFF"/>
          </w:tcPr>
          <w:p>
            <w:pPr>
              <w:ind w:left="500"/>
              <w:spacing w:after="0"/>
              <w:rPr>
                <w:sz w:val="20"/>
                <w:szCs w:val="20"/>
                <w:color w:val="auto"/>
              </w:rPr>
            </w:pPr>
            <w:r>
              <w:rPr>
                <w:rFonts w:ascii="Arial" w:cs="Arial" w:eastAsia="Arial" w:hAnsi="Arial"/>
                <w:sz w:val="18"/>
                <w:szCs w:val="18"/>
                <w:color w:val="auto"/>
              </w:rPr>
              <w:t>Defined benefit pension plans, net of tax</w:t>
            </w:r>
          </w:p>
        </w:tc>
        <w:tc>
          <w:tcPr>
            <w:tcW w:w="1020" w:type="dxa"/>
            <w:vAlign w:val="bottom"/>
            <w:tcBorders>
              <w:bottom w:val="single" w:sz="8" w:color="auto"/>
            </w:tcBorders>
            <w:shd w:val="clear" w:color="auto" w:fill="CCEEFF"/>
          </w:tcPr>
          <w:p>
            <w:pPr>
              <w:spacing w:after="0"/>
              <w:rPr>
                <w:sz w:val="18"/>
                <w:szCs w:val="18"/>
                <w:color w:val="auto"/>
              </w:rPr>
            </w:pPr>
          </w:p>
        </w:tc>
        <w:tc>
          <w:tcPr>
            <w:tcW w:w="64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rPr>
              <w:t>5,392</w:t>
            </w:r>
          </w:p>
        </w:tc>
        <w:tc>
          <w:tcPr>
            <w:tcW w:w="100" w:type="dxa"/>
            <w:vAlign w:val="bottom"/>
            <w:tcBorders>
              <w:bottom w:val="single" w:sz="8" w:color="CCEEFF"/>
            </w:tcBorders>
            <w:shd w:val="clear" w:color="auto" w:fill="CCEEFF"/>
          </w:tcPr>
          <w:p>
            <w:pPr>
              <w:spacing w:after="0"/>
              <w:rPr>
                <w:sz w:val="18"/>
                <w:szCs w:val="18"/>
                <w:color w:val="auto"/>
              </w:rPr>
            </w:pPr>
          </w:p>
        </w:tc>
        <w:tc>
          <w:tcPr>
            <w:tcW w:w="1040" w:type="dxa"/>
            <w:vAlign w:val="bottom"/>
            <w:tcBorders>
              <w:bottom w:val="single" w:sz="8" w:color="auto"/>
            </w:tcBorders>
            <w:shd w:val="clear" w:color="auto" w:fill="CCEEFF"/>
          </w:tcPr>
          <w:p>
            <w:pPr>
              <w:spacing w:after="0"/>
              <w:rPr>
                <w:sz w:val="18"/>
                <w:szCs w:val="18"/>
                <w:color w:val="auto"/>
              </w:rPr>
            </w:pPr>
          </w:p>
        </w:tc>
        <w:tc>
          <w:tcPr>
            <w:tcW w:w="6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(2,680)</w:t>
            </w:r>
          </w:p>
        </w:tc>
        <w:tc>
          <w:tcPr>
            <w:tcW w:w="0" w:type="dxa"/>
            <w:vAlign w:val="bottom"/>
          </w:tcPr>
          <w:p>
            <w:pPr>
              <w:spacing w:after="0"/>
              <w:rPr>
                <w:sz w:val="1"/>
                <w:szCs w:val="1"/>
                <w:color w:val="auto"/>
              </w:rPr>
            </w:pPr>
          </w:p>
        </w:tc>
      </w:tr>
      <w:tr>
        <w:trPr>
          <w:trHeight w:val="209"/>
        </w:trPr>
        <w:tc>
          <w:tcPr>
            <w:tcW w:w="7780" w:type="dxa"/>
            <w:vAlign w:val="bottom"/>
            <w:gridSpan w:val="2"/>
          </w:tcPr>
          <w:p>
            <w:pPr>
              <w:ind w:left="340"/>
              <w:spacing w:after="0"/>
              <w:rPr>
                <w:sz w:val="20"/>
                <w:szCs w:val="20"/>
                <w:color w:val="auto"/>
              </w:rPr>
            </w:pPr>
            <w:r>
              <w:rPr>
                <w:rFonts w:ascii="Arial" w:cs="Arial" w:eastAsia="Arial" w:hAnsi="Arial"/>
                <w:sz w:val="18"/>
                <w:szCs w:val="18"/>
                <w:color w:val="auto"/>
              </w:rPr>
              <w:t>Other comprehensive income (loss)</w:t>
            </w:r>
          </w:p>
        </w:tc>
        <w:tc>
          <w:tcPr>
            <w:tcW w:w="1020" w:type="dxa"/>
            <w:vAlign w:val="bottom"/>
            <w:tcBorders>
              <w:bottom w:val="single" w:sz="8" w:color="auto"/>
            </w:tcBorders>
          </w:tcPr>
          <w:p>
            <w:pPr>
              <w:spacing w:after="0"/>
              <w:rPr>
                <w:sz w:val="18"/>
                <w:szCs w:val="18"/>
                <w:color w:val="auto"/>
              </w:rPr>
            </w:pPr>
          </w:p>
        </w:tc>
        <w:tc>
          <w:tcPr>
            <w:tcW w:w="64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3,039</w:t>
            </w:r>
          </w:p>
        </w:tc>
        <w:tc>
          <w:tcPr>
            <w:tcW w:w="100" w:type="dxa"/>
            <w:vAlign w:val="bottom"/>
          </w:tcPr>
          <w:p>
            <w:pPr>
              <w:spacing w:after="0"/>
              <w:rPr>
                <w:sz w:val="18"/>
                <w:szCs w:val="18"/>
                <w:color w:val="auto"/>
              </w:rPr>
            </w:pPr>
          </w:p>
        </w:tc>
        <w:tc>
          <w:tcPr>
            <w:tcW w:w="1040" w:type="dxa"/>
            <w:vAlign w:val="bottom"/>
            <w:tcBorders>
              <w:bottom w:val="single" w:sz="8" w:color="auto"/>
            </w:tcBorders>
          </w:tcPr>
          <w:p>
            <w:pPr>
              <w:spacing w:after="0"/>
              <w:rPr>
                <w:sz w:val="18"/>
                <w:szCs w:val="18"/>
                <w:color w:val="auto"/>
              </w:rPr>
            </w:pPr>
          </w:p>
        </w:tc>
        <w:tc>
          <w:tcPr>
            <w:tcW w:w="6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(377)</w:t>
            </w:r>
          </w:p>
        </w:tc>
        <w:tc>
          <w:tcPr>
            <w:tcW w:w="0" w:type="dxa"/>
            <w:vAlign w:val="bottom"/>
          </w:tcPr>
          <w:p>
            <w:pPr>
              <w:spacing w:after="0"/>
              <w:rPr>
                <w:sz w:val="1"/>
                <w:szCs w:val="1"/>
                <w:color w:val="auto"/>
              </w:rPr>
            </w:pPr>
          </w:p>
        </w:tc>
      </w:tr>
      <w:tr>
        <w:trPr>
          <w:trHeight w:val="230"/>
        </w:trPr>
        <w:tc>
          <w:tcPr>
            <w:tcW w:w="77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Comprehensive income (loss)</w:t>
            </w:r>
          </w:p>
        </w:tc>
        <w:tc>
          <w:tcPr>
            <w:tcW w:w="1020" w:type="dxa"/>
            <w:vAlign w:val="bottom"/>
            <w:shd w:val="clear" w:color="auto" w:fill="CCEEFF"/>
          </w:tcPr>
          <w:p>
            <w:pPr>
              <w:jc w:val="right"/>
              <w:ind w:right="830"/>
              <w:spacing w:after="0"/>
              <w:rPr>
                <w:sz w:val="20"/>
                <w:szCs w:val="20"/>
                <w:color w:val="auto"/>
              </w:rPr>
            </w:pPr>
            <w:r>
              <w:rPr>
                <w:rFonts w:ascii="Arial" w:cs="Arial" w:eastAsia="Arial" w:hAnsi="Arial"/>
                <w:sz w:val="18"/>
                <w:szCs w:val="18"/>
                <w:color w:val="auto"/>
                <w:w w:val="79"/>
              </w:rPr>
              <w:t>$</w:t>
            </w:r>
          </w:p>
        </w:tc>
        <w:tc>
          <w:tcPr>
            <w:tcW w:w="64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2,751</w:t>
            </w:r>
          </w:p>
        </w:tc>
        <w:tc>
          <w:tcPr>
            <w:tcW w:w="1140" w:type="dxa"/>
            <w:vAlign w:val="bottom"/>
            <w:gridSpan w:val="2"/>
            <w:shd w:val="clear" w:color="auto" w:fill="CCEEFF"/>
          </w:tcPr>
          <w:p>
            <w:pPr>
              <w:jc w:val="right"/>
              <w:ind w:right="960"/>
              <w:spacing w:after="0"/>
              <w:rPr>
                <w:sz w:val="20"/>
                <w:szCs w:val="20"/>
                <w:color w:val="auto"/>
              </w:rPr>
            </w:pPr>
            <w:r>
              <w:rPr>
                <w:rFonts w:ascii="Arial" w:cs="Arial" w:eastAsia="Arial" w:hAnsi="Arial"/>
                <w:sz w:val="18"/>
                <w:szCs w:val="18"/>
                <w:color w:val="auto"/>
              </w:rPr>
              <w:t>$</w:t>
            </w: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(8,187)</w:t>
            </w:r>
          </w:p>
        </w:tc>
        <w:tc>
          <w:tcPr>
            <w:tcW w:w="0" w:type="dxa"/>
            <w:vAlign w:val="bottom"/>
          </w:tcPr>
          <w:p>
            <w:pPr>
              <w:spacing w:after="0"/>
              <w:rPr>
                <w:sz w:val="1"/>
                <w:szCs w:val="1"/>
                <w:color w:val="auto"/>
              </w:rPr>
            </w:pPr>
          </w:p>
        </w:tc>
      </w:tr>
      <w:tr>
        <w:trPr>
          <w:trHeight w:val="20"/>
        </w:trPr>
        <w:tc>
          <w:tcPr>
            <w:tcW w:w="1280" w:type="dxa"/>
            <w:vAlign w:val="bottom"/>
            <w:tcBorders>
              <w:top w:val="single" w:sz="8" w:color="CCEEFF"/>
            </w:tcBorders>
            <w:shd w:val="clear" w:color="auto" w:fill="CCEEFF"/>
          </w:tcPr>
          <w:p>
            <w:pPr>
              <w:spacing w:after="0" w:line="20" w:lineRule="exact"/>
              <w:rPr>
                <w:sz w:val="1"/>
                <w:szCs w:val="1"/>
                <w:color w:val="auto"/>
              </w:rPr>
            </w:pPr>
          </w:p>
        </w:tc>
        <w:tc>
          <w:tcPr>
            <w:tcW w:w="6500" w:type="dxa"/>
            <w:vAlign w:val="bottom"/>
            <w:tcBorders>
              <w:top w:val="single" w:sz="8" w:color="CCEEFF"/>
            </w:tcBorders>
            <w:shd w:val="clear" w:color="auto" w:fill="CCEEFF"/>
          </w:tcPr>
          <w:p>
            <w:pPr>
              <w:spacing w:after="0" w:line="20" w:lineRule="exact"/>
              <w:rPr>
                <w:sz w:val="1"/>
                <w:szCs w:val="1"/>
                <w:color w:val="auto"/>
              </w:rPr>
            </w:pPr>
          </w:p>
        </w:tc>
        <w:tc>
          <w:tcPr>
            <w:tcW w:w="1020" w:type="dxa"/>
            <w:vAlign w:val="bottom"/>
            <w:tcBorders>
              <w:top w:val="single" w:sz="8" w:color="auto"/>
            </w:tcBorders>
            <w:shd w:val="clear" w:color="auto" w:fill="000000"/>
          </w:tcPr>
          <w:p>
            <w:pPr>
              <w:spacing w:after="0" w:line="20" w:lineRule="exact"/>
              <w:rPr>
                <w:sz w:val="1"/>
                <w:szCs w:val="1"/>
                <w:color w:val="auto"/>
              </w:rPr>
            </w:pPr>
          </w:p>
        </w:tc>
        <w:tc>
          <w:tcPr>
            <w:tcW w:w="64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1040" w:type="dxa"/>
            <w:vAlign w:val="bottom"/>
            <w:tcBorders>
              <w:top w:val="single" w:sz="8" w:color="auto"/>
            </w:tcBorders>
            <w:shd w:val="clear" w:color="auto" w:fill="000000"/>
          </w:tcPr>
          <w:p>
            <w:pPr>
              <w:spacing w:after="0" w:line="20" w:lineRule="exact"/>
              <w:rPr>
                <w:sz w:val="1"/>
                <w:szCs w:val="1"/>
                <w:color w:val="auto"/>
              </w:rPr>
            </w:pPr>
          </w:p>
        </w:tc>
        <w:tc>
          <w:tcPr>
            <w:tcW w:w="660" w:type="dxa"/>
            <w:vAlign w:val="bottom"/>
            <w:tcBorders>
              <w:top w:val="single" w:sz="8" w:color="auto"/>
            </w:tcBorders>
            <w:shd w:val="clear" w:color="auto" w:fill="000000"/>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3" w:lineRule="exact"/>
        <w:rPr>
          <w:sz w:val="20"/>
          <w:szCs w:val="20"/>
          <w:color w:val="auto"/>
        </w:rPr>
      </w:pPr>
    </w:p>
    <w:p>
      <w:pPr>
        <w:jc w:val="center"/>
        <w:ind w:right="-159"/>
        <w:spacing w:after="0"/>
        <w:rPr>
          <w:sz w:val="20"/>
          <w:szCs w:val="20"/>
          <w:color w:val="auto"/>
        </w:rPr>
      </w:pPr>
      <w:r>
        <w:rPr>
          <w:rFonts w:ascii="Arial" w:cs="Arial" w:eastAsia="Arial" w:hAnsi="Arial"/>
          <w:sz w:val="18"/>
          <w:szCs w:val="18"/>
          <w:color w:val="auto"/>
        </w:rPr>
        <w:t>See accompanying notes to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08" w:right="339" w:bottom="1440" w:gutter="0" w:footer="0" w:header="0"/>
        </w:sectPr>
      </w:pPr>
    </w:p>
    <w:bookmarkStart w:id="34" w:name="page35"/>
    <w:bookmarkEnd w:id="34"/>
    <w:tbl>
      <w:tblPr>
        <w:tblLayout w:type="fixed"/>
        <w:tblInd w:w="0" w:type="dxa"/>
        <w:tblCellMar>
          <w:top w:w="0" w:type="dxa"/>
          <w:left w:w="0" w:type="dxa"/>
          <w:bottom w:w="0" w:type="dxa"/>
          <w:right w:w="0" w:type="dxa"/>
        </w:tblCellMar>
      </w:tblPr>
      <w:tr>
        <w:trPr>
          <w:trHeight w:val="207"/>
        </w:trPr>
        <w:tc>
          <w:tcPr>
            <w:tcW w:w="2740" w:type="dxa"/>
            <w:vAlign w:val="bottom"/>
            <w:gridSpan w:val="2"/>
          </w:tcPr>
          <w:p>
            <w:pPr>
              <w:spacing w:after="0"/>
              <w:rPr>
                <w:rFonts w:ascii="Arial" w:cs="Arial" w:eastAsia="Arial" w:hAnsi="Arial"/>
                <w:sz w:val="18"/>
                <w:szCs w:val="18"/>
                <w:color w:val="0000EE"/>
              </w:rPr>
            </w:pPr>
            <w:hyperlink w:anchor="page3">
              <w:r>
                <w:rPr>
                  <w:rFonts w:ascii="Arial" w:cs="Arial" w:eastAsia="Arial" w:hAnsi="Arial"/>
                  <w:sz w:val="18"/>
                  <w:szCs w:val="18"/>
                  <w:color w:val="0000EE"/>
                </w:rPr>
                <w:t>Table of Contents</w:t>
              </w:r>
            </w:hyperlink>
          </w:p>
        </w:tc>
        <w:tc>
          <w:tcPr>
            <w:tcW w:w="34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980" w:type="dxa"/>
            <w:vAlign w:val="bottom"/>
          </w:tcPr>
          <w:p>
            <w:pPr>
              <w:spacing w:after="0"/>
              <w:rPr>
                <w:sz w:val="17"/>
                <w:szCs w:val="17"/>
                <w:color w:val="auto"/>
              </w:rPr>
            </w:pPr>
          </w:p>
        </w:tc>
      </w:tr>
      <w:tr>
        <w:trPr>
          <w:trHeight w:val="677"/>
        </w:trPr>
        <w:tc>
          <w:tcPr>
            <w:tcW w:w="1280" w:type="dxa"/>
            <w:vAlign w:val="bottom"/>
            <w:tcBorders>
              <w:top w:val="single" w:sz="8" w:color="0000EE"/>
            </w:tcBorders>
          </w:tcPr>
          <w:p>
            <w:pPr>
              <w:spacing w:after="0"/>
              <w:rPr>
                <w:sz w:val="24"/>
                <w:szCs w:val="24"/>
                <w:color w:val="auto"/>
              </w:rPr>
            </w:pPr>
          </w:p>
        </w:tc>
        <w:tc>
          <w:tcPr>
            <w:tcW w:w="146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3160" w:type="dxa"/>
            <w:vAlign w:val="bottom"/>
            <w:gridSpan w:val="7"/>
          </w:tcPr>
          <w:p>
            <w:pPr>
              <w:jc w:val="center"/>
              <w:ind w:right="310"/>
              <w:spacing w:after="0"/>
              <w:rPr>
                <w:sz w:val="20"/>
                <w:szCs w:val="20"/>
                <w:color w:val="auto"/>
              </w:rPr>
            </w:pPr>
            <w:r>
              <w:rPr>
                <w:rFonts w:ascii="Arial" w:cs="Arial" w:eastAsia="Arial" w:hAnsi="Arial"/>
                <w:sz w:val="18"/>
                <w:szCs w:val="18"/>
                <w:b w:val="1"/>
                <w:bCs w:val="1"/>
                <w:color w:val="auto"/>
                <w:w w:val="99"/>
              </w:rPr>
              <w:t>HARVARD BIOSCIENCE, INC.</w:t>
            </w:r>
          </w:p>
        </w:tc>
        <w:tc>
          <w:tcPr>
            <w:tcW w:w="1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980" w:type="dxa"/>
            <w:vAlign w:val="bottom"/>
          </w:tcPr>
          <w:p>
            <w:pPr>
              <w:spacing w:after="0"/>
              <w:rPr>
                <w:sz w:val="24"/>
                <w:szCs w:val="24"/>
                <w:color w:val="auto"/>
              </w:rPr>
            </w:pPr>
          </w:p>
        </w:tc>
      </w:tr>
      <w:tr>
        <w:trPr>
          <w:trHeight w:val="216"/>
        </w:trPr>
        <w:tc>
          <w:tcPr>
            <w:tcW w:w="1280" w:type="dxa"/>
            <w:vAlign w:val="bottom"/>
          </w:tcPr>
          <w:p>
            <w:pPr>
              <w:spacing w:after="0"/>
              <w:rPr>
                <w:sz w:val="18"/>
                <w:szCs w:val="18"/>
                <w:color w:val="auto"/>
              </w:rPr>
            </w:pPr>
          </w:p>
        </w:tc>
        <w:tc>
          <w:tcPr>
            <w:tcW w:w="1460" w:type="dxa"/>
            <w:vAlign w:val="bottom"/>
          </w:tcPr>
          <w:p>
            <w:pPr>
              <w:spacing w:after="0"/>
              <w:rPr>
                <w:sz w:val="18"/>
                <w:szCs w:val="18"/>
                <w:color w:val="auto"/>
              </w:rPr>
            </w:pPr>
          </w:p>
        </w:tc>
        <w:tc>
          <w:tcPr>
            <w:tcW w:w="6140" w:type="dxa"/>
            <w:vAlign w:val="bottom"/>
            <w:gridSpan w:val="14"/>
          </w:tcPr>
          <w:p>
            <w:pPr>
              <w:jc w:val="center"/>
              <w:ind w:right="150"/>
              <w:spacing w:after="0"/>
              <w:rPr>
                <w:sz w:val="20"/>
                <w:szCs w:val="20"/>
                <w:color w:val="auto"/>
              </w:rPr>
            </w:pPr>
            <w:r>
              <w:rPr>
                <w:rFonts w:ascii="Arial" w:cs="Arial" w:eastAsia="Arial" w:hAnsi="Arial"/>
                <w:sz w:val="18"/>
                <w:szCs w:val="18"/>
                <w:b w:val="1"/>
                <w:bCs w:val="1"/>
                <w:color w:val="auto"/>
              </w:rPr>
              <w:t>CONSOLIDATED STATEMENTS OF STOCKHOLDERS' EQUITY</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80" w:type="dxa"/>
            <w:vAlign w:val="bottom"/>
          </w:tcPr>
          <w:p>
            <w:pPr>
              <w:spacing w:after="0"/>
              <w:rPr>
                <w:sz w:val="18"/>
                <w:szCs w:val="18"/>
                <w:color w:val="auto"/>
              </w:rPr>
            </w:pPr>
          </w:p>
        </w:tc>
      </w:tr>
      <w:tr>
        <w:trPr>
          <w:trHeight w:val="234"/>
        </w:trPr>
        <w:tc>
          <w:tcPr>
            <w:tcW w:w="1280" w:type="dxa"/>
            <w:vAlign w:val="bottom"/>
          </w:tcPr>
          <w:p>
            <w:pPr>
              <w:spacing w:after="0"/>
              <w:rPr>
                <w:sz w:val="20"/>
                <w:szCs w:val="20"/>
                <w:color w:val="auto"/>
              </w:rPr>
            </w:pPr>
          </w:p>
        </w:tc>
        <w:tc>
          <w:tcPr>
            <w:tcW w:w="146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1220" w:type="dxa"/>
            <w:vAlign w:val="bottom"/>
            <w:gridSpan w:val="4"/>
          </w:tcPr>
          <w:p>
            <w:pPr>
              <w:jc w:val="center"/>
              <w:ind w:right="100"/>
              <w:spacing w:after="0"/>
              <w:rPr>
                <w:sz w:val="20"/>
                <w:szCs w:val="20"/>
                <w:color w:val="auto"/>
              </w:rPr>
            </w:pPr>
            <w:r>
              <w:rPr>
                <w:rFonts w:ascii="Arial" w:cs="Arial" w:eastAsia="Arial" w:hAnsi="Arial"/>
                <w:sz w:val="18"/>
                <w:szCs w:val="18"/>
                <w:b w:val="1"/>
                <w:bCs w:val="1"/>
                <w:color w:val="auto"/>
                <w:w w:val="90"/>
              </w:rPr>
              <w:t>(In thousands)</w:t>
            </w:r>
          </w:p>
        </w:tc>
        <w:tc>
          <w:tcPr>
            <w:tcW w:w="16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0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980" w:type="dxa"/>
            <w:vAlign w:val="bottom"/>
          </w:tcPr>
          <w:p>
            <w:pPr>
              <w:spacing w:after="0"/>
              <w:rPr>
                <w:sz w:val="20"/>
                <w:szCs w:val="20"/>
                <w:color w:val="auto"/>
              </w:rPr>
            </w:pPr>
          </w:p>
        </w:tc>
      </w:tr>
      <w:tr>
        <w:trPr>
          <w:trHeight w:val="414"/>
        </w:trPr>
        <w:tc>
          <w:tcPr>
            <w:tcW w:w="1280" w:type="dxa"/>
            <w:vAlign w:val="bottom"/>
          </w:tcPr>
          <w:p>
            <w:pPr>
              <w:spacing w:after="0"/>
              <w:rPr>
                <w:sz w:val="24"/>
                <w:szCs w:val="24"/>
                <w:color w:val="auto"/>
              </w:rPr>
            </w:pPr>
          </w:p>
        </w:tc>
        <w:tc>
          <w:tcPr>
            <w:tcW w:w="146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300" w:type="dxa"/>
            <w:vAlign w:val="bottom"/>
            <w:gridSpan w:val="2"/>
          </w:tcPr>
          <w:p>
            <w:pPr>
              <w:jc w:val="center"/>
              <w:ind w:right="30"/>
              <w:spacing w:after="0"/>
              <w:rPr>
                <w:sz w:val="20"/>
                <w:szCs w:val="20"/>
                <w:color w:val="auto"/>
              </w:rPr>
            </w:pPr>
            <w:r>
              <w:rPr>
                <w:rFonts w:ascii="Arial" w:cs="Arial" w:eastAsia="Arial" w:hAnsi="Arial"/>
                <w:sz w:val="18"/>
                <w:szCs w:val="18"/>
                <w:b w:val="1"/>
                <w:bCs w:val="1"/>
                <w:color w:val="auto"/>
                <w:w w:val="90"/>
              </w:rPr>
              <w:t>Accumulated</w:t>
            </w: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980" w:type="dxa"/>
            <w:vAlign w:val="bottom"/>
          </w:tcPr>
          <w:p>
            <w:pPr>
              <w:spacing w:after="0"/>
              <w:rPr>
                <w:sz w:val="24"/>
                <w:szCs w:val="24"/>
                <w:color w:val="auto"/>
              </w:rPr>
            </w:pPr>
          </w:p>
        </w:tc>
      </w:tr>
      <w:tr>
        <w:trPr>
          <w:trHeight w:val="216"/>
        </w:trPr>
        <w:tc>
          <w:tcPr>
            <w:tcW w:w="1280" w:type="dxa"/>
            <w:vAlign w:val="bottom"/>
          </w:tcPr>
          <w:p>
            <w:pPr>
              <w:spacing w:after="0"/>
              <w:rPr>
                <w:sz w:val="18"/>
                <w:szCs w:val="18"/>
                <w:color w:val="auto"/>
              </w:rPr>
            </w:pPr>
          </w:p>
        </w:tc>
        <w:tc>
          <w:tcPr>
            <w:tcW w:w="146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980" w:type="dxa"/>
            <w:vAlign w:val="bottom"/>
          </w:tcPr>
          <w:p>
            <w:pPr>
              <w:jc w:val="center"/>
              <w:ind w:right="10"/>
              <w:spacing w:after="0"/>
              <w:rPr>
                <w:sz w:val="20"/>
                <w:szCs w:val="20"/>
                <w:color w:val="auto"/>
              </w:rPr>
            </w:pPr>
            <w:r>
              <w:rPr>
                <w:rFonts w:ascii="Arial" w:cs="Arial" w:eastAsia="Arial" w:hAnsi="Arial"/>
                <w:sz w:val="18"/>
                <w:szCs w:val="18"/>
                <w:b w:val="1"/>
                <w:bCs w:val="1"/>
                <w:color w:val="auto"/>
                <w:w w:val="94"/>
              </w:rPr>
              <w:t>Number</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20" w:type="dxa"/>
            <w:vAlign w:val="bottom"/>
            <w:gridSpan w:val="3"/>
          </w:tcPr>
          <w:p>
            <w:pPr>
              <w:jc w:val="center"/>
              <w:ind w:right="220"/>
              <w:spacing w:after="0"/>
              <w:rPr>
                <w:sz w:val="20"/>
                <w:szCs w:val="20"/>
                <w:color w:val="auto"/>
              </w:rPr>
            </w:pPr>
            <w:r>
              <w:rPr>
                <w:rFonts w:ascii="Arial" w:cs="Arial" w:eastAsia="Arial" w:hAnsi="Arial"/>
                <w:sz w:val="18"/>
                <w:szCs w:val="18"/>
                <w:b w:val="1"/>
                <w:bCs w:val="1"/>
                <w:color w:val="auto"/>
                <w:w w:val="93"/>
              </w:rPr>
              <w:t>Additional</w:t>
            </w:r>
          </w:p>
        </w:tc>
        <w:tc>
          <w:tcPr>
            <w:tcW w:w="16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80" w:type="dxa"/>
            <w:vAlign w:val="bottom"/>
          </w:tcPr>
          <w:p>
            <w:pPr>
              <w:jc w:val="center"/>
              <w:ind w:right="250"/>
              <w:spacing w:after="0"/>
              <w:rPr>
                <w:sz w:val="20"/>
                <w:szCs w:val="20"/>
                <w:color w:val="auto"/>
              </w:rPr>
            </w:pPr>
            <w:r>
              <w:rPr>
                <w:rFonts w:ascii="Arial" w:cs="Arial" w:eastAsia="Arial" w:hAnsi="Arial"/>
                <w:sz w:val="18"/>
                <w:szCs w:val="18"/>
                <w:b w:val="1"/>
                <w:bCs w:val="1"/>
                <w:color w:val="auto"/>
                <w:w w:val="95"/>
              </w:rPr>
              <w:t>Other</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80" w:type="dxa"/>
            <w:vAlign w:val="bottom"/>
          </w:tcPr>
          <w:p>
            <w:pPr>
              <w:jc w:val="right"/>
              <w:ind w:right="350"/>
              <w:spacing w:after="0"/>
              <w:rPr>
                <w:sz w:val="20"/>
                <w:szCs w:val="20"/>
                <w:color w:val="auto"/>
              </w:rPr>
            </w:pPr>
            <w:r>
              <w:rPr>
                <w:rFonts w:ascii="Arial" w:cs="Arial" w:eastAsia="Arial" w:hAnsi="Arial"/>
                <w:sz w:val="18"/>
                <w:szCs w:val="18"/>
                <w:b w:val="1"/>
                <w:bCs w:val="1"/>
                <w:color w:val="auto"/>
              </w:rPr>
              <w:t>Total</w:t>
            </w:r>
          </w:p>
        </w:tc>
      </w:tr>
      <w:tr>
        <w:trPr>
          <w:trHeight w:val="216"/>
        </w:trPr>
        <w:tc>
          <w:tcPr>
            <w:tcW w:w="1280" w:type="dxa"/>
            <w:vAlign w:val="bottom"/>
          </w:tcPr>
          <w:p>
            <w:pPr>
              <w:spacing w:after="0"/>
              <w:rPr>
                <w:sz w:val="18"/>
                <w:szCs w:val="18"/>
                <w:color w:val="auto"/>
              </w:rPr>
            </w:pPr>
          </w:p>
        </w:tc>
        <w:tc>
          <w:tcPr>
            <w:tcW w:w="146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980" w:type="dxa"/>
            <w:vAlign w:val="bottom"/>
          </w:tcPr>
          <w:p>
            <w:pPr>
              <w:jc w:val="center"/>
              <w:ind w:right="10"/>
              <w:spacing w:after="0"/>
              <w:rPr>
                <w:sz w:val="20"/>
                <w:szCs w:val="20"/>
                <w:color w:val="auto"/>
              </w:rPr>
            </w:pPr>
            <w:r>
              <w:rPr>
                <w:rFonts w:ascii="Arial" w:cs="Arial" w:eastAsia="Arial" w:hAnsi="Arial"/>
                <w:sz w:val="18"/>
                <w:szCs w:val="18"/>
                <w:b w:val="1"/>
                <w:bCs w:val="1"/>
                <w:color w:val="auto"/>
                <w:w w:val="87"/>
              </w:rPr>
              <w:t>of Shares</w:t>
            </w:r>
          </w:p>
        </w:tc>
        <w:tc>
          <w:tcPr>
            <w:tcW w:w="100" w:type="dxa"/>
            <w:vAlign w:val="bottom"/>
          </w:tcPr>
          <w:p>
            <w:pPr>
              <w:spacing w:after="0"/>
              <w:rPr>
                <w:sz w:val="18"/>
                <w:szCs w:val="18"/>
                <w:color w:val="auto"/>
              </w:rPr>
            </w:pPr>
          </w:p>
        </w:tc>
        <w:tc>
          <w:tcPr>
            <w:tcW w:w="980" w:type="dxa"/>
            <w:vAlign w:val="bottom"/>
            <w:gridSpan w:val="2"/>
          </w:tcPr>
          <w:p>
            <w:pPr>
              <w:jc w:val="right"/>
              <w:ind w:right="90"/>
              <w:spacing w:after="0"/>
              <w:rPr>
                <w:sz w:val="20"/>
                <w:szCs w:val="20"/>
                <w:color w:val="auto"/>
              </w:rPr>
            </w:pPr>
            <w:r>
              <w:rPr>
                <w:rFonts w:ascii="Arial" w:cs="Arial" w:eastAsia="Arial" w:hAnsi="Arial"/>
                <w:sz w:val="18"/>
                <w:szCs w:val="18"/>
                <w:b w:val="1"/>
                <w:bCs w:val="1"/>
                <w:color w:val="auto"/>
                <w:w w:val="99"/>
              </w:rPr>
              <w:t>Common</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80" w:type="dxa"/>
            <w:vAlign w:val="bottom"/>
            <w:gridSpan w:val="2"/>
          </w:tcPr>
          <w:p>
            <w:pPr>
              <w:jc w:val="center"/>
              <w:ind w:right="340"/>
              <w:spacing w:after="0"/>
              <w:rPr>
                <w:sz w:val="20"/>
                <w:szCs w:val="20"/>
                <w:color w:val="auto"/>
              </w:rPr>
            </w:pPr>
            <w:r>
              <w:rPr>
                <w:rFonts w:ascii="Arial" w:cs="Arial" w:eastAsia="Arial" w:hAnsi="Arial"/>
                <w:sz w:val="18"/>
                <w:szCs w:val="18"/>
                <w:b w:val="1"/>
                <w:bCs w:val="1"/>
                <w:color w:val="auto"/>
                <w:w w:val="93"/>
              </w:rPr>
              <w:t>Paid-in</w:t>
            </w:r>
          </w:p>
        </w:tc>
        <w:tc>
          <w:tcPr>
            <w:tcW w:w="1120" w:type="dxa"/>
            <w:vAlign w:val="bottom"/>
            <w:gridSpan w:val="2"/>
          </w:tcPr>
          <w:p>
            <w:pPr>
              <w:spacing w:after="0"/>
              <w:rPr>
                <w:sz w:val="20"/>
                <w:szCs w:val="20"/>
                <w:color w:val="auto"/>
              </w:rPr>
            </w:pPr>
            <w:r>
              <w:rPr>
                <w:rFonts w:ascii="Arial" w:cs="Arial" w:eastAsia="Arial" w:hAnsi="Arial"/>
                <w:sz w:val="18"/>
                <w:szCs w:val="18"/>
                <w:b w:val="1"/>
                <w:bCs w:val="1"/>
                <w:color w:val="auto"/>
                <w:w w:val="97"/>
              </w:rPr>
              <w:t>Accumulated</w:t>
            </w:r>
          </w:p>
        </w:tc>
        <w:tc>
          <w:tcPr>
            <w:tcW w:w="1400" w:type="dxa"/>
            <w:vAlign w:val="bottom"/>
            <w:gridSpan w:val="3"/>
          </w:tcPr>
          <w:p>
            <w:pPr>
              <w:ind w:left="100"/>
              <w:spacing w:after="0"/>
              <w:rPr>
                <w:sz w:val="20"/>
                <w:szCs w:val="20"/>
                <w:color w:val="auto"/>
              </w:rPr>
            </w:pPr>
            <w:r>
              <w:rPr>
                <w:rFonts w:ascii="Arial" w:cs="Arial" w:eastAsia="Arial" w:hAnsi="Arial"/>
                <w:sz w:val="18"/>
                <w:szCs w:val="18"/>
                <w:b w:val="1"/>
                <w:bCs w:val="1"/>
                <w:color w:val="auto"/>
                <w:w w:val="94"/>
              </w:rPr>
              <w:t>Comprehensive</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00" w:type="dxa"/>
            <w:vAlign w:val="bottom"/>
          </w:tcPr>
          <w:p>
            <w:pPr>
              <w:jc w:val="right"/>
              <w:ind w:right="110"/>
              <w:spacing w:after="0"/>
              <w:rPr>
                <w:sz w:val="20"/>
                <w:szCs w:val="20"/>
                <w:color w:val="auto"/>
              </w:rPr>
            </w:pPr>
            <w:r>
              <w:rPr>
                <w:rFonts w:ascii="Arial" w:cs="Arial" w:eastAsia="Arial" w:hAnsi="Arial"/>
                <w:sz w:val="18"/>
                <w:szCs w:val="18"/>
                <w:b w:val="1"/>
                <w:bCs w:val="1"/>
                <w:color w:val="auto"/>
                <w:w w:val="89"/>
              </w:rPr>
              <w:t>Treasury</w:t>
            </w:r>
          </w:p>
        </w:tc>
        <w:tc>
          <w:tcPr>
            <w:tcW w:w="100" w:type="dxa"/>
            <w:vAlign w:val="bottom"/>
          </w:tcPr>
          <w:p>
            <w:pPr>
              <w:spacing w:after="0"/>
              <w:rPr>
                <w:sz w:val="18"/>
                <w:szCs w:val="18"/>
                <w:color w:val="auto"/>
              </w:rPr>
            </w:pPr>
          </w:p>
        </w:tc>
        <w:tc>
          <w:tcPr>
            <w:tcW w:w="1160" w:type="dxa"/>
            <w:vAlign w:val="bottom"/>
            <w:gridSpan w:val="2"/>
          </w:tcPr>
          <w:p>
            <w:pPr>
              <w:spacing w:after="0"/>
              <w:rPr>
                <w:sz w:val="20"/>
                <w:szCs w:val="20"/>
                <w:color w:val="auto"/>
              </w:rPr>
            </w:pPr>
            <w:r>
              <w:rPr>
                <w:rFonts w:ascii="Arial" w:cs="Arial" w:eastAsia="Arial" w:hAnsi="Arial"/>
                <w:sz w:val="18"/>
                <w:szCs w:val="18"/>
                <w:b w:val="1"/>
                <w:bCs w:val="1"/>
                <w:color w:val="auto"/>
                <w:w w:val="95"/>
              </w:rPr>
              <w:t>Stockholders’</w:t>
            </w:r>
          </w:p>
        </w:tc>
      </w:tr>
      <w:tr>
        <w:trPr>
          <w:trHeight w:val="234"/>
        </w:trPr>
        <w:tc>
          <w:tcPr>
            <w:tcW w:w="1280" w:type="dxa"/>
            <w:vAlign w:val="bottom"/>
          </w:tcPr>
          <w:p>
            <w:pPr>
              <w:spacing w:after="0"/>
              <w:rPr>
                <w:sz w:val="20"/>
                <w:szCs w:val="20"/>
                <w:color w:val="auto"/>
              </w:rPr>
            </w:pPr>
          </w:p>
        </w:tc>
        <w:tc>
          <w:tcPr>
            <w:tcW w:w="146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980" w:type="dxa"/>
            <w:vAlign w:val="bottom"/>
            <w:tcBorders>
              <w:bottom w:val="single" w:sz="8" w:color="auto"/>
            </w:tcBorders>
          </w:tcPr>
          <w:p>
            <w:pPr>
              <w:jc w:val="center"/>
              <w:ind w:right="10"/>
              <w:spacing w:after="0"/>
              <w:rPr>
                <w:sz w:val="20"/>
                <w:szCs w:val="20"/>
                <w:color w:val="auto"/>
              </w:rPr>
            </w:pPr>
            <w:r>
              <w:rPr>
                <w:rFonts w:ascii="Arial" w:cs="Arial" w:eastAsia="Arial" w:hAnsi="Arial"/>
                <w:sz w:val="18"/>
                <w:szCs w:val="18"/>
                <w:b w:val="1"/>
                <w:bCs w:val="1"/>
                <w:color w:val="auto"/>
                <w:w w:val="84"/>
              </w:rPr>
              <w:t>Issued</w:t>
            </w:r>
          </w:p>
        </w:tc>
        <w:tc>
          <w:tcPr>
            <w:tcW w:w="100" w:type="dxa"/>
            <w:vAlign w:val="bottom"/>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820" w:type="dxa"/>
            <w:vAlign w:val="bottom"/>
            <w:tcBorders>
              <w:bottom w:val="single" w:sz="8" w:color="auto"/>
            </w:tcBorders>
          </w:tcPr>
          <w:p>
            <w:pPr>
              <w:jc w:val="right"/>
              <w:ind w:right="230"/>
              <w:spacing w:after="0"/>
              <w:rPr>
                <w:sz w:val="20"/>
                <w:szCs w:val="20"/>
                <w:color w:val="auto"/>
              </w:rPr>
            </w:pPr>
            <w:r>
              <w:rPr>
                <w:rFonts w:ascii="Arial" w:cs="Arial" w:eastAsia="Arial" w:hAnsi="Arial"/>
                <w:sz w:val="18"/>
                <w:szCs w:val="18"/>
                <w:b w:val="1"/>
                <w:bCs w:val="1"/>
                <w:color w:val="auto"/>
                <w:w w:val="97"/>
              </w:rPr>
              <w:t>Stock</w:t>
            </w:r>
          </w:p>
        </w:tc>
        <w:tc>
          <w:tcPr>
            <w:tcW w:w="100" w:type="dxa"/>
            <w:vAlign w:val="bottom"/>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860" w:type="dxa"/>
            <w:vAlign w:val="bottom"/>
            <w:tcBorders>
              <w:bottom w:val="single" w:sz="8" w:color="auto"/>
            </w:tcBorders>
          </w:tcPr>
          <w:p>
            <w:pPr>
              <w:jc w:val="center"/>
              <w:ind w:right="150"/>
              <w:spacing w:after="0"/>
              <w:rPr>
                <w:sz w:val="20"/>
                <w:szCs w:val="20"/>
                <w:color w:val="auto"/>
              </w:rPr>
            </w:pPr>
            <w:r>
              <w:rPr>
                <w:rFonts w:ascii="Arial" w:cs="Arial" w:eastAsia="Arial" w:hAnsi="Arial"/>
                <w:sz w:val="18"/>
                <w:szCs w:val="18"/>
                <w:b w:val="1"/>
                <w:bCs w:val="1"/>
                <w:color w:val="auto"/>
                <w:w w:val="96"/>
              </w:rPr>
              <w:t>Capital</w:t>
            </w:r>
          </w:p>
        </w:tc>
        <w:tc>
          <w:tcPr>
            <w:tcW w:w="120" w:type="dxa"/>
            <w:vAlign w:val="bottom"/>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960" w:type="dxa"/>
            <w:vAlign w:val="bottom"/>
            <w:tcBorders>
              <w:bottom w:val="single" w:sz="8" w:color="auto"/>
            </w:tcBorders>
          </w:tcPr>
          <w:p>
            <w:pPr>
              <w:jc w:val="right"/>
              <w:ind w:right="270"/>
              <w:spacing w:after="0"/>
              <w:rPr>
                <w:sz w:val="20"/>
                <w:szCs w:val="20"/>
                <w:color w:val="auto"/>
              </w:rPr>
            </w:pPr>
            <w:r>
              <w:rPr>
                <w:rFonts w:ascii="Arial" w:cs="Arial" w:eastAsia="Arial" w:hAnsi="Arial"/>
                <w:sz w:val="18"/>
                <w:szCs w:val="18"/>
                <w:b w:val="1"/>
                <w:bCs w:val="1"/>
                <w:color w:val="auto"/>
              </w:rPr>
              <w:t>Deficit</w:t>
            </w:r>
          </w:p>
        </w:tc>
        <w:tc>
          <w:tcPr>
            <w:tcW w:w="100" w:type="dxa"/>
            <w:vAlign w:val="bottom"/>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1080" w:type="dxa"/>
            <w:vAlign w:val="bottom"/>
            <w:tcBorders>
              <w:bottom w:val="single" w:sz="8" w:color="auto"/>
            </w:tcBorders>
          </w:tcPr>
          <w:p>
            <w:pPr>
              <w:jc w:val="center"/>
              <w:ind w:right="230"/>
              <w:spacing w:after="0"/>
              <w:rPr>
                <w:sz w:val="20"/>
                <w:szCs w:val="20"/>
                <w:color w:val="auto"/>
              </w:rPr>
            </w:pPr>
            <w:r>
              <w:rPr>
                <w:rFonts w:ascii="Arial" w:cs="Arial" w:eastAsia="Arial" w:hAnsi="Arial"/>
                <w:sz w:val="18"/>
                <w:szCs w:val="18"/>
                <w:b w:val="1"/>
                <w:bCs w:val="1"/>
                <w:color w:val="auto"/>
                <w:w w:val="85"/>
              </w:rPr>
              <w:t>Loss</w:t>
            </w:r>
          </w:p>
        </w:tc>
        <w:tc>
          <w:tcPr>
            <w:tcW w:w="100" w:type="dxa"/>
            <w:vAlign w:val="bottom"/>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900" w:type="dxa"/>
            <w:vAlign w:val="bottom"/>
            <w:tcBorders>
              <w:bottom w:val="single" w:sz="8" w:color="auto"/>
            </w:tcBorders>
          </w:tcPr>
          <w:p>
            <w:pPr>
              <w:jc w:val="right"/>
              <w:ind w:right="250"/>
              <w:spacing w:after="0"/>
              <w:rPr>
                <w:sz w:val="20"/>
                <w:szCs w:val="20"/>
                <w:color w:val="auto"/>
              </w:rPr>
            </w:pPr>
            <w:r>
              <w:rPr>
                <w:rFonts w:ascii="Arial" w:cs="Arial" w:eastAsia="Arial" w:hAnsi="Arial"/>
                <w:sz w:val="18"/>
                <w:szCs w:val="18"/>
                <w:b w:val="1"/>
                <w:bCs w:val="1"/>
                <w:color w:val="auto"/>
              </w:rPr>
              <w:t>Stock</w:t>
            </w:r>
          </w:p>
        </w:tc>
        <w:tc>
          <w:tcPr>
            <w:tcW w:w="100" w:type="dxa"/>
            <w:vAlign w:val="bottom"/>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980" w:type="dxa"/>
            <w:vAlign w:val="bottom"/>
            <w:tcBorders>
              <w:bottom w:val="single" w:sz="8" w:color="auto"/>
            </w:tcBorders>
          </w:tcPr>
          <w:p>
            <w:pPr>
              <w:jc w:val="right"/>
              <w:ind w:right="290"/>
              <w:spacing w:after="0"/>
              <w:rPr>
                <w:sz w:val="20"/>
                <w:szCs w:val="20"/>
                <w:color w:val="auto"/>
              </w:rPr>
            </w:pPr>
            <w:r>
              <w:rPr>
                <w:rFonts w:ascii="Arial" w:cs="Arial" w:eastAsia="Arial" w:hAnsi="Arial"/>
                <w:sz w:val="18"/>
                <w:szCs w:val="18"/>
                <w:b w:val="1"/>
                <w:bCs w:val="1"/>
                <w:color w:val="auto"/>
              </w:rPr>
              <w:t>Equity</w:t>
            </w:r>
          </w:p>
        </w:tc>
      </w:tr>
      <w:tr>
        <w:trPr>
          <w:trHeight w:val="209"/>
        </w:trPr>
        <w:tc>
          <w:tcPr>
            <w:tcW w:w="2740" w:type="dxa"/>
            <w:vAlign w:val="bottom"/>
            <w:gridSpan w:val="2"/>
            <w:shd w:val="clear" w:color="auto" w:fill="CCEEFF"/>
          </w:tcPr>
          <w:p>
            <w:pPr>
              <w:spacing w:after="0"/>
              <w:rPr>
                <w:sz w:val="20"/>
                <w:szCs w:val="20"/>
                <w:color w:val="auto"/>
              </w:rPr>
            </w:pPr>
            <w:r>
              <w:rPr>
                <w:rFonts w:ascii="Arial" w:cs="Arial" w:eastAsia="Arial" w:hAnsi="Arial"/>
                <w:sz w:val="18"/>
                <w:szCs w:val="18"/>
                <w:b w:val="1"/>
                <w:bCs w:val="1"/>
                <w:color w:val="auto"/>
              </w:rPr>
              <w:t>Balance at December 31, 2019</w:t>
            </w:r>
          </w:p>
        </w:tc>
        <w:tc>
          <w:tcPr>
            <w:tcW w:w="1320" w:type="dxa"/>
            <w:vAlign w:val="bottom"/>
            <w:gridSpan w:val="2"/>
            <w:shd w:val="clear" w:color="auto" w:fill="CCEEFF"/>
          </w:tcPr>
          <w:p>
            <w:pPr>
              <w:jc w:val="right"/>
              <w:ind w:right="10"/>
              <w:spacing w:after="0"/>
              <w:rPr>
                <w:sz w:val="20"/>
                <w:szCs w:val="20"/>
                <w:color w:val="auto"/>
              </w:rPr>
            </w:pPr>
            <w:r>
              <w:rPr>
                <w:rFonts w:ascii="Arial" w:cs="Arial" w:eastAsia="Arial" w:hAnsi="Arial"/>
                <w:sz w:val="18"/>
                <w:szCs w:val="18"/>
                <w:color w:val="auto"/>
              </w:rPr>
              <w:t>45,934</w:t>
            </w:r>
          </w:p>
        </w:tc>
        <w:tc>
          <w:tcPr>
            <w:tcW w:w="2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2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438</w:t>
            </w:r>
          </w:p>
        </w:tc>
        <w:tc>
          <w:tcPr>
            <w:tcW w:w="2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6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229,189</w:t>
            </w:r>
          </w:p>
        </w:tc>
        <w:tc>
          <w:tcPr>
            <w:tcW w:w="1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(124,576)</w:t>
            </w:r>
          </w:p>
        </w:tc>
        <w:tc>
          <w:tcPr>
            <w:tcW w:w="320" w:type="dxa"/>
            <w:vAlign w:val="bottom"/>
            <w:gridSpan w:val="2"/>
            <w:shd w:val="clear" w:color="auto" w:fill="CCEEFF"/>
          </w:tcPr>
          <w:p>
            <w:pPr>
              <w:ind w:left="100"/>
              <w:spacing w:after="0"/>
              <w:rPr>
                <w:sz w:val="20"/>
                <w:szCs w:val="20"/>
                <w:color w:val="auto"/>
              </w:rPr>
            </w:pPr>
            <w:r>
              <w:rPr>
                <w:rFonts w:ascii="Arial" w:cs="Arial" w:eastAsia="Arial" w:hAnsi="Arial"/>
                <w:sz w:val="18"/>
                <w:szCs w:val="18"/>
                <w:color w:val="auto"/>
              </w:rPr>
              <w:t>$</w:t>
            </w: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(12,689)</w:t>
            </w:r>
          </w:p>
        </w:tc>
        <w:tc>
          <w:tcPr>
            <w:tcW w:w="2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(10,668)</w:t>
            </w:r>
          </w:p>
        </w:tc>
        <w:tc>
          <w:tcPr>
            <w:tcW w:w="280" w:type="dxa"/>
            <w:vAlign w:val="bottom"/>
            <w:gridSpan w:val="2"/>
            <w:shd w:val="clear" w:color="auto" w:fill="CCEEFF"/>
          </w:tcPr>
          <w:p>
            <w:pPr>
              <w:ind w:left="100"/>
              <w:spacing w:after="0"/>
              <w:rPr>
                <w:sz w:val="20"/>
                <w:szCs w:val="20"/>
                <w:color w:val="auto"/>
              </w:rPr>
            </w:pPr>
            <w:r>
              <w:rPr>
                <w:rFonts w:ascii="Arial" w:cs="Arial" w:eastAsia="Arial" w:hAnsi="Arial"/>
                <w:sz w:val="18"/>
                <w:szCs w:val="18"/>
                <w:color w:val="auto"/>
              </w:rPr>
              <w:t>$</w:t>
            </w:r>
          </w:p>
        </w:tc>
        <w:tc>
          <w:tcPr>
            <w:tcW w:w="98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81,694</w:t>
            </w:r>
          </w:p>
        </w:tc>
      </w:tr>
      <w:tr>
        <w:trPr>
          <w:trHeight w:val="216"/>
        </w:trPr>
        <w:tc>
          <w:tcPr>
            <w:tcW w:w="2740" w:type="dxa"/>
            <w:vAlign w:val="bottom"/>
            <w:gridSpan w:val="2"/>
          </w:tcPr>
          <w:p>
            <w:pPr>
              <w:ind w:left="180"/>
              <w:spacing w:after="0"/>
              <w:rPr>
                <w:sz w:val="20"/>
                <w:szCs w:val="20"/>
                <w:color w:val="auto"/>
              </w:rPr>
            </w:pPr>
            <w:r>
              <w:rPr>
                <w:rFonts w:ascii="Arial" w:cs="Arial" w:eastAsia="Arial" w:hAnsi="Arial"/>
                <w:sz w:val="18"/>
                <w:szCs w:val="18"/>
                <w:color w:val="auto"/>
              </w:rPr>
              <w:t>Stock option exercises</w:t>
            </w:r>
          </w:p>
        </w:tc>
        <w:tc>
          <w:tcPr>
            <w:tcW w:w="1320" w:type="dxa"/>
            <w:vAlign w:val="bottom"/>
            <w:gridSpan w:val="2"/>
          </w:tcPr>
          <w:p>
            <w:pPr>
              <w:jc w:val="right"/>
              <w:ind w:right="10"/>
              <w:spacing w:after="0"/>
              <w:rPr>
                <w:sz w:val="20"/>
                <w:szCs w:val="20"/>
                <w:color w:val="auto"/>
              </w:rPr>
            </w:pPr>
            <w:r>
              <w:rPr>
                <w:rFonts w:ascii="Arial" w:cs="Arial" w:eastAsia="Arial" w:hAnsi="Arial"/>
                <w:sz w:val="18"/>
                <w:szCs w:val="18"/>
                <w:color w:val="auto"/>
              </w:rPr>
              <w:t>254</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20" w:type="dxa"/>
            <w:vAlign w:val="bottom"/>
          </w:tcPr>
          <w:p>
            <w:pPr>
              <w:jc w:val="right"/>
              <w:ind w:right="10"/>
              <w:spacing w:after="0"/>
              <w:rPr>
                <w:sz w:val="20"/>
                <w:szCs w:val="20"/>
                <w:color w:val="auto"/>
              </w:rPr>
            </w:pPr>
            <w:r>
              <w:rPr>
                <w:rFonts w:ascii="Arial" w:cs="Arial" w:eastAsia="Arial" w:hAnsi="Arial"/>
                <w:sz w:val="18"/>
                <w:szCs w:val="18"/>
                <w:color w:val="auto"/>
              </w:rPr>
              <w:t>4</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60" w:type="dxa"/>
            <w:vAlign w:val="bottom"/>
          </w:tcPr>
          <w:p>
            <w:pPr>
              <w:jc w:val="right"/>
              <w:ind w:right="10"/>
              <w:spacing w:after="0"/>
              <w:rPr>
                <w:sz w:val="20"/>
                <w:szCs w:val="20"/>
                <w:color w:val="auto"/>
              </w:rPr>
            </w:pPr>
            <w:r>
              <w:rPr>
                <w:rFonts w:ascii="Arial" w:cs="Arial" w:eastAsia="Arial" w:hAnsi="Arial"/>
                <w:sz w:val="18"/>
                <w:szCs w:val="18"/>
                <w:color w:val="auto"/>
              </w:rPr>
              <w:t>318</w:t>
            </w: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60" w:type="dxa"/>
            <w:vAlign w:val="bottom"/>
          </w:tcPr>
          <w:p>
            <w:pPr>
              <w:jc w:val="right"/>
              <w:ind w:right="3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80" w:type="dxa"/>
            <w:vAlign w:val="bottom"/>
          </w:tcPr>
          <w:p>
            <w:pPr>
              <w:jc w:val="right"/>
              <w:ind w:right="3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00" w:type="dxa"/>
            <w:vAlign w:val="bottom"/>
          </w:tcPr>
          <w:p>
            <w:pPr>
              <w:jc w:val="right"/>
              <w:ind w:right="3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80" w:type="dxa"/>
            <w:vAlign w:val="bottom"/>
          </w:tcPr>
          <w:p>
            <w:pPr>
              <w:jc w:val="right"/>
              <w:ind w:right="10"/>
              <w:spacing w:after="0"/>
              <w:rPr>
                <w:sz w:val="20"/>
                <w:szCs w:val="20"/>
                <w:color w:val="auto"/>
              </w:rPr>
            </w:pPr>
            <w:r>
              <w:rPr>
                <w:rFonts w:ascii="Arial" w:cs="Arial" w:eastAsia="Arial" w:hAnsi="Arial"/>
                <w:sz w:val="18"/>
                <w:szCs w:val="18"/>
                <w:color w:val="auto"/>
              </w:rPr>
              <w:t>322</w:t>
            </w:r>
          </w:p>
        </w:tc>
      </w:tr>
      <w:tr>
        <w:trPr>
          <w:trHeight w:val="216"/>
        </w:trPr>
        <w:tc>
          <w:tcPr>
            <w:tcW w:w="2740" w:type="dxa"/>
            <w:vAlign w:val="bottom"/>
            <w:gridSpan w:val="2"/>
            <w:shd w:val="clear" w:color="auto" w:fill="CCEEFF"/>
          </w:tcPr>
          <w:p>
            <w:pPr>
              <w:ind w:left="180"/>
              <w:spacing w:after="0"/>
              <w:rPr>
                <w:sz w:val="20"/>
                <w:szCs w:val="20"/>
                <w:color w:val="auto"/>
              </w:rPr>
            </w:pPr>
            <w:r>
              <w:rPr>
                <w:rFonts w:ascii="Arial" w:cs="Arial" w:eastAsia="Arial" w:hAnsi="Arial"/>
                <w:sz w:val="18"/>
                <w:szCs w:val="18"/>
                <w:color w:val="auto"/>
              </w:rPr>
              <w:t>Stock purchase plan</w:t>
            </w:r>
          </w:p>
        </w:tc>
        <w:tc>
          <w:tcPr>
            <w:tcW w:w="1320" w:type="dxa"/>
            <w:vAlign w:val="bottom"/>
            <w:gridSpan w:val="2"/>
            <w:shd w:val="clear" w:color="auto" w:fill="CCEEFF"/>
          </w:tcPr>
          <w:p>
            <w:pPr>
              <w:jc w:val="right"/>
              <w:ind w:right="10"/>
              <w:spacing w:after="0"/>
              <w:rPr>
                <w:sz w:val="20"/>
                <w:szCs w:val="20"/>
                <w:color w:val="auto"/>
              </w:rPr>
            </w:pPr>
            <w:r>
              <w:rPr>
                <w:rFonts w:ascii="Arial" w:cs="Arial" w:eastAsia="Arial" w:hAnsi="Arial"/>
                <w:sz w:val="18"/>
                <w:szCs w:val="18"/>
                <w:color w:val="auto"/>
              </w:rPr>
              <w:t>126</w:t>
            </w: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2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2</w:t>
            </w: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6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345</w:t>
            </w:r>
          </w:p>
        </w:tc>
        <w:tc>
          <w:tcPr>
            <w:tcW w:w="1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6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8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0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8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347</w:t>
            </w:r>
          </w:p>
        </w:tc>
      </w:tr>
      <w:tr>
        <w:trPr>
          <w:trHeight w:val="216"/>
        </w:trPr>
        <w:tc>
          <w:tcPr>
            <w:tcW w:w="2740" w:type="dxa"/>
            <w:vAlign w:val="bottom"/>
            <w:gridSpan w:val="2"/>
          </w:tcPr>
          <w:p>
            <w:pPr>
              <w:ind w:left="180"/>
              <w:spacing w:after="0"/>
              <w:rPr>
                <w:sz w:val="20"/>
                <w:szCs w:val="20"/>
                <w:color w:val="auto"/>
              </w:rPr>
            </w:pPr>
            <w:r>
              <w:rPr>
                <w:rFonts w:ascii="Arial" w:cs="Arial" w:eastAsia="Arial" w:hAnsi="Arial"/>
                <w:sz w:val="18"/>
                <w:szCs w:val="18"/>
                <w:color w:val="auto"/>
              </w:rPr>
              <w:t>Vesting of restricted stock units</w:t>
            </w:r>
          </w:p>
        </w:tc>
        <w:tc>
          <w:tcPr>
            <w:tcW w:w="1320" w:type="dxa"/>
            <w:vAlign w:val="bottom"/>
            <w:gridSpan w:val="2"/>
          </w:tcPr>
          <w:p>
            <w:pPr>
              <w:jc w:val="right"/>
              <w:ind w:right="10"/>
              <w:spacing w:after="0"/>
              <w:rPr>
                <w:sz w:val="20"/>
                <w:szCs w:val="20"/>
                <w:color w:val="auto"/>
              </w:rPr>
            </w:pPr>
            <w:r>
              <w:rPr>
                <w:rFonts w:ascii="Arial" w:cs="Arial" w:eastAsia="Arial" w:hAnsi="Arial"/>
                <w:sz w:val="18"/>
                <w:szCs w:val="18"/>
                <w:color w:val="auto"/>
              </w:rPr>
              <w:t>1,171</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20" w:type="dxa"/>
            <w:vAlign w:val="bottom"/>
          </w:tcPr>
          <w:p>
            <w:pPr>
              <w:jc w:val="right"/>
              <w:ind w:right="1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60" w:type="dxa"/>
            <w:vAlign w:val="bottom"/>
          </w:tcPr>
          <w:p>
            <w:pPr>
              <w:jc w:val="right"/>
              <w:ind w:right="1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60" w:type="dxa"/>
            <w:vAlign w:val="bottom"/>
          </w:tcPr>
          <w:p>
            <w:pPr>
              <w:jc w:val="right"/>
              <w:ind w:right="3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80" w:type="dxa"/>
            <w:vAlign w:val="bottom"/>
          </w:tcPr>
          <w:p>
            <w:pPr>
              <w:jc w:val="right"/>
              <w:ind w:right="3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00" w:type="dxa"/>
            <w:vAlign w:val="bottom"/>
          </w:tcPr>
          <w:p>
            <w:pPr>
              <w:jc w:val="right"/>
              <w:ind w:right="3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80" w:type="dxa"/>
            <w:vAlign w:val="bottom"/>
          </w:tcPr>
          <w:p>
            <w:pPr>
              <w:jc w:val="right"/>
              <w:ind w:right="10"/>
              <w:spacing w:after="0"/>
              <w:rPr>
                <w:sz w:val="20"/>
                <w:szCs w:val="20"/>
                <w:color w:val="auto"/>
              </w:rPr>
            </w:pPr>
            <w:r>
              <w:rPr>
                <w:rFonts w:ascii="Arial" w:cs="Arial" w:eastAsia="Arial" w:hAnsi="Arial"/>
                <w:sz w:val="18"/>
                <w:szCs w:val="18"/>
                <w:color w:val="auto"/>
              </w:rPr>
              <w:t>-</w:t>
            </w:r>
          </w:p>
        </w:tc>
      </w:tr>
      <w:tr>
        <w:trPr>
          <w:trHeight w:val="216"/>
        </w:trPr>
        <w:tc>
          <w:tcPr>
            <w:tcW w:w="2740" w:type="dxa"/>
            <w:vAlign w:val="bottom"/>
            <w:gridSpan w:val="2"/>
            <w:shd w:val="clear" w:color="auto" w:fill="CCEEFF"/>
          </w:tcPr>
          <w:p>
            <w:pPr>
              <w:ind w:left="180"/>
              <w:spacing w:after="0"/>
              <w:rPr>
                <w:sz w:val="20"/>
                <w:szCs w:val="20"/>
                <w:color w:val="auto"/>
              </w:rPr>
            </w:pPr>
            <w:r>
              <w:rPr>
                <w:rFonts w:ascii="Arial" w:cs="Arial" w:eastAsia="Arial" w:hAnsi="Arial"/>
                <w:sz w:val="18"/>
                <w:szCs w:val="18"/>
                <w:color w:val="auto"/>
              </w:rPr>
              <w:t>Shares withheld for taxes</w:t>
            </w:r>
          </w:p>
        </w:tc>
        <w:tc>
          <w:tcPr>
            <w:tcW w:w="13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(332)</w:t>
            </w: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2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(1,142)</w:t>
            </w:r>
          </w:p>
        </w:tc>
        <w:tc>
          <w:tcPr>
            <w:tcW w:w="1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6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8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0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(1,142)</w:t>
            </w:r>
          </w:p>
        </w:tc>
      </w:tr>
      <w:tr>
        <w:trPr>
          <w:trHeight w:val="216"/>
        </w:trPr>
        <w:tc>
          <w:tcPr>
            <w:tcW w:w="2740" w:type="dxa"/>
            <w:vAlign w:val="bottom"/>
            <w:gridSpan w:val="2"/>
          </w:tcPr>
          <w:p>
            <w:pPr>
              <w:ind w:left="180"/>
              <w:spacing w:after="0"/>
              <w:rPr>
                <w:sz w:val="20"/>
                <w:szCs w:val="20"/>
                <w:color w:val="auto"/>
              </w:rPr>
            </w:pPr>
            <w:r>
              <w:rPr>
                <w:rFonts w:ascii="Arial" w:cs="Arial" w:eastAsia="Arial" w:hAnsi="Arial"/>
                <w:sz w:val="18"/>
                <w:szCs w:val="18"/>
                <w:color w:val="auto"/>
              </w:rPr>
              <w:t>Stock compensation expense</w:t>
            </w:r>
          </w:p>
        </w:tc>
        <w:tc>
          <w:tcPr>
            <w:tcW w:w="1320" w:type="dxa"/>
            <w:vAlign w:val="bottom"/>
            <w:gridSpan w:val="2"/>
          </w:tcPr>
          <w:p>
            <w:pPr>
              <w:jc w:val="right"/>
              <w:ind w:right="1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20" w:type="dxa"/>
            <w:vAlign w:val="bottom"/>
          </w:tcPr>
          <w:p>
            <w:pPr>
              <w:jc w:val="right"/>
              <w:ind w:right="1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60" w:type="dxa"/>
            <w:vAlign w:val="bottom"/>
          </w:tcPr>
          <w:p>
            <w:pPr>
              <w:jc w:val="right"/>
              <w:ind w:right="10"/>
              <w:spacing w:after="0"/>
              <w:rPr>
                <w:sz w:val="20"/>
                <w:szCs w:val="20"/>
                <w:color w:val="auto"/>
              </w:rPr>
            </w:pPr>
            <w:r>
              <w:rPr>
                <w:rFonts w:ascii="Arial" w:cs="Arial" w:eastAsia="Arial" w:hAnsi="Arial"/>
                <w:sz w:val="18"/>
                <w:szCs w:val="18"/>
                <w:color w:val="auto"/>
              </w:rPr>
              <w:t>3,647</w:t>
            </w: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60" w:type="dxa"/>
            <w:vAlign w:val="bottom"/>
          </w:tcPr>
          <w:p>
            <w:pPr>
              <w:jc w:val="right"/>
              <w:ind w:right="3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80" w:type="dxa"/>
            <w:vAlign w:val="bottom"/>
          </w:tcPr>
          <w:p>
            <w:pPr>
              <w:jc w:val="right"/>
              <w:ind w:right="3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00" w:type="dxa"/>
            <w:vAlign w:val="bottom"/>
          </w:tcPr>
          <w:p>
            <w:pPr>
              <w:jc w:val="right"/>
              <w:ind w:right="3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80" w:type="dxa"/>
            <w:vAlign w:val="bottom"/>
          </w:tcPr>
          <w:p>
            <w:pPr>
              <w:jc w:val="right"/>
              <w:ind w:right="10"/>
              <w:spacing w:after="0"/>
              <w:rPr>
                <w:sz w:val="20"/>
                <w:szCs w:val="20"/>
                <w:color w:val="auto"/>
              </w:rPr>
            </w:pPr>
            <w:r>
              <w:rPr>
                <w:rFonts w:ascii="Arial" w:cs="Arial" w:eastAsia="Arial" w:hAnsi="Arial"/>
                <w:sz w:val="18"/>
                <w:szCs w:val="18"/>
                <w:color w:val="auto"/>
              </w:rPr>
              <w:t>3,647</w:t>
            </w:r>
          </w:p>
        </w:tc>
      </w:tr>
      <w:tr>
        <w:trPr>
          <w:trHeight w:val="216"/>
        </w:trPr>
        <w:tc>
          <w:tcPr>
            <w:tcW w:w="2740" w:type="dxa"/>
            <w:vAlign w:val="bottom"/>
            <w:gridSpan w:val="2"/>
            <w:shd w:val="clear" w:color="auto" w:fill="CCEEFF"/>
          </w:tcPr>
          <w:p>
            <w:pPr>
              <w:ind w:left="180"/>
              <w:spacing w:after="0"/>
              <w:rPr>
                <w:sz w:val="20"/>
                <w:szCs w:val="20"/>
                <w:color w:val="auto"/>
              </w:rPr>
            </w:pPr>
            <w:r>
              <w:rPr>
                <w:rFonts w:ascii="Arial" w:cs="Arial" w:eastAsia="Arial" w:hAnsi="Arial"/>
                <w:sz w:val="18"/>
                <w:szCs w:val="18"/>
                <w:color w:val="auto"/>
              </w:rPr>
              <w:t>Net loss</w:t>
            </w:r>
          </w:p>
        </w:tc>
        <w:tc>
          <w:tcPr>
            <w:tcW w:w="1320" w:type="dxa"/>
            <w:vAlign w:val="bottom"/>
            <w:gridSpan w:val="2"/>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2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6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(7,810)</w:t>
            </w:r>
          </w:p>
        </w:tc>
        <w:tc>
          <w:tcPr>
            <w:tcW w:w="1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8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0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(7,810)</w:t>
            </w:r>
          </w:p>
        </w:tc>
      </w:tr>
      <w:tr>
        <w:trPr>
          <w:trHeight w:val="216"/>
        </w:trPr>
        <w:tc>
          <w:tcPr>
            <w:tcW w:w="2740" w:type="dxa"/>
            <w:vAlign w:val="bottom"/>
            <w:gridSpan w:val="2"/>
          </w:tcPr>
          <w:p>
            <w:pPr>
              <w:ind w:left="180"/>
              <w:spacing w:after="0"/>
              <w:rPr>
                <w:sz w:val="20"/>
                <w:szCs w:val="20"/>
                <w:color w:val="auto"/>
              </w:rPr>
            </w:pPr>
            <w:r>
              <w:rPr>
                <w:rFonts w:ascii="Arial" w:cs="Arial" w:eastAsia="Arial" w:hAnsi="Arial"/>
                <w:sz w:val="18"/>
                <w:szCs w:val="18"/>
                <w:color w:val="auto"/>
              </w:rPr>
              <w:t>Other comprehensive loss</w:t>
            </w:r>
          </w:p>
        </w:tc>
        <w:tc>
          <w:tcPr>
            <w:tcW w:w="340" w:type="dxa"/>
            <w:vAlign w:val="bottom"/>
          </w:tcPr>
          <w:p>
            <w:pPr>
              <w:spacing w:after="0"/>
              <w:rPr>
                <w:sz w:val="18"/>
                <w:szCs w:val="18"/>
                <w:color w:val="auto"/>
              </w:rPr>
            </w:pPr>
          </w:p>
        </w:tc>
        <w:tc>
          <w:tcPr>
            <w:tcW w:w="98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82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86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96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(377)</w:t>
            </w:r>
          </w:p>
        </w:tc>
        <w:tc>
          <w:tcPr>
            <w:tcW w:w="100" w:type="dxa"/>
            <w:vAlign w:val="bottom"/>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90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(377)</w:t>
            </w:r>
          </w:p>
        </w:tc>
      </w:tr>
      <w:tr>
        <w:trPr>
          <w:trHeight w:val="210"/>
        </w:trPr>
        <w:tc>
          <w:tcPr>
            <w:tcW w:w="2740" w:type="dxa"/>
            <w:vAlign w:val="bottom"/>
            <w:gridSpan w:val="2"/>
            <w:shd w:val="clear" w:color="auto" w:fill="CCEEFF"/>
          </w:tcPr>
          <w:p>
            <w:pPr>
              <w:spacing w:after="0"/>
              <w:rPr>
                <w:sz w:val="20"/>
                <w:szCs w:val="20"/>
                <w:color w:val="auto"/>
              </w:rPr>
            </w:pPr>
            <w:r>
              <w:rPr>
                <w:rFonts w:ascii="Arial" w:cs="Arial" w:eastAsia="Arial" w:hAnsi="Arial"/>
                <w:sz w:val="18"/>
                <w:szCs w:val="18"/>
                <w:b w:val="1"/>
                <w:bCs w:val="1"/>
                <w:color w:val="auto"/>
              </w:rPr>
              <w:t>Balance at December 31, 2020</w:t>
            </w:r>
          </w:p>
        </w:tc>
        <w:tc>
          <w:tcPr>
            <w:tcW w:w="340" w:type="dxa"/>
            <w:vAlign w:val="bottom"/>
            <w:shd w:val="clear" w:color="auto" w:fill="CCEEFF"/>
          </w:tcPr>
          <w:p>
            <w:pPr>
              <w:spacing w:after="0"/>
              <w:rPr>
                <w:sz w:val="18"/>
                <w:szCs w:val="18"/>
                <w:color w:val="auto"/>
              </w:rPr>
            </w:pPr>
          </w:p>
        </w:tc>
        <w:tc>
          <w:tcPr>
            <w:tcW w:w="98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47,153</w:t>
            </w: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82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444</w:t>
            </w: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86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232,357</w:t>
            </w:r>
          </w:p>
        </w:tc>
        <w:tc>
          <w:tcPr>
            <w:tcW w:w="1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(132,386)</w:t>
            </w:r>
          </w:p>
        </w:tc>
        <w:tc>
          <w:tcPr>
            <w:tcW w:w="1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(13,066)</w:t>
            </w: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(10,668)</w:t>
            </w:r>
          </w:p>
        </w:tc>
        <w:tc>
          <w:tcPr>
            <w:tcW w:w="280" w:type="dxa"/>
            <w:vAlign w:val="bottom"/>
            <w:gridSpan w:val="2"/>
            <w:shd w:val="clear" w:color="auto" w:fill="CCEEFF"/>
          </w:tcPr>
          <w:p>
            <w:pPr>
              <w:ind w:left="100"/>
              <w:spacing w:after="0"/>
              <w:rPr>
                <w:sz w:val="20"/>
                <w:szCs w:val="20"/>
                <w:color w:val="auto"/>
              </w:rPr>
            </w:pPr>
            <w:r>
              <w:rPr>
                <w:rFonts w:ascii="Arial" w:cs="Arial" w:eastAsia="Arial" w:hAnsi="Arial"/>
                <w:sz w:val="18"/>
                <w:szCs w:val="18"/>
                <w:color w:val="auto"/>
              </w:rPr>
              <w:t>$</w:t>
            </w:r>
          </w:p>
        </w:tc>
        <w:tc>
          <w:tcPr>
            <w:tcW w:w="98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76,681</w:t>
            </w:r>
          </w:p>
        </w:tc>
      </w:tr>
      <w:tr>
        <w:trPr>
          <w:trHeight w:val="209"/>
        </w:trPr>
        <w:tc>
          <w:tcPr>
            <w:tcW w:w="2740" w:type="dxa"/>
            <w:vAlign w:val="bottom"/>
            <w:tcBorders>
              <w:top w:val="single" w:sz="8" w:color="CCEEFF"/>
            </w:tcBorders>
            <w:gridSpan w:val="2"/>
          </w:tcPr>
          <w:p>
            <w:pPr>
              <w:ind w:left="180"/>
              <w:spacing w:after="0"/>
              <w:rPr>
                <w:sz w:val="20"/>
                <w:szCs w:val="20"/>
                <w:color w:val="auto"/>
              </w:rPr>
            </w:pPr>
            <w:r>
              <w:rPr>
                <w:rFonts w:ascii="Arial" w:cs="Arial" w:eastAsia="Arial" w:hAnsi="Arial"/>
                <w:sz w:val="18"/>
                <w:szCs w:val="18"/>
                <w:color w:val="auto"/>
              </w:rPr>
              <w:t>Retirement of treasury stock</w:t>
            </w:r>
          </w:p>
        </w:tc>
        <w:tc>
          <w:tcPr>
            <w:tcW w:w="340" w:type="dxa"/>
            <w:vAlign w:val="bottom"/>
            <w:tcBorders>
              <w:top w:val="single" w:sz="8" w:color="CCEEFF"/>
            </w:tcBorders>
          </w:tcPr>
          <w:p>
            <w:pPr>
              <w:spacing w:after="0"/>
              <w:rPr>
                <w:sz w:val="18"/>
                <w:szCs w:val="18"/>
                <w:color w:val="auto"/>
              </w:rPr>
            </w:pPr>
          </w:p>
        </w:tc>
        <w:tc>
          <w:tcPr>
            <w:tcW w:w="9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(7,746)</w:t>
            </w:r>
          </w:p>
        </w:tc>
        <w:tc>
          <w:tcPr>
            <w:tcW w:w="100" w:type="dxa"/>
            <w:vAlign w:val="bottom"/>
            <w:tcBorders>
              <w:top w:val="single" w:sz="8" w:color="CCEEFF"/>
            </w:tcBorders>
          </w:tcPr>
          <w:p>
            <w:pPr>
              <w:spacing w:after="0"/>
              <w:rPr>
                <w:sz w:val="18"/>
                <w:szCs w:val="18"/>
                <w:color w:val="auto"/>
              </w:rPr>
            </w:pPr>
          </w:p>
        </w:tc>
        <w:tc>
          <w:tcPr>
            <w:tcW w:w="160" w:type="dxa"/>
            <w:vAlign w:val="bottom"/>
            <w:tcBorders>
              <w:top w:val="single" w:sz="8" w:color="auto"/>
            </w:tcBorders>
          </w:tcPr>
          <w:p>
            <w:pPr>
              <w:spacing w:after="0"/>
              <w:rPr>
                <w:sz w:val="18"/>
                <w:szCs w:val="18"/>
                <w:color w:val="auto"/>
              </w:rPr>
            </w:pPr>
          </w:p>
        </w:tc>
        <w:tc>
          <w:tcPr>
            <w:tcW w:w="82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w:t>
            </w:r>
          </w:p>
        </w:tc>
        <w:tc>
          <w:tcPr>
            <w:tcW w:w="100" w:type="dxa"/>
            <w:vAlign w:val="bottom"/>
            <w:tcBorders>
              <w:top w:val="single" w:sz="8" w:color="CCEEFF"/>
            </w:tcBorders>
          </w:tcPr>
          <w:p>
            <w:pPr>
              <w:spacing w:after="0"/>
              <w:rPr>
                <w:sz w:val="18"/>
                <w:szCs w:val="18"/>
                <w:color w:val="auto"/>
              </w:rPr>
            </w:pPr>
          </w:p>
        </w:tc>
        <w:tc>
          <w:tcPr>
            <w:tcW w:w="140" w:type="dxa"/>
            <w:vAlign w:val="bottom"/>
            <w:tcBorders>
              <w:top w:val="single" w:sz="8" w:color="auto"/>
            </w:tcBorders>
          </w:tcPr>
          <w:p>
            <w:pPr>
              <w:spacing w:after="0"/>
              <w:rPr>
                <w:sz w:val="18"/>
                <w:szCs w:val="18"/>
                <w:color w:val="auto"/>
              </w:rPr>
            </w:pPr>
          </w:p>
        </w:tc>
        <w:tc>
          <w:tcPr>
            <w:tcW w:w="8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(10,668)</w:t>
            </w:r>
          </w:p>
        </w:tc>
        <w:tc>
          <w:tcPr>
            <w:tcW w:w="120" w:type="dxa"/>
            <w:vAlign w:val="bottom"/>
            <w:tcBorders>
              <w:top w:val="single" w:sz="8" w:color="CCEEFF"/>
            </w:tcBorders>
          </w:tcPr>
          <w:p>
            <w:pPr>
              <w:spacing w:after="0"/>
              <w:rPr>
                <w:sz w:val="18"/>
                <w:szCs w:val="18"/>
                <w:color w:val="auto"/>
              </w:rPr>
            </w:pPr>
          </w:p>
        </w:tc>
        <w:tc>
          <w:tcPr>
            <w:tcW w:w="160" w:type="dxa"/>
            <w:vAlign w:val="bottom"/>
            <w:tcBorders>
              <w:top w:val="single" w:sz="8" w:color="auto"/>
            </w:tcBorders>
          </w:tcPr>
          <w:p>
            <w:pPr>
              <w:spacing w:after="0"/>
              <w:rPr>
                <w:sz w:val="18"/>
                <w:szCs w:val="18"/>
                <w:color w:val="auto"/>
              </w:rPr>
            </w:pPr>
          </w:p>
        </w:tc>
        <w:tc>
          <w:tcPr>
            <w:tcW w:w="960" w:type="dxa"/>
            <w:vAlign w:val="bottom"/>
            <w:tcBorders>
              <w:top w:val="single" w:sz="8" w:color="auto"/>
            </w:tcBorders>
          </w:tcPr>
          <w:p>
            <w:pPr>
              <w:jc w:val="right"/>
              <w:ind w:right="30"/>
              <w:spacing w:after="0"/>
              <w:rPr>
                <w:sz w:val="20"/>
                <w:szCs w:val="20"/>
                <w:color w:val="auto"/>
              </w:rPr>
            </w:pPr>
            <w:r>
              <w:rPr>
                <w:rFonts w:ascii="Arial" w:cs="Arial" w:eastAsia="Arial" w:hAnsi="Arial"/>
                <w:sz w:val="18"/>
                <w:szCs w:val="18"/>
                <w:color w:val="auto"/>
              </w:rPr>
              <w:t>-</w:t>
            </w:r>
          </w:p>
        </w:tc>
        <w:tc>
          <w:tcPr>
            <w:tcW w:w="100" w:type="dxa"/>
            <w:vAlign w:val="bottom"/>
            <w:tcBorders>
              <w:top w:val="single" w:sz="8" w:color="CCEEFF"/>
            </w:tcBorders>
          </w:tcPr>
          <w:p>
            <w:pPr>
              <w:spacing w:after="0"/>
              <w:rPr>
                <w:sz w:val="18"/>
                <w:szCs w:val="18"/>
                <w:color w:val="auto"/>
              </w:rPr>
            </w:pPr>
          </w:p>
        </w:tc>
        <w:tc>
          <w:tcPr>
            <w:tcW w:w="220" w:type="dxa"/>
            <w:vAlign w:val="bottom"/>
            <w:tcBorders>
              <w:top w:val="single" w:sz="8" w:color="auto"/>
            </w:tcBorders>
          </w:tcPr>
          <w:p>
            <w:pPr>
              <w:spacing w:after="0"/>
              <w:rPr>
                <w:sz w:val="18"/>
                <w:szCs w:val="18"/>
                <w:color w:val="auto"/>
              </w:rPr>
            </w:pPr>
          </w:p>
        </w:tc>
        <w:tc>
          <w:tcPr>
            <w:tcW w:w="1080" w:type="dxa"/>
            <w:vAlign w:val="bottom"/>
            <w:tcBorders>
              <w:top w:val="single" w:sz="8" w:color="auto"/>
            </w:tcBorders>
          </w:tcPr>
          <w:p>
            <w:pPr>
              <w:jc w:val="right"/>
              <w:ind w:right="30"/>
              <w:spacing w:after="0"/>
              <w:rPr>
                <w:sz w:val="20"/>
                <w:szCs w:val="20"/>
                <w:color w:val="auto"/>
              </w:rPr>
            </w:pPr>
            <w:r>
              <w:rPr>
                <w:rFonts w:ascii="Arial" w:cs="Arial" w:eastAsia="Arial" w:hAnsi="Arial"/>
                <w:sz w:val="18"/>
                <w:szCs w:val="18"/>
                <w:color w:val="auto"/>
              </w:rPr>
              <w:t>-</w:t>
            </w:r>
          </w:p>
        </w:tc>
        <w:tc>
          <w:tcPr>
            <w:tcW w:w="100" w:type="dxa"/>
            <w:vAlign w:val="bottom"/>
            <w:tcBorders>
              <w:top w:val="single" w:sz="8" w:color="CCEEFF"/>
            </w:tcBorders>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900" w:type="dxa"/>
            <w:vAlign w:val="bottom"/>
            <w:tcBorders>
              <w:top w:val="single" w:sz="8" w:color="auto"/>
            </w:tcBorders>
          </w:tcPr>
          <w:p>
            <w:pPr>
              <w:jc w:val="right"/>
              <w:ind w:right="30"/>
              <w:spacing w:after="0"/>
              <w:rPr>
                <w:sz w:val="20"/>
                <w:szCs w:val="20"/>
                <w:color w:val="auto"/>
              </w:rPr>
            </w:pPr>
            <w:r>
              <w:rPr>
                <w:rFonts w:ascii="Arial" w:cs="Arial" w:eastAsia="Arial" w:hAnsi="Arial"/>
                <w:sz w:val="18"/>
                <w:szCs w:val="18"/>
                <w:color w:val="auto"/>
              </w:rPr>
              <w:t>10,668</w:t>
            </w:r>
          </w:p>
        </w:tc>
        <w:tc>
          <w:tcPr>
            <w:tcW w:w="100" w:type="dxa"/>
            <w:vAlign w:val="bottom"/>
            <w:tcBorders>
              <w:top w:val="single" w:sz="8" w:color="CCEEFF"/>
            </w:tcBorders>
          </w:tcPr>
          <w:p>
            <w:pPr>
              <w:spacing w:after="0"/>
              <w:rPr>
                <w:sz w:val="18"/>
                <w:szCs w:val="18"/>
                <w:color w:val="auto"/>
              </w:rPr>
            </w:pPr>
          </w:p>
        </w:tc>
        <w:tc>
          <w:tcPr>
            <w:tcW w:w="180" w:type="dxa"/>
            <w:vAlign w:val="bottom"/>
            <w:tcBorders>
              <w:top w:val="single" w:sz="8" w:color="auto"/>
            </w:tcBorders>
          </w:tcPr>
          <w:p>
            <w:pPr>
              <w:spacing w:after="0"/>
              <w:rPr>
                <w:sz w:val="18"/>
                <w:szCs w:val="18"/>
                <w:color w:val="auto"/>
              </w:rPr>
            </w:pPr>
          </w:p>
        </w:tc>
        <w:tc>
          <w:tcPr>
            <w:tcW w:w="98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w:t>
            </w:r>
          </w:p>
        </w:tc>
      </w:tr>
      <w:tr>
        <w:trPr>
          <w:trHeight w:val="216"/>
        </w:trPr>
        <w:tc>
          <w:tcPr>
            <w:tcW w:w="2740" w:type="dxa"/>
            <w:vAlign w:val="bottom"/>
            <w:gridSpan w:val="2"/>
            <w:shd w:val="clear" w:color="auto" w:fill="CCEEFF"/>
          </w:tcPr>
          <w:p>
            <w:pPr>
              <w:ind w:left="180"/>
              <w:spacing w:after="0"/>
              <w:rPr>
                <w:sz w:val="20"/>
                <w:szCs w:val="20"/>
                <w:color w:val="auto"/>
              </w:rPr>
            </w:pPr>
            <w:r>
              <w:rPr>
                <w:rFonts w:ascii="Arial" w:cs="Arial" w:eastAsia="Arial" w:hAnsi="Arial"/>
                <w:sz w:val="18"/>
                <w:szCs w:val="18"/>
                <w:color w:val="auto"/>
              </w:rPr>
              <w:t>Stock option exercises</w:t>
            </w:r>
          </w:p>
        </w:tc>
        <w:tc>
          <w:tcPr>
            <w:tcW w:w="1320" w:type="dxa"/>
            <w:vAlign w:val="bottom"/>
            <w:gridSpan w:val="2"/>
            <w:shd w:val="clear" w:color="auto" w:fill="CCEEFF"/>
          </w:tcPr>
          <w:p>
            <w:pPr>
              <w:jc w:val="right"/>
              <w:ind w:right="10"/>
              <w:spacing w:after="0"/>
              <w:rPr>
                <w:sz w:val="20"/>
                <w:szCs w:val="20"/>
                <w:color w:val="auto"/>
              </w:rPr>
            </w:pPr>
            <w:r>
              <w:rPr>
                <w:rFonts w:ascii="Arial" w:cs="Arial" w:eastAsia="Arial" w:hAnsi="Arial"/>
                <w:sz w:val="18"/>
                <w:szCs w:val="18"/>
                <w:color w:val="auto"/>
              </w:rPr>
              <w:t>580</w:t>
            </w: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2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8</w:t>
            </w: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6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2,869</w:t>
            </w:r>
          </w:p>
        </w:tc>
        <w:tc>
          <w:tcPr>
            <w:tcW w:w="1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6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8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0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8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2,877</w:t>
            </w:r>
          </w:p>
        </w:tc>
      </w:tr>
      <w:tr>
        <w:trPr>
          <w:trHeight w:val="216"/>
        </w:trPr>
        <w:tc>
          <w:tcPr>
            <w:tcW w:w="2740" w:type="dxa"/>
            <w:vAlign w:val="bottom"/>
            <w:gridSpan w:val="2"/>
          </w:tcPr>
          <w:p>
            <w:pPr>
              <w:ind w:left="180"/>
              <w:spacing w:after="0"/>
              <w:rPr>
                <w:sz w:val="20"/>
                <w:szCs w:val="20"/>
                <w:color w:val="auto"/>
              </w:rPr>
            </w:pPr>
            <w:r>
              <w:rPr>
                <w:rFonts w:ascii="Arial" w:cs="Arial" w:eastAsia="Arial" w:hAnsi="Arial"/>
                <w:sz w:val="18"/>
                <w:szCs w:val="18"/>
                <w:color w:val="auto"/>
              </w:rPr>
              <w:t>Stock purchase plan</w:t>
            </w:r>
          </w:p>
        </w:tc>
        <w:tc>
          <w:tcPr>
            <w:tcW w:w="1320" w:type="dxa"/>
            <w:vAlign w:val="bottom"/>
            <w:gridSpan w:val="2"/>
          </w:tcPr>
          <w:p>
            <w:pPr>
              <w:jc w:val="right"/>
              <w:ind w:right="10"/>
              <w:spacing w:after="0"/>
              <w:rPr>
                <w:sz w:val="20"/>
                <w:szCs w:val="20"/>
                <w:color w:val="auto"/>
              </w:rPr>
            </w:pPr>
            <w:r>
              <w:rPr>
                <w:rFonts w:ascii="Arial" w:cs="Arial" w:eastAsia="Arial" w:hAnsi="Arial"/>
                <w:sz w:val="18"/>
                <w:szCs w:val="18"/>
                <w:color w:val="auto"/>
              </w:rPr>
              <w:t>96</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20" w:type="dxa"/>
            <w:vAlign w:val="bottom"/>
          </w:tcPr>
          <w:p>
            <w:pPr>
              <w:jc w:val="right"/>
              <w:ind w:right="1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60" w:type="dxa"/>
            <w:vAlign w:val="bottom"/>
          </w:tcPr>
          <w:p>
            <w:pPr>
              <w:jc w:val="right"/>
              <w:ind w:right="10"/>
              <w:spacing w:after="0"/>
              <w:rPr>
                <w:sz w:val="20"/>
                <w:szCs w:val="20"/>
                <w:color w:val="auto"/>
              </w:rPr>
            </w:pPr>
            <w:r>
              <w:rPr>
                <w:rFonts w:ascii="Arial" w:cs="Arial" w:eastAsia="Arial" w:hAnsi="Arial"/>
                <w:sz w:val="18"/>
                <w:szCs w:val="18"/>
                <w:color w:val="auto"/>
              </w:rPr>
              <w:t>437</w:t>
            </w: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60" w:type="dxa"/>
            <w:vAlign w:val="bottom"/>
          </w:tcPr>
          <w:p>
            <w:pPr>
              <w:jc w:val="right"/>
              <w:ind w:right="3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80" w:type="dxa"/>
            <w:vAlign w:val="bottom"/>
          </w:tcPr>
          <w:p>
            <w:pPr>
              <w:jc w:val="right"/>
              <w:ind w:right="3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00" w:type="dxa"/>
            <w:vAlign w:val="bottom"/>
          </w:tcPr>
          <w:p>
            <w:pPr>
              <w:jc w:val="right"/>
              <w:ind w:right="3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80" w:type="dxa"/>
            <w:vAlign w:val="bottom"/>
          </w:tcPr>
          <w:p>
            <w:pPr>
              <w:jc w:val="right"/>
              <w:ind w:right="10"/>
              <w:spacing w:after="0"/>
              <w:rPr>
                <w:sz w:val="20"/>
                <w:szCs w:val="20"/>
                <w:color w:val="auto"/>
              </w:rPr>
            </w:pPr>
            <w:r>
              <w:rPr>
                <w:rFonts w:ascii="Arial" w:cs="Arial" w:eastAsia="Arial" w:hAnsi="Arial"/>
                <w:sz w:val="18"/>
                <w:szCs w:val="18"/>
                <w:color w:val="auto"/>
              </w:rPr>
              <w:t>437</w:t>
            </w:r>
          </w:p>
        </w:tc>
      </w:tr>
      <w:tr>
        <w:trPr>
          <w:trHeight w:val="216"/>
        </w:trPr>
        <w:tc>
          <w:tcPr>
            <w:tcW w:w="2740" w:type="dxa"/>
            <w:vAlign w:val="bottom"/>
            <w:gridSpan w:val="2"/>
            <w:shd w:val="clear" w:color="auto" w:fill="CCEEFF"/>
          </w:tcPr>
          <w:p>
            <w:pPr>
              <w:ind w:left="180"/>
              <w:spacing w:after="0"/>
              <w:rPr>
                <w:sz w:val="20"/>
                <w:szCs w:val="20"/>
                <w:color w:val="auto"/>
              </w:rPr>
            </w:pPr>
            <w:r>
              <w:rPr>
                <w:rFonts w:ascii="Arial" w:cs="Arial" w:eastAsia="Arial" w:hAnsi="Arial"/>
                <w:sz w:val="18"/>
                <w:szCs w:val="18"/>
                <w:color w:val="auto"/>
              </w:rPr>
              <w:t>Vesting of restricted stock units</w:t>
            </w:r>
          </w:p>
        </w:tc>
        <w:tc>
          <w:tcPr>
            <w:tcW w:w="1320" w:type="dxa"/>
            <w:vAlign w:val="bottom"/>
            <w:gridSpan w:val="2"/>
            <w:shd w:val="clear" w:color="auto" w:fill="CCEEFF"/>
          </w:tcPr>
          <w:p>
            <w:pPr>
              <w:jc w:val="right"/>
              <w:ind w:right="10"/>
              <w:spacing w:after="0"/>
              <w:rPr>
                <w:sz w:val="20"/>
                <w:szCs w:val="20"/>
                <w:color w:val="auto"/>
              </w:rPr>
            </w:pPr>
            <w:r>
              <w:rPr>
                <w:rFonts w:ascii="Arial" w:cs="Arial" w:eastAsia="Arial" w:hAnsi="Arial"/>
                <w:sz w:val="18"/>
                <w:szCs w:val="18"/>
                <w:color w:val="auto"/>
              </w:rPr>
              <w:t>1,571</w:t>
            </w: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2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6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6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8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0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8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w:t>
            </w:r>
          </w:p>
        </w:tc>
      </w:tr>
      <w:tr>
        <w:trPr>
          <w:trHeight w:val="216"/>
        </w:trPr>
        <w:tc>
          <w:tcPr>
            <w:tcW w:w="2740" w:type="dxa"/>
            <w:vAlign w:val="bottom"/>
            <w:gridSpan w:val="2"/>
          </w:tcPr>
          <w:p>
            <w:pPr>
              <w:ind w:left="180"/>
              <w:spacing w:after="0"/>
              <w:rPr>
                <w:sz w:val="20"/>
                <w:szCs w:val="20"/>
                <w:color w:val="auto"/>
              </w:rPr>
            </w:pPr>
            <w:r>
              <w:rPr>
                <w:rFonts w:ascii="Arial" w:cs="Arial" w:eastAsia="Arial" w:hAnsi="Arial"/>
                <w:sz w:val="18"/>
                <w:szCs w:val="18"/>
                <w:color w:val="auto"/>
              </w:rPr>
              <w:t>Shares withheld for taxes</w:t>
            </w:r>
          </w:p>
        </w:tc>
        <w:tc>
          <w:tcPr>
            <w:tcW w:w="1320" w:type="dxa"/>
            <w:vAlign w:val="bottom"/>
            <w:gridSpan w:val="2"/>
          </w:tcPr>
          <w:p>
            <w:pPr>
              <w:jc w:val="right"/>
              <w:spacing w:after="0"/>
              <w:rPr>
                <w:sz w:val="20"/>
                <w:szCs w:val="20"/>
                <w:color w:val="auto"/>
              </w:rPr>
            </w:pPr>
            <w:r>
              <w:rPr>
                <w:rFonts w:ascii="Arial" w:cs="Arial" w:eastAsia="Arial" w:hAnsi="Arial"/>
                <w:sz w:val="18"/>
                <w:szCs w:val="18"/>
                <w:color w:val="auto"/>
              </w:rPr>
              <w:t>(511)</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20" w:type="dxa"/>
            <w:vAlign w:val="bottom"/>
          </w:tcPr>
          <w:p>
            <w:pPr>
              <w:jc w:val="right"/>
              <w:ind w:right="1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(3,514)</w:t>
            </w: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60" w:type="dxa"/>
            <w:vAlign w:val="bottom"/>
          </w:tcPr>
          <w:p>
            <w:pPr>
              <w:jc w:val="right"/>
              <w:ind w:right="3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80" w:type="dxa"/>
            <w:vAlign w:val="bottom"/>
          </w:tcPr>
          <w:p>
            <w:pPr>
              <w:jc w:val="right"/>
              <w:ind w:right="3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00" w:type="dxa"/>
            <w:vAlign w:val="bottom"/>
          </w:tcPr>
          <w:p>
            <w:pPr>
              <w:jc w:val="right"/>
              <w:ind w:right="3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(3,514)</w:t>
            </w:r>
          </w:p>
        </w:tc>
      </w:tr>
      <w:tr>
        <w:trPr>
          <w:trHeight w:val="216"/>
        </w:trPr>
        <w:tc>
          <w:tcPr>
            <w:tcW w:w="2740" w:type="dxa"/>
            <w:vAlign w:val="bottom"/>
            <w:gridSpan w:val="2"/>
            <w:shd w:val="clear" w:color="auto" w:fill="CCEEFF"/>
          </w:tcPr>
          <w:p>
            <w:pPr>
              <w:ind w:left="180"/>
              <w:spacing w:after="0"/>
              <w:rPr>
                <w:sz w:val="20"/>
                <w:szCs w:val="20"/>
                <w:color w:val="auto"/>
              </w:rPr>
            </w:pPr>
            <w:r>
              <w:rPr>
                <w:rFonts w:ascii="Arial" w:cs="Arial" w:eastAsia="Arial" w:hAnsi="Arial"/>
                <w:sz w:val="18"/>
                <w:szCs w:val="18"/>
                <w:color w:val="auto"/>
              </w:rPr>
              <w:t>Stock compensation expense</w:t>
            </w:r>
          </w:p>
        </w:tc>
        <w:tc>
          <w:tcPr>
            <w:tcW w:w="1320" w:type="dxa"/>
            <w:vAlign w:val="bottom"/>
            <w:gridSpan w:val="2"/>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2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6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4,169</w:t>
            </w:r>
          </w:p>
        </w:tc>
        <w:tc>
          <w:tcPr>
            <w:tcW w:w="1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6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8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0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8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4,169</w:t>
            </w:r>
          </w:p>
        </w:tc>
      </w:tr>
      <w:tr>
        <w:trPr>
          <w:trHeight w:val="216"/>
        </w:trPr>
        <w:tc>
          <w:tcPr>
            <w:tcW w:w="2740" w:type="dxa"/>
            <w:vAlign w:val="bottom"/>
            <w:gridSpan w:val="2"/>
          </w:tcPr>
          <w:p>
            <w:pPr>
              <w:ind w:left="180"/>
              <w:spacing w:after="0"/>
              <w:rPr>
                <w:sz w:val="20"/>
                <w:szCs w:val="20"/>
                <w:color w:val="auto"/>
              </w:rPr>
            </w:pPr>
            <w:r>
              <w:rPr>
                <w:rFonts w:ascii="Arial" w:cs="Arial" w:eastAsia="Arial" w:hAnsi="Arial"/>
                <w:sz w:val="18"/>
                <w:szCs w:val="18"/>
                <w:color w:val="auto"/>
              </w:rPr>
              <w:t>Net loss</w:t>
            </w:r>
          </w:p>
        </w:tc>
        <w:tc>
          <w:tcPr>
            <w:tcW w:w="1320" w:type="dxa"/>
            <w:vAlign w:val="bottom"/>
            <w:gridSpan w:val="2"/>
          </w:tcPr>
          <w:p>
            <w:pPr>
              <w:jc w:val="right"/>
              <w:ind w:right="1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20" w:type="dxa"/>
            <w:vAlign w:val="bottom"/>
          </w:tcPr>
          <w:p>
            <w:pPr>
              <w:jc w:val="right"/>
              <w:ind w:right="1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60" w:type="dxa"/>
            <w:vAlign w:val="bottom"/>
          </w:tcPr>
          <w:p>
            <w:pPr>
              <w:jc w:val="right"/>
              <w:ind w:right="1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(288)</w:t>
            </w: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80" w:type="dxa"/>
            <w:vAlign w:val="bottom"/>
          </w:tcPr>
          <w:p>
            <w:pPr>
              <w:jc w:val="right"/>
              <w:ind w:right="3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00" w:type="dxa"/>
            <w:vAlign w:val="bottom"/>
          </w:tcPr>
          <w:p>
            <w:pPr>
              <w:jc w:val="right"/>
              <w:ind w:right="3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(288)</w:t>
            </w:r>
          </w:p>
        </w:tc>
      </w:tr>
      <w:tr>
        <w:trPr>
          <w:trHeight w:val="216"/>
        </w:trPr>
        <w:tc>
          <w:tcPr>
            <w:tcW w:w="2740" w:type="dxa"/>
            <w:vAlign w:val="bottom"/>
            <w:tcBorders>
              <w:bottom w:val="single" w:sz="8" w:color="CCEEFF"/>
            </w:tcBorders>
            <w:gridSpan w:val="2"/>
            <w:shd w:val="clear" w:color="auto" w:fill="CCEEFF"/>
          </w:tcPr>
          <w:p>
            <w:pPr>
              <w:ind w:left="180"/>
              <w:spacing w:after="0"/>
              <w:rPr>
                <w:sz w:val="20"/>
                <w:szCs w:val="20"/>
                <w:color w:val="auto"/>
              </w:rPr>
            </w:pPr>
            <w:r>
              <w:rPr>
                <w:rFonts w:ascii="Arial" w:cs="Arial" w:eastAsia="Arial" w:hAnsi="Arial"/>
                <w:sz w:val="18"/>
                <w:szCs w:val="18"/>
                <w:color w:val="auto"/>
              </w:rPr>
              <w:t>Other comprehensive income</w:t>
            </w:r>
          </w:p>
        </w:tc>
        <w:tc>
          <w:tcPr>
            <w:tcW w:w="340" w:type="dxa"/>
            <w:vAlign w:val="bottom"/>
            <w:tcBorders>
              <w:bottom w:val="single" w:sz="8" w:color="CCEEFF"/>
            </w:tcBorders>
            <w:shd w:val="clear" w:color="auto" w:fill="CCEEFF"/>
          </w:tcPr>
          <w:p>
            <w:pPr>
              <w:spacing w:after="0"/>
              <w:rPr>
                <w:sz w:val="18"/>
                <w:szCs w:val="18"/>
                <w:color w:val="auto"/>
              </w:rPr>
            </w:pPr>
          </w:p>
        </w:tc>
        <w:tc>
          <w:tcPr>
            <w:tcW w:w="98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100" w:type="dxa"/>
            <w:vAlign w:val="bottom"/>
            <w:tcBorders>
              <w:bottom w:val="single" w:sz="8" w:color="CCEEFF"/>
            </w:tcBorders>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spacing w:after="0"/>
              <w:rPr>
                <w:sz w:val="18"/>
                <w:szCs w:val="18"/>
                <w:color w:val="auto"/>
              </w:rPr>
            </w:pPr>
          </w:p>
        </w:tc>
        <w:tc>
          <w:tcPr>
            <w:tcW w:w="82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100" w:type="dxa"/>
            <w:vAlign w:val="bottom"/>
            <w:tcBorders>
              <w:bottom w:val="single" w:sz="8" w:color="CCEEFF"/>
            </w:tcBorders>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spacing w:after="0"/>
              <w:rPr>
                <w:sz w:val="18"/>
                <w:szCs w:val="18"/>
                <w:color w:val="auto"/>
              </w:rPr>
            </w:pPr>
          </w:p>
        </w:tc>
        <w:tc>
          <w:tcPr>
            <w:tcW w:w="86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120" w:type="dxa"/>
            <w:vAlign w:val="bottom"/>
            <w:tcBorders>
              <w:bottom w:val="single" w:sz="8" w:color="CCEEFF"/>
            </w:tcBorders>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spacing w:after="0"/>
              <w:rPr>
                <w:sz w:val="18"/>
                <w:szCs w:val="18"/>
                <w:color w:val="auto"/>
              </w:rPr>
            </w:pPr>
          </w:p>
        </w:tc>
        <w:tc>
          <w:tcPr>
            <w:tcW w:w="96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rPr>
              <w:t>-</w:t>
            </w:r>
          </w:p>
        </w:tc>
        <w:tc>
          <w:tcPr>
            <w:tcW w:w="100" w:type="dxa"/>
            <w:vAlign w:val="bottom"/>
            <w:tcBorders>
              <w:bottom w:val="single" w:sz="8" w:color="CCEEFF"/>
            </w:tcBorders>
            <w:shd w:val="clear" w:color="auto" w:fill="CCEEFF"/>
          </w:tcPr>
          <w:p>
            <w:pPr>
              <w:spacing w:after="0"/>
              <w:rPr>
                <w:sz w:val="18"/>
                <w:szCs w:val="18"/>
                <w:color w:val="auto"/>
              </w:rPr>
            </w:pPr>
          </w:p>
        </w:tc>
        <w:tc>
          <w:tcPr>
            <w:tcW w:w="220" w:type="dxa"/>
            <w:vAlign w:val="bottom"/>
            <w:tcBorders>
              <w:bottom w:val="single" w:sz="8" w:color="auto"/>
            </w:tcBorders>
            <w:shd w:val="clear" w:color="auto" w:fill="CCEEFF"/>
          </w:tcPr>
          <w:p>
            <w:pPr>
              <w:spacing w:after="0"/>
              <w:rPr>
                <w:sz w:val="18"/>
                <w:szCs w:val="18"/>
                <w:color w:val="auto"/>
              </w:rPr>
            </w:pPr>
          </w:p>
        </w:tc>
        <w:tc>
          <w:tcPr>
            <w:tcW w:w="108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rPr>
              <w:t>3,039</w:t>
            </w:r>
          </w:p>
        </w:tc>
        <w:tc>
          <w:tcPr>
            <w:tcW w:w="100" w:type="dxa"/>
            <w:vAlign w:val="bottom"/>
            <w:tcBorders>
              <w:bottom w:val="single" w:sz="8" w:color="CCEEFF"/>
            </w:tcBorders>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90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rPr>
              <w:t>-</w:t>
            </w:r>
          </w:p>
        </w:tc>
        <w:tc>
          <w:tcPr>
            <w:tcW w:w="100" w:type="dxa"/>
            <w:vAlign w:val="bottom"/>
            <w:tcBorders>
              <w:bottom w:val="single" w:sz="8" w:color="CCEEFF"/>
            </w:tcBorders>
            <w:shd w:val="clear" w:color="auto" w:fill="CCEEFF"/>
          </w:tcPr>
          <w:p>
            <w:pPr>
              <w:spacing w:after="0"/>
              <w:rPr>
                <w:sz w:val="18"/>
                <w:szCs w:val="18"/>
                <w:color w:val="auto"/>
              </w:rPr>
            </w:pPr>
          </w:p>
        </w:tc>
        <w:tc>
          <w:tcPr>
            <w:tcW w:w="180" w:type="dxa"/>
            <w:vAlign w:val="bottom"/>
            <w:tcBorders>
              <w:bottom w:val="single" w:sz="8" w:color="auto"/>
            </w:tcBorders>
            <w:shd w:val="clear" w:color="auto" w:fill="CCEEFF"/>
          </w:tcPr>
          <w:p>
            <w:pPr>
              <w:spacing w:after="0"/>
              <w:rPr>
                <w:sz w:val="18"/>
                <w:szCs w:val="18"/>
                <w:color w:val="auto"/>
              </w:rPr>
            </w:pPr>
          </w:p>
        </w:tc>
        <w:tc>
          <w:tcPr>
            <w:tcW w:w="98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3,039</w:t>
            </w:r>
          </w:p>
        </w:tc>
      </w:tr>
      <w:tr>
        <w:trPr>
          <w:trHeight w:val="210"/>
        </w:trPr>
        <w:tc>
          <w:tcPr>
            <w:tcW w:w="2740" w:type="dxa"/>
            <w:vAlign w:val="bottom"/>
            <w:gridSpan w:val="2"/>
          </w:tcPr>
          <w:p>
            <w:pPr>
              <w:spacing w:after="0"/>
              <w:rPr>
                <w:sz w:val="20"/>
                <w:szCs w:val="20"/>
                <w:color w:val="auto"/>
              </w:rPr>
            </w:pPr>
            <w:r>
              <w:rPr>
                <w:rFonts w:ascii="Arial" w:cs="Arial" w:eastAsia="Arial" w:hAnsi="Arial"/>
                <w:sz w:val="18"/>
                <w:szCs w:val="18"/>
                <w:b w:val="1"/>
                <w:bCs w:val="1"/>
                <w:color w:val="auto"/>
              </w:rPr>
              <w:t>Balance at December 31, 2021</w:t>
            </w:r>
          </w:p>
        </w:tc>
        <w:tc>
          <w:tcPr>
            <w:tcW w:w="1320" w:type="dxa"/>
            <w:vAlign w:val="bottom"/>
            <w:gridSpan w:val="2"/>
          </w:tcPr>
          <w:p>
            <w:pPr>
              <w:jc w:val="right"/>
              <w:ind w:right="10"/>
              <w:spacing w:after="0"/>
              <w:rPr>
                <w:sz w:val="20"/>
                <w:szCs w:val="20"/>
                <w:color w:val="auto"/>
              </w:rPr>
            </w:pPr>
            <w:r>
              <w:rPr>
                <w:rFonts w:ascii="Arial" w:cs="Arial" w:eastAsia="Arial" w:hAnsi="Arial"/>
                <w:sz w:val="18"/>
                <w:szCs w:val="18"/>
                <w:color w:val="auto"/>
              </w:rPr>
              <w:t>41,143</w:t>
            </w:r>
          </w:p>
        </w:tc>
        <w:tc>
          <w:tcPr>
            <w:tcW w:w="2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820" w:type="dxa"/>
            <w:vAlign w:val="bottom"/>
          </w:tcPr>
          <w:p>
            <w:pPr>
              <w:jc w:val="right"/>
              <w:ind w:right="10"/>
              <w:spacing w:after="0"/>
              <w:rPr>
                <w:sz w:val="20"/>
                <w:szCs w:val="20"/>
                <w:color w:val="auto"/>
              </w:rPr>
            </w:pPr>
            <w:r>
              <w:rPr>
                <w:rFonts w:ascii="Arial" w:cs="Arial" w:eastAsia="Arial" w:hAnsi="Arial"/>
                <w:sz w:val="18"/>
                <w:szCs w:val="18"/>
                <w:color w:val="auto"/>
              </w:rPr>
              <w:t>452</w:t>
            </w:r>
          </w:p>
        </w:tc>
        <w:tc>
          <w:tcPr>
            <w:tcW w:w="2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860" w:type="dxa"/>
            <w:vAlign w:val="bottom"/>
          </w:tcPr>
          <w:p>
            <w:pPr>
              <w:jc w:val="right"/>
              <w:ind w:right="10"/>
              <w:spacing w:after="0"/>
              <w:rPr>
                <w:sz w:val="20"/>
                <w:szCs w:val="20"/>
                <w:color w:val="auto"/>
              </w:rPr>
            </w:pPr>
            <w:r>
              <w:rPr>
                <w:rFonts w:ascii="Arial" w:cs="Arial" w:eastAsia="Arial" w:hAnsi="Arial"/>
                <w:sz w:val="18"/>
                <w:szCs w:val="18"/>
                <w:color w:val="auto"/>
              </w:rPr>
              <w:t>225,650</w:t>
            </w:r>
          </w:p>
        </w:tc>
        <w:tc>
          <w:tcPr>
            <w:tcW w:w="120" w:type="dxa"/>
            <w:vAlign w:val="bottom"/>
          </w:tcPr>
          <w:p>
            <w:pPr>
              <w:spacing w:after="0"/>
              <w:rPr>
                <w:sz w:val="18"/>
                <w:szCs w:val="18"/>
                <w:color w:val="auto"/>
              </w:rPr>
            </w:pPr>
          </w:p>
        </w:tc>
        <w:tc>
          <w:tcPr>
            <w:tcW w:w="160" w:type="dxa"/>
            <w:vAlign w:val="bottom"/>
          </w:tcPr>
          <w:p>
            <w:pPr>
              <w:spacing w:after="0"/>
              <w:rPr>
                <w:sz w:val="20"/>
                <w:szCs w:val="20"/>
                <w:color w:val="auto"/>
              </w:rPr>
            </w:pPr>
            <w:r>
              <w:rPr>
                <w:rFonts w:ascii="Arial" w:cs="Arial" w:eastAsia="Arial" w:hAnsi="Arial"/>
                <w:sz w:val="18"/>
                <w:szCs w:val="18"/>
                <w:color w:val="auto"/>
              </w:rPr>
              <w:t>$</w:t>
            </w:r>
          </w:p>
        </w:tc>
        <w:tc>
          <w:tcPr>
            <w:tcW w:w="960" w:type="dxa"/>
            <w:vAlign w:val="bottom"/>
          </w:tcPr>
          <w:p>
            <w:pPr>
              <w:jc w:val="right"/>
              <w:spacing w:after="0"/>
              <w:rPr>
                <w:sz w:val="20"/>
                <w:szCs w:val="20"/>
                <w:color w:val="auto"/>
              </w:rPr>
            </w:pPr>
            <w:r>
              <w:rPr>
                <w:rFonts w:ascii="Arial" w:cs="Arial" w:eastAsia="Arial" w:hAnsi="Arial"/>
                <w:sz w:val="18"/>
                <w:szCs w:val="18"/>
                <w:color w:val="auto"/>
              </w:rPr>
              <w:t>(132,674)</w:t>
            </w:r>
          </w:p>
        </w:tc>
        <w:tc>
          <w:tcPr>
            <w:tcW w:w="320" w:type="dxa"/>
            <w:vAlign w:val="bottom"/>
            <w:gridSpan w:val="2"/>
          </w:tcPr>
          <w:p>
            <w:pPr>
              <w:ind w:left="100"/>
              <w:spacing w:after="0"/>
              <w:rPr>
                <w:sz w:val="20"/>
                <w:szCs w:val="20"/>
                <w:color w:val="auto"/>
              </w:rPr>
            </w:pPr>
            <w:r>
              <w:rPr>
                <w:rFonts w:ascii="Arial" w:cs="Arial" w:eastAsia="Arial" w:hAnsi="Arial"/>
                <w:sz w:val="18"/>
                <w:szCs w:val="18"/>
                <w:color w:val="auto"/>
              </w:rPr>
              <w:t>$</w:t>
            </w:r>
          </w:p>
        </w:tc>
        <w:tc>
          <w:tcPr>
            <w:tcW w:w="1080" w:type="dxa"/>
            <w:vAlign w:val="bottom"/>
          </w:tcPr>
          <w:p>
            <w:pPr>
              <w:jc w:val="right"/>
              <w:spacing w:after="0"/>
              <w:rPr>
                <w:sz w:val="20"/>
                <w:szCs w:val="20"/>
                <w:color w:val="auto"/>
              </w:rPr>
            </w:pPr>
            <w:r>
              <w:rPr>
                <w:rFonts w:ascii="Arial" w:cs="Arial" w:eastAsia="Arial" w:hAnsi="Arial"/>
                <w:sz w:val="18"/>
                <w:szCs w:val="18"/>
                <w:color w:val="auto"/>
              </w:rPr>
              <w:t>(10,027)</w:t>
            </w:r>
          </w:p>
        </w:tc>
        <w:tc>
          <w:tcPr>
            <w:tcW w:w="2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900" w:type="dxa"/>
            <w:vAlign w:val="bottom"/>
          </w:tcPr>
          <w:p>
            <w:pPr>
              <w:jc w:val="right"/>
              <w:ind w:right="30"/>
              <w:spacing w:after="0"/>
              <w:rPr>
                <w:sz w:val="20"/>
                <w:szCs w:val="20"/>
                <w:color w:val="auto"/>
              </w:rPr>
            </w:pPr>
            <w:r>
              <w:rPr>
                <w:rFonts w:ascii="Arial" w:cs="Arial" w:eastAsia="Arial" w:hAnsi="Arial"/>
                <w:sz w:val="18"/>
                <w:szCs w:val="18"/>
                <w:color w:val="auto"/>
              </w:rPr>
              <w:t>-</w:t>
            </w:r>
          </w:p>
        </w:tc>
        <w:tc>
          <w:tcPr>
            <w:tcW w:w="280" w:type="dxa"/>
            <w:vAlign w:val="bottom"/>
            <w:gridSpan w:val="2"/>
          </w:tcPr>
          <w:p>
            <w:pPr>
              <w:ind w:left="100"/>
              <w:spacing w:after="0"/>
              <w:rPr>
                <w:sz w:val="20"/>
                <w:szCs w:val="20"/>
                <w:color w:val="auto"/>
              </w:rPr>
            </w:pPr>
            <w:r>
              <w:rPr>
                <w:rFonts w:ascii="Arial" w:cs="Arial" w:eastAsia="Arial" w:hAnsi="Arial"/>
                <w:sz w:val="18"/>
                <w:szCs w:val="18"/>
                <w:color w:val="auto"/>
              </w:rPr>
              <w:t>$</w:t>
            </w:r>
          </w:p>
        </w:tc>
        <w:tc>
          <w:tcPr>
            <w:tcW w:w="980" w:type="dxa"/>
            <w:vAlign w:val="bottom"/>
          </w:tcPr>
          <w:p>
            <w:pPr>
              <w:jc w:val="right"/>
              <w:ind w:right="10"/>
              <w:spacing w:after="0"/>
              <w:rPr>
                <w:sz w:val="20"/>
                <w:szCs w:val="20"/>
                <w:color w:val="auto"/>
              </w:rPr>
            </w:pPr>
            <w:r>
              <w:rPr>
                <w:rFonts w:ascii="Arial" w:cs="Arial" w:eastAsia="Arial" w:hAnsi="Arial"/>
                <w:sz w:val="18"/>
                <w:szCs w:val="18"/>
                <w:color w:val="auto"/>
              </w:rPr>
              <w:t>83,401</w:t>
            </w:r>
          </w:p>
        </w:tc>
      </w:tr>
      <w:tr>
        <w:trPr>
          <w:trHeight w:val="20"/>
        </w:trPr>
        <w:tc>
          <w:tcPr>
            <w:tcW w:w="1280" w:type="dxa"/>
            <w:vAlign w:val="bottom"/>
          </w:tcPr>
          <w:p>
            <w:pPr>
              <w:spacing w:after="0" w:line="20" w:lineRule="exact"/>
              <w:rPr>
                <w:sz w:val="1"/>
                <w:szCs w:val="1"/>
                <w:color w:val="auto"/>
              </w:rPr>
            </w:pPr>
          </w:p>
        </w:tc>
        <w:tc>
          <w:tcPr>
            <w:tcW w:w="146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10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18" w:lineRule="exact"/>
        <w:rPr>
          <w:sz w:val="20"/>
          <w:szCs w:val="20"/>
          <w:color w:val="auto"/>
        </w:rPr>
      </w:pPr>
    </w:p>
    <w:p>
      <w:pPr>
        <w:jc w:val="center"/>
        <w:ind w:right="-159"/>
        <w:spacing w:after="0"/>
        <w:rPr>
          <w:sz w:val="20"/>
          <w:szCs w:val="20"/>
          <w:color w:val="auto"/>
        </w:rPr>
      </w:pPr>
      <w:r>
        <w:rPr>
          <w:rFonts w:ascii="Arial" w:cs="Arial" w:eastAsia="Arial" w:hAnsi="Arial"/>
          <w:sz w:val="18"/>
          <w:szCs w:val="18"/>
          <w:color w:val="auto"/>
        </w:rPr>
        <w:t>See accompanying notes to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08" w:right="339" w:bottom="1440" w:gutter="0" w:footer="0" w:header="0"/>
        </w:sectPr>
      </w:pPr>
    </w:p>
    <w:bookmarkStart w:id="35" w:name="page36"/>
    <w:bookmarkEnd w:id="35"/>
    <w:tbl>
      <w:tblPr>
        <w:tblLayout w:type="fixed"/>
        <w:tblInd w:w="0" w:type="dxa"/>
        <w:tblCellMar>
          <w:top w:w="0" w:type="dxa"/>
          <w:left w:w="0" w:type="dxa"/>
          <w:bottom w:w="0" w:type="dxa"/>
          <w:right w:w="0" w:type="dxa"/>
        </w:tblCellMar>
      </w:tblPr>
      <w:tr>
        <w:trPr>
          <w:trHeight w:val="207"/>
        </w:trPr>
        <w:tc>
          <w:tcPr>
            <w:tcW w:w="7260" w:type="dxa"/>
            <w:vAlign w:val="bottom"/>
            <w:gridSpan w:val="2"/>
          </w:tcPr>
          <w:p>
            <w:pPr>
              <w:spacing w:after="0"/>
              <w:rPr>
                <w:rFonts w:ascii="Arial" w:cs="Arial" w:eastAsia="Arial" w:hAnsi="Arial"/>
                <w:sz w:val="18"/>
                <w:szCs w:val="18"/>
                <w:color w:val="0000EE"/>
              </w:rPr>
            </w:pPr>
            <w:hyperlink w:anchor="page3">
              <w:r>
                <w:rPr>
                  <w:rFonts w:ascii="Arial" w:cs="Arial" w:eastAsia="Arial" w:hAnsi="Arial"/>
                  <w:sz w:val="18"/>
                  <w:szCs w:val="18"/>
                  <w:color w:val="0000EE"/>
                </w:rPr>
                <w:t>Table of Contents</w:t>
              </w:r>
            </w:hyperlink>
          </w:p>
        </w:tc>
        <w:tc>
          <w:tcPr>
            <w:tcW w:w="30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740" w:type="dxa"/>
            <w:vAlign w:val="bottom"/>
          </w:tcPr>
          <w:p>
            <w:pPr>
              <w:spacing w:after="0"/>
              <w:rPr>
                <w:sz w:val="17"/>
                <w:szCs w:val="17"/>
                <w:color w:val="auto"/>
              </w:rPr>
            </w:pPr>
          </w:p>
        </w:tc>
      </w:tr>
      <w:tr>
        <w:trPr>
          <w:trHeight w:val="677"/>
        </w:trPr>
        <w:tc>
          <w:tcPr>
            <w:tcW w:w="1280" w:type="dxa"/>
            <w:vAlign w:val="bottom"/>
            <w:tcBorders>
              <w:top w:val="single" w:sz="8" w:color="0000EE"/>
            </w:tcBorders>
          </w:tcPr>
          <w:p>
            <w:pPr>
              <w:spacing w:after="0"/>
              <w:rPr>
                <w:sz w:val="24"/>
                <w:szCs w:val="24"/>
                <w:color w:val="auto"/>
              </w:rPr>
            </w:pPr>
          </w:p>
        </w:tc>
        <w:tc>
          <w:tcPr>
            <w:tcW w:w="5980" w:type="dxa"/>
            <w:vAlign w:val="bottom"/>
          </w:tcPr>
          <w:p>
            <w:pPr>
              <w:jc w:val="center"/>
              <w:ind w:left="2770"/>
              <w:spacing w:after="0"/>
              <w:rPr>
                <w:sz w:val="20"/>
                <w:szCs w:val="20"/>
                <w:color w:val="auto"/>
              </w:rPr>
            </w:pPr>
            <w:r>
              <w:rPr>
                <w:rFonts w:ascii="Arial" w:cs="Arial" w:eastAsia="Arial" w:hAnsi="Arial"/>
                <w:sz w:val="18"/>
                <w:szCs w:val="18"/>
                <w:b w:val="1"/>
                <w:bCs w:val="1"/>
                <w:color w:val="auto"/>
                <w:w w:val="99"/>
              </w:rPr>
              <w:t>HARVARD BIOSCIENCE, INC.</w:t>
            </w:r>
          </w:p>
        </w:tc>
        <w:tc>
          <w:tcPr>
            <w:tcW w:w="30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740" w:type="dxa"/>
            <w:vAlign w:val="bottom"/>
          </w:tcPr>
          <w:p>
            <w:pPr>
              <w:spacing w:after="0"/>
              <w:rPr>
                <w:sz w:val="24"/>
                <w:szCs w:val="24"/>
                <w:color w:val="auto"/>
              </w:rPr>
            </w:pPr>
          </w:p>
        </w:tc>
      </w:tr>
      <w:tr>
        <w:trPr>
          <w:trHeight w:val="216"/>
        </w:trPr>
        <w:tc>
          <w:tcPr>
            <w:tcW w:w="1280" w:type="dxa"/>
            <w:vAlign w:val="bottom"/>
          </w:tcPr>
          <w:p>
            <w:pPr>
              <w:spacing w:after="0"/>
              <w:rPr>
                <w:sz w:val="18"/>
                <w:szCs w:val="18"/>
                <w:color w:val="auto"/>
              </w:rPr>
            </w:pPr>
          </w:p>
        </w:tc>
        <w:tc>
          <w:tcPr>
            <w:tcW w:w="7360" w:type="dxa"/>
            <w:vAlign w:val="bottom"/>
            <w:gridSpan w:val="3"/>
          </w:tcPr>
          <w:p>
            <w:pPr>
              <w:jc w:val="center"/>
              <w:ind w:left="1390"/>
              <w:spacing w:after="0"/>
              <w:rPr>
                <w:sz w:val="20"/>
                <w:szCs w:val="20"/>
                <w:color w:val="auto"/>
              </w:rPr>
            </w:pPr>
            <w:r>
              <w:rPr>
                <w:rFonts w:ascii="Arial" w:cs="Arial" w:eastAsia="Arial" w:hAnsi="Arial"/>
                <w:sz w:val="18"/>
                <w:szCs w:val="18"/>
                <w:b w:val="1"/>
                <w:bCs w:val="1"/>
                <w:color w:val="auto"/>
                <w:w w:val="99"/>
              </w:rPr>
              <w:t>CONSOLIDATED STATEMENTS OF CASH FLOWS</w:t>
            </w:r>
          </w:p>
        </w:tc>
        <w:tc>
          <w:tcPr>
            <w:tcW w:w="6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740" w:type="dxa"/>
            <w:vAlign w:val="bottom"/>
          </w:tcPr>
          <w:p>
            <w:pPr>
              <w:spacing w:after="0"/>
              <w:rPr>
                <w:sz w:val="18"/>
                <w:szCs w:val="18"/>
                <w:color w:val="auto"/>
              </w:rPr>
            </w:pPr>
          </w:p>
        </w:tc>
      </w:tr>
      <w:tr>
        <w:trPr>
          <w:trHeight w:val="234"/>
        </w:trPr>
        <w:tc>
          <w:tcPr>
            <w:tcW w:w="1280" w:type="dxa"/>
            <w:vAlign w:val="bottom"/>
          </w:tcPr>
          <w:p>
            <w:pPr>
              <w:spacing w:after="0"/>
              <w:rPr>
                <w:sz w:val="20"/>
                <w:szCs w:val="20"/>
                <w:color w:val="auto"/>
              </w:rPr>
            </w:pPr>
          </w:p>
        </w:tc>
        <w:tc>
          <w:tcPr>
            <w:tcW w:w="5980" w:type="dxa"/>
            <w:vAlign w:val="bottom"/>
          </w:tcPr>
          <w:p>
            <w:pPr>
              <w:jc w:val="center"/>
              <w:ind w:left="2770"/>
              <w:spacing w:after="0"/>
              <w:rPr>
                <w:sz w:val="20"/>
                <w:szCs w:val="20"/>
                <w:color w:val="auto"/>
              </w:rPr>
            </w:pPr>
            <w:r>
              <w:rPr>
                <w:rFonts w:ascii="Arial" w:cs="Arial" w:eastAsia="Arial" w:hAnsi="Arial"/>
                <w:sz w:val="18"/>
                <w:szCs w:val="18"/>
                <w:b w:val="1"/>
                <w:bCs w:val="1"/>
                <w:color w:val="auto"/>
                <w:w w:val="90"/>
              </w:rPr>
              <w:t>(In thousands)</w:t>
            </w:r>
          </w:p>
        </w:tc>
        <w:tc>
          <w:tcPr>
            <w:tcW w:w="300" w:type="dxa"/>
            <w:vAlign w:val="bottom"/>
          </w:tcPr>
          <w:p>
            <w:pPr>
              <w:spacing w:after="0"/>
              <w:rPr>
                <w:sz w:val="20"/>
                <w:szCs w:val="20"/>
                <w:color w:val="auto"/>
              </w:rPr>
            </w:pPr>
          </w:p>
        </w:tc>
        <w:tc>
          <w:tcPr>
            <w:tcW w:w="108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60" w:type="dxa"/>
            <w:vAlign w:val="bottom"/>
          </w:tcPr>
          <w:p>
            <w:pPr>
              <w:spacing w:after="0"/>
              <w:rPr>
                <w:sz w:val="20"/>
                <w:szCs w:val="20"/>
                <w:color w:val="auto"/>
              </w:rPr>
            </w:pPr>
          </w:p>
        </w:tc>
        <w:tc>
          <w:tcPr>
            <w:tcW w:w="740" w:type="dxa"/>
            <w:vAlign w:val="bottom"/>
          </w:tcPr>
          <w:p>
            <w:pPr>
              <w:spacing w:after="0"/>
              <w:rPr>
                <w:sz w:val="20"/>
                <w:szCs w:val="20"/>
                <w:color w:val="auto"/>
              </w:rPr>
            </w:pPr>
          </w:p>
        </w:tc>
      </w:tr>
      <w:tr>
        <w:trPr>
          <w:trHeight w:val="459"/>
        </w:trPr>
        <w:tc>
          <w:tcPr>
            <w:tcW w:w="1280" w:type="dxa"/>
            <w:vAlign w:val="bottom"/>
          </w:tcPr>
          <w:p>
            <w:pPr>
              <w:spacing w:after="0"/>
              <w:rPr>
                <w:sz w:val="24"/>
                <w:szCs w:val="24"/>
                <w:color w:val="auto"/>
              </w:rPr>
            </w:pPr>
          </w:p>
        </w:tc>
        <w:tc>
          <w:tcPr>
            <w:tcW w:w="598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2940" w:type="dxa"/>
            <w:vAlign w:val="bottom"/>
            <w:tcBorders>
              <w:bottom w:val="single" w:sz="8" w:color="auto"/>
            </w:tcBorders>
            <w:gridSpan w:val="4"/>
          </w:tcPr>
          <w:p>
            <w:pPr>
              <w:jc w:val="right"/>
              <w:ind w:right="180"/>
              <w:spacing w:after="0"/>
              <w:rPr>
                <w:sz w:val="20"/>
                <w:szCs w:val="20"/>
                <w:color w:val="auto"/>
              </w:rPr>
            </w:pPr>
            <w:r>
              <w:rPr>
                <w:rFonts w:ascii="Arial" w:cs="Arial" w:eastAsia="Arial" w:hAnsi="Arial"/>
                <w:sz w:val="18"/>
                <w:szCs w:val="18"/>
                <w:b w:val="1"/>
                <w:bCs w:val="1"/>
                <w:color w:val="auto"/>
              </w:rPr>
              <w:t>Year Ended December 31,</w:t>
            </w:r>
          </w:p>
        </w:tc>
        <w:tc>
          <w:tcPr>
            <w:tcW w:w="740" w:type="dxa"/>
            <w:vAlign w:val="bottom"/>
            <w:tcBorders>
              <w:bottom w:val="single" w:sz="8" w:color="auto"/>
            </w:tcBorders>
          </w:tcPr>
          <w:p>
            <w:pPr>
              <w:spacing w:after="0"/>
              <w:rPr>
                <w:sz w:val="24"/>
                <w:szCs w:val="24"/>
                <w:color w:val="auto"/>
              </w:rPr>
            </w:pPr>
          </w:p>
        </w:tc>
      </w:tr>
      <w:tr>
        <w:trPr>
          <w:trHeight w:val="210"/>
        </w:trPr>
        <w:tc>
          <w:tcPr>
            <w:tcW w:w="1280" w:type="dxa"/>
            <w:vAlign w:val="bottom"/>
          </w:tcPr>
          <w:p>
            <w:pPr>
              <w:spacing w:after="0"/>
              <w:rPr>
                <w:sz w:val="18"/>
                <w:szCs w:val="18"/>
                <w:color w:val="auto"/>
              </w:rPr>
            </w:pPr>
          </w:p>
        </w:tc>
        <w:tc>
          <w:tcPr>
            <w:tcW w:w="59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80" w:type="dxa"/>
            <w:vAlign w:val="bottom"/>
          </w:tcPr>
          <w:p>
            <w:pPr>
              <w:jc w:val="right"/>
              <w:spacing w:after="0"/>
              <w:rPr>
                <w:sz w:val="20"/>
                <w:szCs w:val="20"/>
                <w:color w:val="auto"/>
              </w:rPr>
            </w:pPr>
            <w:r>
              <w:rPr>
                <w:rFonts w:ascii="Arial" w:cs="Arial" w:eastAsia="Arial" w:hAnsi="Arial"/>
                <w:sz w:val="18"/>
                <w:szCs w:val="18"/>
                <w:b w:val="1"/>
                <w:bCs w:val="1"/>
                <w:color w:val="auto"/>
              </w:rPr>
              <w:t>2021</w:t>
            </w:r>
          </w:p>
        </w:tc>
        <w:tc>
          <w:tcPr>
            <w:tcW w:w="680" w:type="dxa"/>
            <w:vAlign w:val="bottom"/>
          </w:tcPr>
          <w:p>
            <w:pPr>
              <w:spacing w:after="0"/>
              <w:rPr>
                <w:sz w:val="18"/>
                <w:szCs w:val="18"/>
                <w:color w:val="auto"/>
              </w:rPr>
            </w:pPr>
          </w:p>
        </w:tc>
        <w:tc>
          <w:tcPr>
            <w:tcW w:w="1180" w:type="dxa"/>
            <w:vAlign w:val="bottom"/>
            <w:gridSpan w:val="2"/>
          </w:tcPr>
          <w:p>
            <w:pPr>
              <w:jc w:val="right"/>
              <w:ind w:right="40"/>
              <w:spacing w:after="0"/>
              <w:rPr>
                <w:sz w:val="20"/>
                <w:szCs w:val="20"/>
                <w:color w:val="auto"/>
              </w:rPr>
            </w:pPr>
            <w:r>
              <w:rPr>
                <w:rFonts w:ascii="Arial" w:cs="Arial" w:eastAsia="Arial" w:hAnsi="Arial"/>
                <w:sz w:val="18"/>
                <w:szCs w:val="18"/>
                <w:b w:val="1"/>
                <w:bCs w:val="1"/>
                <w:color w:val="auto"/>
              </w:rPr>
              <w:t>2020</w:t>
            </w:r>
          </w:p>
        </w:tc>
        <w:tc>
          <w:tcPr>
            <w:tcW w:w="740" w:type="dxa"/>
            <w:vAlign w:val="bottom"/>
          </w:tcPr>
          <w:p>
            <w:pPr>
              <w:spacing w:after="0"/>
              <w:rPr>
                <w:sz w:val="18"/>
                <w:szCs w:val="18"/>
                <w:color w:val="auto"/>
              </w:rPr>
            </w:pPr>
          </w:p>
        </w:tc>
      </w:tr>
      <w:tr>
        <w:trPr>
          <w:trHeight w:val="209"/>
        </w:trPr>
        <w:tc>
          <w:tcPr>
            <w:tcW w:w="72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Cash flows from operating activities:</w:t>
            </w:r>
          </w:p>
        </w:tc>
        <w:tc>
          <w:tcPr>
            <w:tcW w:w="300" w:type="dxa"/>
            <w:vAlign w:val="bottom"/>
            <w:shd w:val="clear" w:color="auto" w:fill="CCEEFF"/>
          </w:tcPr>
          <w:p>
            <w:pPr>
              <w:spacing w:after="0"/>
              <w:rPr>
                <w:sz w:val="18"/>
                <w:szCs w:val="18"/>
                <w:color w:val="auto"/>
              </w:rPr>
            </w:pPr>
          </w:p>
        </w:tc>
        <w:tc>
          <w:tcPr>
            <w:tcW w:w="1080" w:type="dxa"/>
            <w:vAlign w:val="bottom"/>
            <w:tcBorders>
              <w:top w:val="single" w:sz="8" w:color="auto"/>
            </w:tcBorders>
            <w:shd w:val="clear" w:color="auto" w:fill="CCEEFF"/>
          </w:tcPr>
          <w:p>
            <w:pPr>
              <w:spacing w:after="0"/>
              <w:rPr>
                <w:sz w:val="18"/>
                <w:szCs w:val="18"/>
                <w:color w:val="auto"/>
              </w:rPr>
            </w:pPr>
          </w:p>
        </w:tc>
        <w:tc>
          <w:tcPr>
            <w:tcW w:w="680" w:type="dxa"/>
            <w:vAlign w:val="bottom"/>
            <w:tcBorders>
              <w:top w:val="single" w:sz="8" w:color="auto"/>
            </w:tcBorders>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60" w:type="dxa"/>
            <w:vAlign w:val="bottom"/>
            <w:tcBorders>
              <w:top w:val="single" w:sz="8" w:color="auto"/>
            </w:tcBorders>
            <w:shd w:val="clear" w:color="auto" w:fill="CCEEFF"/>
          </w:tcPr>
          <w:p>
            <w:pPr>
              <w:spacing w:after="0"/>
              <w:rPr>
                <w:sz w:val="18"/>
                <w:szCs w:val="18"/>
                <w:color w:val="auto"/>
              </w:rPr>
            </w:pPr>
          </w:p>
        </w:tc>
        <w:tc>
          <w:tcPr>
            <w:tcW w:w="740" w:type="dxa"/>
            <w:vAlign w:val="bottom"/>
            <w:tcBorders>
              <w:top w:val="single" w:sz="8" w:color="auto"/>
            </w:tcBorders>
            <w:shd w:val="clear" w:color="auto" w:fill="CCEEFF"/>
          </w:tcPr>
          <w:p>
            <w:pPr>
              <w:spacing w:after="0"/>
              <w:rPr>
                <w:sz w:val="18"/>
                <w:szCs w:val="18"/>
                <w:color w:val="auto"/>
              </w:rPr>
            </w:pPr>
          </w:p>
        </w:tc>
      </w:tr>
      <w:tr>
        <w:trPr>
          <w:trHeight w:val="216"/>
        </w:trPr>
        <w:tc>
          <w:tcPr>
            <w:tcW w:w="7260" w:type="dxa"/>
            <w:vAlign w:val="bottom"/>
            <w:gridSpan w:val="2"/>
          </w:tcPr>
          <w:p>
            <w:pPr>
              <w:spacing w:after="0"/>
              <w:rPr>
                <w:sz w:val="20"/>
                <w:szCs w:val="20"/>
                <w:color w:val="auto"/>
              </w:rPr>
            </w:pPr>
            <w:r>
              <w:rPr>
                <w:rFonts w:ascii="Arial" w:cs="Arial" w:eastAsia="Arial" w:hAnsi="Arial"/>
                <w:sz w:val="18"/>
                <w:szCs w:val="18"/>
                <w:color w:val="auto"/>
              </w:rPr>
              <w:t>Net loss</w:t>
            </w:r>
          </w:p>
        </w:tc>
        <w:tc>
          <w:tcPr>
            <w:tcW w:w="1380" w:type="dxa"/>
            <w:vAlign w:val="bottom"/>
            <w:gridSpan w:val="2"/>
          </w:tcPr>
          <w:p>
            <w:pPr>
              <w:jc w:val="right"/>
              <w:ind w:right="910"/>
              <w:spacing w:after="0"/>
              <w:rPr>
                <w:sz w:val="20"/>
                <w:szCs w:val="20"/>
                <w:color w:val="auto"/>
              </w:rPr>
            </w:pPr>
            <w:r>
              <w:rPr>
                <w:rFonts w:ascii="Arial" w:cs="Arial" w:eastAsia="Arial" w:hAnsi="Arial"/>
                <w:sz w:val="18"/>
                <w:szCs w:val="18"/>
                <w:color w:val="auto"/>
              </w:rPr>
              <w:t>$</w:t>
            </w:r>
          </w:p>
        </w:tc>
        <w:tc>
          <w:tcPr>
            <w:tcW w:w="680" w:type="dxa"/>
            <w:vAlign w:val="bottom"/>
          </w:tcPr>
          <w:p>
            <w:pPr>
              <w:jc w:val="right"/>
              <w:spacing w:after="0"/>
              <w:rPr>
                <w:sz w:val="20"/>
                <w:szCs w:val="20"/>
                <w:color w:val="auto"/>
              </w:rPr>
            </w:pPr>
            <w:r>
              <w:rPr>
                <w:rFonts w:ascii="Arial" w:cs="Arial" w:eastAsia="Arial" w:hAnsi="Arial"/>
                <w:sz w:val="18"/>
                <w:szCs w:val="18"/>
                <w:color w:val="auto"/>
              </w:rPr>
              <w:t>(288)</w:t>
            </w:r>
          </w:p>
        </w:tc>
        <w:tc>
          <w:tcPr>
            <w:tcW w:w="1180" w:type="dxa"/>
            <w:vAlign w:val="bottom"/>
            <w:gridSpan w:val="2"/>
          </w:tcPr>
          <w:p>
            <w:pPr>
              <w:jc w:val="right"/>
              <w:ind w:right="960"/>
              <w:spacing w:after="0"/>
              <w:rPr>
                <w:sz w:val="20"/>
                <w:szCs w:val="20"/>
                <w:color w:val="auto"/>
              </w:rPr>
            </w:pPr>
            <w:r>
              <w:rPr>
                <w:rFonts w:ascii="Arial" w:cs="Arial" w:eastAsia="Arial" w:hAnsi="Arial"/>
                <w:sz w:val="18"/>
                <w:szCs w:val="18"/>
                <w:color w:val="auto"/>
              </w:rPr>
              <w:t>$</w:t>
            </w:r>
          </w:p>
        </w:tc>
        <w:tc>
          <w:tcPr>
            <w:tcW w:w="740" w:type="dxa"/>
            <w:vAlign w:val="bottom"/>
          </w:tcPr>
          <w:p>
            <w:pPr>
              <w:jc w:val="right"/>
              <w:spacing w:after="0"/>
              <w:rPr>
                <w:sz w:val="20"/>
                <w:szCs w:val="20"/>
                <w:color w:val="auto"/>
              </w:rPr>
            </w:pPr>
            <w:r>
              <w:rPr>
                <w:rFonts w:ascii="Arial" w:cs="Arial" w:eastAsia="Arial" w:hAnsi="Arial"/>
                <w:sz w:val="18"/>
                <w:szCs w:val="18"/>
                <w:color w:val="auto"/>
              </w:rPr>
              <w:t>(7,810)</w:t>
            </w:r>
          </w:p>
        </w:tc>
      </w:tr>
      <w:tr>
        <w:trPr>
          <w:trHeight w:val="216"/>
        </w:trPr>
        <w:tc>
          <w:tcPr>
            <w:tcW w:w="72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Adjustments to reconcile net loss to net cash provided by operating activities:</w:t>
            </w:r>
          </w:p>
        </w:tc>
        <w:tc>
          <w:tcPr>
            <w:tcW w:w="300" w:type="dxa"/>
            <w:vAlign w:val="bottom"/>
            <w:shd w:val="clear" w:color="auto" w:fill="CCEEFF"/>
          </w:tcPr>
          <w:p>
            <w:pPr>
              <w:spacing w:after="0"/>
              <w:rPr>
                <w:sz w:val="18"/>
                <w:szCs w:val="18"/>
                <w:color w:val="auto"/>
              </w:rPr>
            </w:pPr>
          </w:p>
        </w:tc>
        <w:tc>
          <w:tcPr>
            <w:tcW w:w="108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6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r>
      <w:tr>
        <w:trPr>
          <w:trHeight w:val="216"/>
        </w:trPr>
        <w:tc>
          <w:tcPr>
            <w:tcW w:w="7260" w:type="dxa"/>
            <w:vAlign w:val="bottom"/>
            <w:gridSpan w:val="2"/>
          </w:tcPr>
          <w:p>
            <w:pPr>
              <w:ind w:left="180"/>
              <w:spacing w:after="0"/>
              <w:rPr>
                <w:sz w:val="20"/>
                <w:szCs w:val="20"/>
                <w:color w:val="auto"/>
              </w:rPr>
            </w:pPr>
            <w:r>
              <w:rPr>
                <w:rFonts w:ascii="Arial" w:cs="Arial" w:eastAsia="Arial" w:hAnsi="Arial"/>
                <w:sz w:val="18"/>
                <w:szCs w:val="18"/>
                <w:color w:val="auto"/>
              </w:rPr>
              <w:t>Depreciation</w:t>
            </w:r>
          </w:p>
        </w:tc>
        <w:tc>
          <w:tcPr>
            <w:tcW w:w="30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680" w:type="dxa"/>
            <w:vAlign w:val="bottom"/>
          </w:tcPr>
          <w:p>
            <w:pPr>
              <w:jc w:val="right"/>
              <w:ind w:right="30"/>
              <w:spacing w:after="0"/>
              <w:rPr>
                <w:sz w:val="20"/>
                <w:szCs w:val="20"/>
                <w:color w:val="auto"/>
              </w:rPr>
            </w:pPr>
            <w:r>
              <w:rPr>
                <w:rFonts w:ascii="Arial" w:cs="Arial" w:eastAsia="Arial" w:hAnsi="Arial"/>
                <w:sz w:val="18"/>
                <w:szCs w:val="18"/>
                <w:color w:val="auto"/>
              </w:rPr>
              <w:t>1,781</w:t>
            </w:r>
          </w:p>
        </w:tc>
        <w:tc>
          <w:tcPr>
            <w:tcW w:w="12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740" w:type="dxa"/>
            <w:vAlign w:val="bottom"/>
          </w:tcPr>
          <w:p>
            <w:pPr>
              <w:jc w:val="right"/>
              <w:ind w:right="50"/>
              <w:spacing w:after="0"/>
              <w:rPr>
                <w:sz w:val="20"/>
                <w:szCs w:val="20"/>
                <w:color w:val="auto"/>
              </w:rPr>
            </w:pPr>
            <w:r>
              <w:rPr>
                <w:rFonts w:ascii="Arial" w:cs="Arial" w:eastAsia="Arial" w:hAnsi="Arial"/>
                <w:sz w:val="18"/>
                <w:szCs w:val="18"/>
                <w:color w:val="auto"/>
              </w:rPr>
              <w:t>1,922</w:t>
            </w:r>
          </w:p>
        </w:tc>
      </w:tr>
      <w:tr>
        <w:trPr>
          <w:trHeight w:val="216"/>
        </w:trPr>
        <w:tc>
          <w:tcPr>
            <w:tcW w:w="7260" w:type="dxa"/>
            <w:vAlign w:val="bottom"/>
            <w:gridSpan w:val="2"/>
            <w:shd w:val="clear" w:color="auto" w:fill="CCEEFF"/>
          </w:tcPr>
          <w:p>
            <w:pPr>
              <w:ind w:left="180"/>
              <w:spacing w:after="0"/>
              <w:rPr>
                <w:sz w:val="20"/>
                <w:szCs w:val="20"/>
                <w:color w:val="auto"/>
              </w:rPr>
            </w:pPr>
            <w:r>
              <w:rPr>
                <w:rFonts w:ascii="Arial" w:cs="Arial" w:eastAsia="Arial" w:hAnsi="Arial"/>
                <w:sz w:val="18"/>
                <w:szCs w:val="18"/>
                <w:color w:val="auto"/>
              </w:rPr>
              <w:t>Amortization of intangible assets</w:t>
            </w:r>
          </w:p>
        </w:tc>
        <w:tc>
          <w:tcPr>
            <w:tcW w:w="300" w:type="dxa"/>
            <w:vAlign w:val="bottom"/>
            <w:shd w:val="clear" w:color="auto" w:fill="CCEEFF"/>
          </w:tcPr>
          <w:p>
            <w:pPr>
              <w:spacing w:after="0"/>
              <w:rPr>
                <w:sz w:val="18"/>
                <w:szCs w:val="18"/>
                <w:color w:val="auto"/>
              </w:rPr>
            </w:pPr>
          </w:p>
        </w:tc>
        <w:tc>
          <w:tcPr>
            <w:tcW w:w="1080" w:type="dxa"/>
            <w:vAlign w:val="bottom"/>
            <w:shd w:val="clear" w:color="auto" w:fill="CCEEFF"/>
          </w:tcPr>
          <w:p>
            <w:pPr>
              <w:spacing w:after="0"/>
              <w:rPr>
                <w:sz w:val="18"/>
                <w:szCs w:val="18"/>
                <w:color w:val="auto"/>
              </w:rPr>
            </w:pPr>
          </w:p>
        </w:tc>
        <w:tc>
          <w:tcPr>
            <w:tcW w:w="68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5,840</w:t>
            </w:r>
          </w:p>
        </w:tc>
        <w:tc>
          <w:tcPr>
            <w:tcW w:w="120" w:type="dxa"/>
            <w:vAlign w:val="bottom"/>
            <w:shd w:val="clear" w:color="auto" w:fill="CCEEFF"/>
          </w:tcPr>
          <w:p>
            <w:pPr>
              <w:spacing w:after="0"/>
              <w:rPr>
                <w:sz w:val="18"/>
                <w:szCs w:val="18"/>
                <w:color w:val="auto"/>
              </w:rPr>
            </w:pPr>
          </w:p>
        </w:tc>
        <w:tc>
          <w:tcPr>
            <w:tcW w:w="1060" w:type="dxa"/>
            <w:vAlign w:val="bottom"/>
            <w:shd w:val="clear" w:color="auto" w:fill="CCEEFF"/>
          </w:tcPr>
          <w:p>
            <w:pPr>
              <w:spacing w:after="0"/>
              <w:rPr>
                <w:sz w:val="18"/>
                <w:szCs w:val="18"/>
                <w:color w:val="auto"/>
              </w:rPr>
            </w:pPr>
          </w:p>
        </w:tc>
        <w:tc>
          <w:tcPr>
            <w:tcW w:w="74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rPr>
              <w:t>5,710</w:t>
            </w:r>
          </w:p>
        </w:tc>
      </w:tr>
      <w:tr>
        <w:trPr>
          <w:trHeight w:val="216"/>
        </w:trPr>
        <w:tc>
          <w:tcPr>
            <w:tcW w:w="7260" w:type="dxa"/>
            <w:vAlign w:val="bottom"/>
            <w:gridSpan w:val="2"/>
          </w:tcPr>
          <w:p>
            <w:pPr>
              <w:ind w:left="180"/>
              <w:spacing w:after="0"/>
              <w:rPr>
                <w:sz w:val="20"/>
                <w:szCs w:val="20"/>
                <w:color w:val="auto"/>
              </w:rPr>
            </w:pPr>
            <w:r>
              <w:rPr>
                <w:rFonts w:ascii="Arial" w:cs="Arial" w:eastAsia="Arial" w:hAnsi="Arial"/>
                <w:sz w:val="18"/>
                <w:szCs w:val="18"/>
                <w:color w:val="auto"/>
              </w:rPr>
              <w:t>Amortization of deferred financing costs</w:t>
            </w:r>
          </w:p>
        </w:tc>
        <w:tc>
          <w:tcPr>
            <w:tcW w:w="30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680" w:type="dxa"/>
            <w:vAlign w:val="bottom"/>
          </w:tcPr>
          <w:p>
            <w:pPr>
              <w:jc w:val="right"/>
              <w:ind w:right="30"/>
              <w:spacing w:after="0"/>
              <w:rPr>
                <w:sz w:val="20"/>
                <w:szCs w:val="20"/>
                <w:color w:val="auto"/>
              </w:rPr>
            </w:pPr>
            <w:r>
              <w:rPr>
                <w:rFonts w:ascii="Arial" w:cs="Arial" w:eastAsia="Arial" w:hAnsi="Arial"/>
                <w:sz w:val="18"/>
                <w:szCs w:val="18"/>
                <w:color w:val="auto"/>
              </w:rPr>
              <w:t>280</w:t>
            </w:r>
          </w:p>
        </w:tc>
        <w:tc>
          <w:tcPr>
            <w:tcW w:w="12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740" w:type="dxa"/>
            <w:vAlign w:val="bottom"/>
          </w:tcPr>
          <w:p>
            <w:pPr>
              <w:jc w:val="right"/>
              <w:ind w:right="50"/>
              <w:spacing w:after="0"/>
              <w:rPr>
                <w:sz w:val="20"/>
                <w:szCs w:val="20"/>
                <w:color w:val="auto"/>
              </w:rPr>
            </w:pPr>
            <w:r>
              <w:rPr>
                <w:rFonts w:ascii="Arial" w:cs="Arial" w:eastAsia="Arial" w:hAnsi="Arial"/>
                <w:sz w:val="18"/>
                <w:szCs w:val="18"/>
                <w:color w:val="auto"/>
              </w:rPr>
              <w:t>393</w:t>
            </w:r>
          </w:p>
        </w:tc>
      </w:tr>
      <w:tr>
        <w:trPr>
          <w:trHeight w:val="216"/>
        </w:trPr>
        <w:tc>
          <w:tcPr>
            <w:tcW w:w="7260" w:type="dxa"/>
            <w:vAlign w:val="bottom"/>
            <w:gridSpan w:val="2"/>
            <w:shd w:val="clear" w:color="auto" w:fill="CCEEFF"/>
          </w:tcPr>
          <w:p>
            <w:pPr>
              <w:ind w:left="180"/>
              <w:spacing w:after="0"/>
              <w:rPr>
                <w:sz w:val="20"/>
                <w:szCs w:val="20"/>
                <w:color w:val="auto"/>
              </w:rPr>
            </w:pPr>
            <w:r>
              <w:rPr>
                <w:rFonts w:ascii="Arial" w:cs="Arial" w:eastAsia="Arial" w:hAnsi="Arial"/>
                <w:sz w:val="18"/>
                <w:szCs w:val="18"/>
                <w:color w:val="auto"/>
              </w:rPr>
              <w:t>Write-off of unamortized deferred financing costs</w:t>
            </w:r>
          </w:p>
        </w:tc>
        <w:tc>
          <w:tcPr>
            <w:tcW w:w="300" w:type="dxa"/>
            <w:vAlign w:val="bottom"/>
            <w:shd w:val="clear" w:color="auto" w:fill="CCEEFF"/>
          </w:tcPr>
          <w:p>
            <w:pPr>
              <w:spacing w:after="0"/>
              <w:rPr>
                <w:sz w:val="18"/>
                <w:szCs w:val="18"/>
                <w:color w:val="auto"/>
              </w:rPr>
            </w:pPr>
          </w:p>
        </w:tc>
        <w:tc>
          <w:tcPr>
            <w:tcW w:w="1080" w:type="dxa"/>
            <w:vAlign w:val="bottom"/>
            <w:shd w:val="clear" w:color="auto" w:fill="CCEEFF"/>
          </w:tcPr>
          <w:p>
            <w:pPr>
              <w:spacing w:after="0"/>
              <w:rPr>
                <w:sz w:val="18"/>
                <w:szCs w:val="18"/>
                <w:color w:val="auto"/>
              </w:rPr>
            </w:pPr>
          </w:p>
        </w:tc>
        <w:tc>
          <w:tcPr>
            <w:tcW w:w="68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8"/>
                <w:szCs w:val="18"/>
                <w:color w:val="auto"/>
              </w:rPr>
            </w:pPr>
          </w:p>
        </w:tc>
        <w:tc>
          <w:tcPr>
            <w:tcW w:w="1060" w:type="dxa"/>
            <w:vAlign w:val="bottom"/>
            <w:shd w:val="clear" w:color="auto" w:fill="CCEEFF"/>
          </w:tcPr>
          <w:p>
            <w:pPr>
              <w:spacing w:after="0"/>
              <w:rPr>
                <w:sz w:val="18"/>
                <w:szCs w:val="18"/>
                <w:color w:val="auto"/>
              </w:rPr>
            </w:pPr>
          </w:p>
        </w:tc>
        <w:tc>
          <w:tcPr>
            <w:tcW w:w="74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rPr>
              <w:t>787</w:t>
            </w:r>
          </w:p>
        </w:tc>
      </w:tr>
      <w:tr>
        <w:trPr>
          <w:trHeight w:val="216"/>
        </w:trPr>
        <w:tc>
          <w:tcPr>
            <w:tcW w:w="7260" w:type="dxa"/>
            <w:vAlign w:val="bottom"/>
            <w:gridSpan w:val="2"/>
          </w:tcPr>
          <w:p>
            <w:pPr>
              <w:ind w:left="180"/>
              <w:spacing w:after="0"/>
              <w:rPr>
                <w:sz w:val="20"/>
                <w:szCs w:val="20"/>
                <w:color w:val="auto"/>
              </w:rPr>
            </w:pPr>
            <w:r>
              <w:rPr>
                <w:rFonts w:ascii="Arial" w:cs="Arial" w:eastAsia="Arial" w:hAnsi="Arial"/>
                <w:sz w:val="18"/>
                <w:szCs w:val="18"/>
                <w:color w:val="auto"/>
              </w:rPr>
              <w:t>Debt extinguishment costs</w:t>
            </w:r>
          </w:p>
        </w:tc>
        <w:tc>
          <w:tcPr>
            <w:tcW w:w="30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680" w:type="dxa"/>
            <w:vAlign w:val="bottom"/>
          </w:tcPr>
          <w:p>
            <w:pPr>
              <w:jc w:val="right"/>
              <w:ind w:right="3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740" w:type="dxa"/>
            <w:vAlign w:val="bottom"/>
          </w:tcPr>
          <w:p>
            <w:pPr>
              <w:jc w:val="right"/>
              <w:ind w:right="50"/>
              <w:spacing w:after="0"/>
              <w:rPr>
                <w:sz w:val="20"/>
                <w:szCs w:val="20"/>
                <w:color w:val="auto"/>
              </w:rPr>
            </w:pPr>
            <w:r>
              <w:rPr>
                <w:rFonts w:ascii="Arial" w:cs="Arial" w:eastAsia="Arial" w:hAnsi="Arial"/>
                <w:sz w:val="18"/>
                <w:szCs w:val="18"/>
                <w:color w:val="auto"/>
              </w:rPr>
              <w:t>599</w:t>
            </w:r>
          </w:p>
        </w:tc>
      </w:tr>
      <w:tr>
        <w:trPr>
          <w:trHeight w:val="216"/>
        </w:trPr>
        <w:tc>
          <w:tcPr>
            <w:tcW w:w="7260" w:type="dxa"/>
            <w:vAlign w:val="bottom"/>
            <w:gridSpan w:val="2"/>
            <w:shd w:val="clear" w:color="auto" w:fill="CCEEFF"/>
          </w:tcPr>
          <w:p>
            <w:pPr>
              <w:ind w:left="180"/>
              <w:spacing w:after="0"/>
              <w:rPr>
                <w:sz w:val="20"/>
                <w:szCs w:val="20"/>
                <w:color w:val="auto"/>
              </w:rPr>
            </w:pPr>
            <w:r>
              <w:rPr>
                <w:rFonts w:ascii="Arial" w:cs="Arial" w:eastAsia="Arial" w:hAnsi="Arial"/>
                <w:sz w:val="18"/>
                <w:szCs w:val="18"/>
                <w:color w:val="auto"/>
              </w:rPr>
              <w:t>Stock-based compensation expense</w:t>
            </w:r>
          </w:p>
        </w:tc>
        <w:tc>
          <w:tcPr>
            <w:tcW w:w="300" w:type="dxa"/>
            <w:vAlign w:val="bottom"/>
            <w:shd w:val="clear" w:color="auto" w:fill="CCEEFF"/>
          </w:tcPr>
          <w:p>
            <w:pPr>
              <w:spacing w:after="0"/>
              <w:rPr>
                <w:sz w:val="18"/>
                <w:szCs w:val="18"/>
                <w:color w:val="auto"/>
              </w:rPr>
            </w:pPr>
          </w:p>
        </w:tc>
        <w:tc>
          <w:tcPr>
            <w:tcW w:w="1080" w:type="dxa"/>
            <w:vAlign w:val="bottom"/>
            <w:shd w:val="clear" w:color="auto" w:fill="CCEEFF"/>
          </w:tcPr>
          <w:p>
            <w:pPr>
              <w:spacing w:after="0"/>
              <w:rPr>
                <w:sz w:val="18"/>
                <w:szCs w:val="18"/>
                <w:color w:val="auto"/>
              </w:rPr>
            </w:pPr>
          </w:p>
        </w:tc>
        <w:tc>
          <w:tcPr>
            <w:tcW w:w="68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4,169</w:t>
            </w:r>
          </w:p>
        </w:tc>
        <w:tc>
          <w:tcPr>
            <w:tcW w:w="120" w:type="dxa"/>
            <w:vAlign w:val="bottom"/>
            <w:shd w:val="clear" w:color="auto" w:fill="CCEEFF"/>
          </w:tcPr>
          <w:p>
            <w:pPr>
              <w:spacing w:after="0"/>
              <w:rPr>
                <w:sz w:val="18"/>
                <w:szCs w:val="18"/>
                <w:color w:val="auto"/>
              </w:rPr>
            </w:pPr>
          </w:p>
        </w:tc>
        <w:tc>
          <w:tcPr>
            <w:tcW w:w="1060" w:type="dxa"/>
            <w:vAlign w:val="bottom"/>
            <w:shd w:val="clear" w:color="auto" w:fill="CCEEFF"/>
          </w:tcPr>
          <w:p>
            <w:pPr>
              <w:spacing w:after="0"/>
              <w:rPr>
                <w:sz w:val="18"/>
                <w:szCs w:val="18"/>
                <w:color w:val="auto"/>
              </w:rPr>
            </w:pPr>
          </w:p>
        </w:tc>
        <w:tc>
          <w:tcPr>
            <w:tcW w:w="74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rPr>
              <w:t>3,647</w:t>
            </w:r>
          </w:p>
        </w:tc>
      </w:tr>
      <w:tr>
        <w:trPr>
          <w:trHeight w:val="216"/>
        </w:trPr>
        <w:tc>
          <w:tcPr>
            <w:tcW w:w="7260" w:type="dxa"/>
            <w:vAlign w:val="bottom"/>
            <w:gridSpan w:val="2"/>
          </w:tcPr>
          <w:p>
            <w:pPr>
              <w:ind w:left="180"/>
              <w:spacing w:after="0"/>
              <w:rPr>
                <w:sz w:val="20"/>
                <w:szCs w:val="20"/>
                <w:color w:val="auto"/>
              </w:rPr>
            </w:pPr>
            <w:r>
              <w:rPr>
                <w:rFonts w:ascii="Arial" w:cs="Arial" w:eastAsia="Arial" w:hAnsi="Arial"/>
                <w:sz w:val="18"/>
                <w:szCs w:val="18"/>
                <w:color w:val="auto"/>
              </w:rPr>
              <w:t>Deferred income taxes and other</w:t>
            </w:r>
          </w:p>
        </w:tc>
        <w:tc>
          <w:tcPr>
            <w:tcW w:w="30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(330)</w:t>
            </w:r>
          </w:p>
        </w:tc>
        <w:tc>
          <w:tcPr>
            <w:tcW w:w="12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(23)</w:t>
            </w:r>
          </w:p>
        </w:tc>
      </w:tr>
      <w:tr>
        <w:trPr>
          <w:trHeight w:val="216"/>
        </w:trPr>
        <w:tc>
          <w:tcPr>
            <w:tcW w:w="72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Changes in operating assets and liabilities:</w:t>
            </w:r>
          </w:p>
        </w:tc>
        <w:tc>
          <w:tcPr>
            <w:tcW w:w="300" w:type="dxa"/>
            <w:vAlign w:val="bottom"/>
            <w:shd w:val="clear" w:color="auto" w:fill="CCEEFF"/>
          </w:tcPr>
          <w:p>
            <w:pPr>
              <w:spacing w:after="0"/>
              <w:rPr>
                <w:sz w:val="18"/>
                <w:szCs w:val="18"/>
                <w:color w:val="auto"/>
              </w:rPr>
            </w:pPr>
          </w:p>
        </w:tc>
        <w:tc>
          <w:tcPr>
            <w:tcW w:w="108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6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r>
      <w:tr>
        <w:trPr>
          <w:trHeight w:val="216"/>
        </w:trPr>
        <w:tc>
          <w:tcPr>
            <w:tcW w:w="7260" w:type="dxa"/>
            <w:vAlign w:val="bottom"/>
            <w:gridSpan w:val="2"/>
          </w:tcPr>
          <w:p>
            <w:pPr>
              <w:ind w:left="340"/>
              <w:spacing w:after="0"/>
              <w:rPr>
                <w:sz w:val="20"/>
                <w:szCs w:val="20"/>
                <w:color w:val="auto"/>
              </w:rPr>
            </w:pPr>
            <w:r>
              <w:rPr>
                <w:rFonts w:ascii="Arial" w:cs="Arial" w:eastAsia="Arial" w:hAnsi="Arial"/>
                <w:sz w:val="18"/>
                <w:szCs w:val="18"/>
                <w:color w:val="auto"/>
              </w:rPr>
              <w:t>Accounts receivable</w:t>
            </w:r>
          </w:p>
        </w:tc>
        <w:tc>
          <w:tcPr>
            <w:tcW w:w="30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(4,294)</w:t>
            </w:r>
          </w:p>
        </w:tc>
        <w:tc>
          <w:tcPr>
            <w:tcW w:w="12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740" w:type="dxa"/>
            <w:vAlign w:val="bottom"/>
          </w:tcPr>
          <w:p>
            <w:pPr>
              <w:jc w:val="right"/>
              <w:ind w:right="50"/>
              <w:spacing w:after="0"/>
              <w:rPr>
                <w:sz w:val="20"/>
                <w:szCs w:val="20"/>
                <w:color w:val="auto"/>
              </w:rPr>
            </w:pPr>
            <w:r>
              <w:rPr>
                <w:rFonts w:ascii="Arial" w:cs="Arial" w:eastAsia="Arial" w:hAnsi="Arial"/>
                <w:sz w:val="18"/>
                <w:szCs w:val="18"/>
                <w:color w:val="auto"/>
              </w:rPr>
              <w:t>3,105</w:t>
            </w:r>
          </w:p>
        </w:tc>
      </w:tr>
      <w:tr>
        <w:trPr>
          <w:trHeight w:val="216"/>
        </w:trPr>
        <w:tc>
          <w:tcPr>
            <w:tcW w:w="7260" w:type="dxa"/>
            <w:vAlign w:val="bottom"/>
            <w:gridSpan w:val="2"/>
            <w:shd w:val="clear" w:color="auto" w:fill="CCEEFF"/>
          </w:tcPr>
          <w:p>
            <w:pPr>
              <w:ind w:left="340"/>
              <w:spacing w:after="0"/>
              <w:rPr>
                <w:sz w:val="20"/>
                <w:szCs w:val="20"/>
                <w:color w:val="auto"/>
              </w:rPr>
            </w:pPr>
            <w:r>
              <w:rPr>
                <w:rFonts w:ascii="Arial" w:cs="Arial" w:eastAsia="Arial" w:hAnsi="Arial"/>
                <w:sz w:val="18"/>
                <w:szCs w:val="18"/>
                <w:color w:val="auto"/>
              </w:rPr>
              <w:t>Inventories</w:t>
            </w:r>
          </w:p>
        </w:tc>
        <w:tc>
          <w:tcPr>
            <w:tcW w:w="300" w:type="dxa"/>
            <w:vAlign w:val="bottom"/>
            <w:shd w:val="clear" w:color="auto" w:fill="CCEEFF"/>
          </w:tcPr>
          <w:p>
            <w:pPr>
              <w:spacing w:after="0"/>
              <w:rPr>
                <w:sz w:val="18"/>
                <w:szCs w:val="18"/>
                <w:color w:val="auto"/>
              </w:rPr>
            </w:pPr>
          </w:p>
        </w:tc>
        <w:tc>
          <w:tcPr>
            <w:tcW w:w="108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(5,861)</w:t>
            </w:r>
          </w:p>
        </w:tc>
        <w:tc>
          <w:tcPr>
            <w:tcW w:w="120" w:type="dxa"/>
            <w:vAlign w:val="bottom"/>
            <w:shd w:val="clear" w:color="auto" w:fill="CCEEFF"/>
          </w:tcPr>
          <w:p>
            <w:pPr>
              <w:spacing w:after="0"/>
              <w:rPr>
                <w:sz w:val="18"/>
                <w:szCs w:val="18"/>
                <w:color w:val="auto"/>
              </w:rPr>
            </w:pPr>
          </w:p>
        </w:tc>
        <w:tc>
          <w:tcPr>
            <w:tcW w:w="1060" w:type="dxa"/>
            <w:vAlign w:val="bottom"/>
            <w:shd w:val="clear" w:color="auto" w:fill="CCEEFF"/>
          </w:tcPr>
          <w:p>
            <w:pPr>
              <w:spacing w:after="0"/>
              <w:rPr>
                <w:sz w:val="18"/>
                <w:szCs w:val="18"/>
                <w:color w:val="auto"/>
              </w:rPr>
            </w:pPr>
          </w:p>
        </w:tc>
        <w:tc>
          <w:tcPr>
            <w:tcW w:w="74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rPr>
              <w:t>413</w:t>
            </w:r>
          </w:p>
        </w:tc>
      </w:tr>
      <w:tr>
        <w:trPr>
          <w:trHeight w:val="216"/>
        </w:trPr>
        <w:tc>
          <w:tcPr>
            <w:tcW w:w="7260" w:type="dxa"/>
            <w:vAlign w:val="bottom"/>
            <w:gridSpan w:val="2"/>
          </w:tcPr>
          <w:p>
            <w:pPr>
              <w:ind w:left="340"/>
              <w:spacing w:after="0"/>
              <w:rPr>
                <w:sz w:val="20"/>
                <w:szCs w:val="20"/>
                <w:color w:val="auto"/>
              </w:rPr>
            </w:pPr>
            <w:r>
              <w:rPr>
                <w:rFonts w:ascii="Arial" w:cs="Arial" w:eastAsia="Arial" w:hAnsi="Arial"/>
                <w:sz w:val="18"/>
                <w:szCs w:val="18"/>
                <w:color w:val="auto"/>
              </w:rPr>
              <w:t>Other assets</w:t>
            </w:r>
          </w:p>
        </w:tc>
        <w:tc>
          <w:tcPr>
            <w:tcW w:w="30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(439)</w:t>
            </w:r>
          </w:p>
        </w:tc>
        <w:tc>
          <w:tcPr>
            <w:tcW w:w="12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740" w:type="dxa"/>
            <w:vAlign w:val="bottom"/>
          </w:tcPr>
          <w:p>
            <w:pPr>
              <w:jc w:val="right"/>
              <w:ind w:right="50"/>
              <w:spacing w:after="0"/>
              <w:rPr>
                <w:sz w:val="20"/>
                <w:szCs w:val="20"/>
                <w:color w:val="auto"/>
              </w:rPr>
            </w:pPr>
            <w:r>
              <w:rPr>
                <w:rFonts w:ascii="Arial" w:cs="Arial" w:eastAsia="Arial" w:hAnsi="Arial"/>
                <w:sz w:val="18"/>
                <w:szCs w:val="18"/>
                <w:color w:val="auto"/>
              </w:rPr>
              <w:t>293</w:t>
            </w:r>
          </w:p>
        </w:tc>
      </w:tr>
      <w:tr>
        <w:trPr>
          <w:trHeight w:val="216"/>
        </w:trPr>
        <w:tc>
          <w:tcPr>
            <w:tcW w:w="7260" w:type="dxa"/>
            <w:vAlign w:val="bottom"/>
            <w:gridSpan w:val="2"/>
            <w:shd w:val="clear" w:color="auto" w:fill="CCEEFF"/>
          </w:tcPr>
          <w:p>
            <w:pPr>
              <w:ind w:left="340"/>
              <w:spacing w:after="0"/>
              <w:rPr>
                <w:sz w:val="20"/>
                <w:szCs w:val="20"/>
                <w:color w:val="auto"/>
              </w:rPr>
            </w:pPr>
            <w:r>
              <w:rPr>
                <w:rFonts w:ascii="Arial" w:cs="Arial" w:eastAsia="Arial" w:hAnsi="Arial"/>
                <w:sz w:val="18"/>
                <w:szCs w:val="18"/>
                <w:color w:val="auto"/>
              </w:rPr>
              <w:t>Accounts payable and accrued expenses</w:t>
            </w:r>
          </w:p>
        </w:tc>
        <w:tc>
          <w:tcPr>
            <w:tcW w:w="300" w:type="dxa"/>
            <w:vAlign w:val="bottom"/>
            <w:shd w:val="clear" w:color="auto" w:fill="CCEEFF"/>
          </w:tcPr>
          <w:p>
            <w:pPr>
              <w:spacing w:after="0"/>
              <w:rPr>
                <w:sz w:val="18"/>
                <w:szCs w:val="18"/>
                <w:color w:val="auto"/>
              </w:rPr>
            </w:pPr>
          </w:p>
        </w:tc>
        <w:tc>
          <w:tcPr>
            <w:tcW w:w="1080" w:type="dxa"/>
            <w:vAlign w:val="bottom"/>
            <w:shd w:val="clear" w:color="auto" w:fill="CCEEFF"/>
          </w:tcPr>
          <w:p>
            <w:pPr>
              <w:spacing w:after="0"/>
              <w:rPr>
                <w:sz w:val="18"/>
                <w:szCs w:val="18"/>
                <w:color w:val="auto"/>
              </w:rPr>
            </w:pPr>
          </w:p>
        </w:tc>
        <w:tc>
          <w:tcPr>
            <w:tcW w:w="68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2,454</w:t>
            </w:r>
          </w:p>
        </w:tc>
        <w:tc>
          <w:tcPr>
            <w:tcW w:w="120" w:type="dxa"/>
            <w:vAlign w:val="bottom"/>
            <w:shd w:val="clear" w:color="auto" w:fill="CCEEFF"/>
          </w:tcPr>
          <w:p>
            <w:pPr>
              <w:spacing w:after="0"/>
              <w:rPr>
                <w:sz w:val="18"/>
                <w:szCs w:val="18"/>
                <w:color w:val="auto"/>
              </w:rPr>
            </w:pPr>
          </w:p>
        </w:tc>
        <w:tc>
          <w:tcPr>
            <w:tcW w:w="1060" w:type="dxa"/>
            <w:vAlign w:val="bottom"/>
            <w:shd w:val="clear" w:color="auto" w:fill="CCEEFF"/>
          </w:tcPr>
          <w:p>
            <w:pPr>
              <w:spacing w:after="0"/>
              <w:rPr>
                <w:sz w:val="18"/>
                <w:szCs w:val="18"/>
                <w:color w:val="auto"/>
              </w:rPr>
            </w:pPr>
          </w:p>
        </w:tc>
        <w:tc>
          <w:tcPr>
            <w:tcW w:w="74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rPr>
              <w:t>1,491</w:t>
            </w:r>
          </w:p>
        </w:tc>
      </w:tr>
      <w:tr>
        <w:trPr>
          <w:trHeight w:val="216"/>
        </w:trPr>
        <w:tc>
          <w:tcPr>
            <w:tcW w:w="7260" w:type="dxa"/>
            <w:vAlign w:val="bottom"/>
            <w:gridSpan w:val="2"/>
          </w:tcPr>
          <w:p>
            <w:pPr>
              <w:ind w:left="340"/>
              <w:spacing w:after="0"/>
              <w:rPr>
                <w:sz w:val="20"/>
                <w:szCs w:val="20"/>
                <w:color w:val="auto"/>
              </w:rPr>
            </w:pPr>
            <w:r>
              <w:rPr>
                <w:rFonts w:ascii="Arial" w:cs="Arial" w:eastAsia="Arial" w:hAnsi="Arial"/>
                <w:sz w:val="18"/>
                <w:szCs w:val="18"/>
                <w:color w:val="auto"/>
              </w:rPr>
              <w:t>Deferred revenue</w:t>
            </w:r>
          </w:p>
        </w:tc>
        <w:tc>
          <w:tcPr>
            <w:tcW w:w="30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680" w:type="dxa"/>
            <w:vAlign w:val="bottom"/>
          </w:tcPr>
          <w:p>
            <w:pPr>
              <w:jc w:val="right"/>
              <w:ind w:right="30"/>
              <w:spacing w:after="0"/>
              <w:rPr>
                <w:sz w:val="20"/>
                <w:szCs w:val="20"/>
                <w:color w:val="auto"/>
              </w:rPr>
            </w:pPr>
            <w:r>
              <w:rPr>
                <w:rFonts w:ascii="Arial" w:cs="Arial" w:eastAsia="Arial" w:hAnsi="Arial"/>
                <w:sz w:val="18"/>
                <w:szCs w:val="18"/>
                <w:color w:val="auto"/>
              </w:rPr>
              <w:t>505</w:t>
            </w:r>
          </w:p>
        </w:tc>
        <w:tc>
          <w:tcPr>
            <w:tcW w:w="12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(184)</w:t>
            </w:r>
          </w:p>
        </w:tc>
      </w:tr>
      <w:tr>
        <w:trPr>
          <w:trHeight w:val="216"/>
        </w:trPr>
        <w:tc>
          <w:tcPr>
            <w:tcW w:w="7260" w:type="dxa"/>
            <w:vAlign w:val="bottom"/>
            <w:tcBorders>
              <w:bottom w:val="single" w:sz="8" w:color="CCEEFF"/>
            </w:tcBorders>
            <w:gridSpan w:val="2"/>
            <w:shd w:val="clear" w:color="auto" w:fill="CCEEFF"/>
          </w:tcPr>
          <w:p>
            <w:pPr>
              <w:ind w:left="340"/>
              <w:spacing w:after="0"/>
              <w:rPr>
                <w:sz w:val="20"/>
                <w:szCs w:val="20"/>
                <w:color w:val="auto"/>
              </w:rPr>
            </w:pPr>
            <w:r>
              <w:rPr>
                <w:rFonts w:ascii="Arial" w:cs="Arial" w:eastAsia="Arial" w:hAnsi="Arial"/>
                <w:sz w:val="18"/>
                <w:szCs w:val="18"/>
                <w:color w:val="auto"/>
              </w:rPr>
              <w:t>Other liabilities</w:t>
            </w:r>
          </w:p>
        </w:tc>
        <w:tc>
          <w:tcPr>
            <w:tcW w:w="300" w:type="dxa"/>
            <w:vAlign w:val="bottom"/>
            <w:tcBorders>
              <w:bottom w:val="single" w:sz="8" w:color="CCEEFF"/>
            </w:tcBorders>
            <w:shd w:val="clear" w:color="auto" w:fill="CCEEFF"/>
          </w:tcPr>
          <w:p>
            <w:pPr>
              <w:spacing w:after="0"/>
              <w:rPr>
                <w:sz w:val="18"/>
                <w:szCs w:val="18"/>
                <w:color w:val="auto"/>
              </w:rPr>
            </w:pPr>
          </w:p>
        </w:tc>
        <w:tc>
          <w:tcPr>
            <w:tcW w:w="1080" w:type="dxa"/>
            <w:vAlign w:val="bottom"/>
            <w:tcBorders>
              <w:bottom w:val="single" w:sz="8" w:color="auto"/>
            </w:tcBorders>
            <w:shd w:val="clear" w:color="auto" w:fill="CCEEFF"/>
          </w:tcPr>
          <w:p>
            <w:pPr>
              <w:spacing w:after="0"/>
              <w:rPr>
                <w:sz w:val="18"/>
                <w:szCs w:val="18"/>
                <w:color w:val="auto"/>
              </w:rPr>
            </w:pPr>
          </w:p>
        </w:tc>
        <w:tc>
          <w:tcPr>
            <w:tcW w:w="6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(2,555)</w:t>
            </w:r>
          </w:p>
        </w:tc>
        <w:tc>
          <w:tcPr>
            <w:tcW w:w="120" w:type="dxa"/>
            <w:vAlign w:val="bottom"/>
            <w:tcBorders>
              <w:bottom w:val="single" w:sz="8" w:color="CCEEFF"/>
            </w:tcBorders>
            <w:shd w:val="clear" w:color="auto" w:fill="CCEEFF"/>
          </w:tcPr>
          <w:p>
            <w:pPr>
              <w:spacing w:after="0"/>
              <w:rPr>
                <w:sz w:val="18"/>
                <w:szCs w:val="18"/>
                <w:color w:val="auto"/>
              </w:rPr>
            </w:pPr>
          </w:p>
        </w:tc>
        <w:tc>
          <w:tcPr>
            <w:tcW w:w="1060" w:type="dxa"/>
            <w:vAlign w:val="bottom"/>
            <w:tcBorders>
              <w:bottom w:val="single" w:sz="8" w:color="auto"/>
            </w:tcBorders>
            <w:shd w:val="clear" w:color="auto" w:fill="CCEEFF"/>
          </w:tcPr>
          <w:p>
            <w:pPr>
              <w:spacing w:after="0"/>
              <w:rPr>
                <w:sz w:val="18"/>
                <w:szCs w:val="18"/>
                <w:color w:val="auto"/>
              </w:rPr>
            </w:pPr>
          </w:p>
        </w:tc>
        <w:tc>
          <w:tcPr>
            <w:tcW w:w="7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(1,012)</w:t>
            </w:r>
          </w:p>
        </w:tc>
      </w:tr>
      <w:tr>
        <w:trPr>
          <w:trHeight w:val="209"/>
        </w:trPr>
        <w:tc>
          <w:tcPr>
            <w:tcW w:w="7260" w:type="dxa"/>
            <w:vAlign w:val="bottom"/>
            <w:gridSpan w:val="2"/>
          </w:tcPr>
          <w:p>
            <w:pPr>
              <w:ind w:left="500"/>
              <w:spacing w:after="0"/>
              <w:rPr>
                <w:sz w:val="20"/>
                <w:szCs w:val="20"/>
                <w:color w:val="auto"/>
              </w:rPr>
            </w:pPr>
            <w:r>
              <w:rPr>
                <w:rFonts w:ascii="Arial" w:cs="Arial" w:eastAsia="Arial" w:hAnsi="Arial"/>
                <w:sz w:val="18"/>
                <w:szCs w:val="18"/>
                <w:color w:val="auto"/>
              </w:rPr>
              <w:t>Net cash provided by operating activities</w:t>
            </w:r>
          </w:p>
        </w:tc>
        <w:tc>
          <w:tcPr>
            <w:tcW w:w="300" w:type="dxa"/>
            <w:vAlign w:val="bottom"/>
          </w:tcPr>
          <w:p>
            <w:pPr>
              <w:spacing w:after="0"/>
              <w:rPr>
                <w:sz w:val="18"/>
                <w:szCs w:val="18"/>
                <w:color w:val="auto"/>
              </w:rPr>
            </w:pPr>
          </w:p>
        </w:tc>
        <w:tc>
          <w:tcPr>
            <w:tcW w:w="1080" w:type="dxa"/>
            <w:vAlign w:val="bottom"/>
            <w:tcBorders>
              <w:bottom w:val="single" w:sz="8" w:color="auto"/>
            </w:tcBorders>
          </w:tcPr>
          <w:p>
            <w:pPr>
              <w:spacing w:after="0"/>
              <w:rPr>
                <w:sz w:val="18"/>
                <w:szCs w:val="18"/>
                <w:color w:val="auto"/>
              </w:rPr>
            </w:pPr>
          </w:p>
        </w:tc>
        <w:tc>
          <w:tcPr>
            <w:tcW w:w="68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1,262</w:t>
            </w:r>
          </w:p>
        </w:tc>
        <w:tc>
          <w:tcPr>
            <w:tcW w:w="120" w:type="dxa"/>
            <w:vAlign w:val="bottom"/>
          </w:tcPr>
          <w:p>
            <w:pPr>
              <w:spacing w:after="0"/>
              <w:rPr>
                <w:sz w:val="18"/>
                <w:szCs w:val="18"/>
                <w:color w:val="auto"/>
              </w:rPr>
            </w:pPr>
          </w:p>
        </w:tc>
        <w:tc>
          <w:tcPr>
            <w:tcW w:w="1060" w:type="dxa"/>
            <w:vAlign w:val="bottom"/>
            <w:tcBorders>
              <w:bottom w:val="single" w:sz="8" w:color="auto"/>
            </w:tcBorders>
          </w:tcPr>
          <w:p>
            <w:pPr>
              <w:spacing w:after="0"/>
              <w:rPr>
                <w:sz w:val="18"/>
                <w:szCs w:val="18"/>
                <w:color w:val="auto"/>
              </w:rPr>
            </w:pPr>
          </w:p>
        </w:tc>
        <w:tc>
          <w:tcPr>
            <w:tcW w:w="740" w:type="dxa"/>
            <w:vAlign w:val="bottom"/>
            <w:tcBorders>
              <w:bottom w:val="single" w:sz="8" w:color="auto"/>
            </w:tcBorders>
          </w:tcPr>
          <w:p>
            <w:pPr>
              <w:jc w:val="right"/>
              <w:ind w:right="50"/>
              <w:spacing w:after="0"/>
              <w:rPr>
                <w:sz w:val="20"/>
                <w:szCs w:val="20"/>
                <w:color w:val="auto"/>
              </w:rPr>
            </w:pPr>
            <w:r>
              <w:rPr>
                <w:rFonts w:ascii="Arial" w:cs="Arial" w:eastAsia="Arial" w:hAnsi="Arial"/>
                <w:sz w:val="18"/>
                <w:szCs w:val="18"/>
                <w:color w:val="auto"/>
              </w:rPr>
              <w:t>9,331</w:t>
            </w:r>
          </w:p>
        </w:tc>
      </w:tr>
      <w:tr>
        <w:trPr>
          <w:trHeight w:val="210"/>
        </w:trPr>
        <w:tc>
          <w:tcPr>
            <w:tcW w:w="1280" w:type="dxa"/>
            <w:vAlign w:val="bottom"/>
            <w:shd w:val="clear" w:color="auto" w:fill="CCEEFF"/>
          </w:tcPr>
          <w:p>
            <w:pPr>
              <w:spacing w:after="0"/>
              <w:rPr>
                <w:sz w:val="18"/>
                <w:szCs w:val="18"/>
                <w:color w:val="auto"/>
              </w:rPr>
            </w:pPr>
          </w:p>
        </w:tc>
        <w:tc>
          <w:tcPr>
            <w:tcW w:w="598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08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6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r>
      <w:tr>
        <w:trPr>
          <w:trHeight w:val="216"/>
        </w:trPr>
        <w:tc>
          <w:tcPr>
            <w:tcW w:w="7260" w:type="dxa"/>
            <w:vAlign w:val="bottom"/>
            <w:gridSpan w:val="2"/>
          </w:tcPr>
          <w:p>
            <w:pPr>
              <w:spacing w:after="0"/>
              <w:rPr>
                <w:sz w:val="20"/>
                <w:szCs w:val="20"/>
                <w:color w:val="auto"/>
              </w:rPr>
            </w:pPr>
            <w:r>
              <w:rPr>
                <w:rFonts w:ascii="Arial" w:cs="Arial" w:eastAsia="Arial" w:hAnsi="Arial"/>
                <w:sz w:val="18"/>
                <w:szCs w:val="18"/>
                <w:color w:val="auto"/>
              </w:rPr>
              <w:t>Cash flows from investing activities:</w:t>
            </w:r>
          </w:p>
        </w:tc>
        <w:tc>
          <w:tcPr>
            <w:tcW w:w="30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740" w:type="dxa"/>
            <w:vAlign w:val="bottom"/>
          </w:tcPr>
          <w:p>
            <w:pPr>
              <w:spacing w:after="0"/>
              <w:rPr>
                <w:sz w:val="18"/>
                <w:szCs w:val="18"/>
                <w:color w:val="auto"/>
              </w:rPr>
            </w:pPr>
          </w:p>
        </w:tc>
      </w:tr>
      <w:tr>
        <w:trPr>
          <w:trHeight w:val="216"/>
        </w:trPr>
        <w:tc>
          <w:tcPr>
            <w:tcW w:w="7260" w:type="dxa"/>
            <w:vAlign w:val="bottom"/>
            <w:gridSpan w:val="2"/>
            <w:shd w:val="clear" w:color="auto" w:fill="CCEEFF"/>
          </w:tcPr>
          <w:p>
            <w:pPr>
              <w:ind w:left="180"/>
              <w:spacing w:after="0"/>
              <w:rPr>
                <w:sz w:val="20"/>
                <w:szCs w:val="20"/>
                <w:color w:val="auto"/>
              </w:rPr>
            </w:pPr>
            <w:r>
              <w:rPr>
                <w:rFonts w:ascii="Arial" w:cs="Arial" w:eastAsia="Arial" w:hAnsi="Arial"/>
                <w:sz w:val="18"/>
                <w:szCs w:val="18"/>
                <w:color w:val="auto"/>
              </w:rPr>
              <w:t>Additions to property, plant and equipment</w:t>
            </w:r>
          </w:p>
        </w:tc>
        <w:tc>
          <w:tcPr>
            <w:tcW w:w="300" w:type="dxa"/>
            <w:vAlign w:val="bottom"/>
            <w:shd w:val="clear" w:color="auto" w:fill="CCEEFF"/>
          </w:tcPr>
          <w:p>
            <w:pPr>
              <w:spacing w:after="0"/>
              <w:rPr>
                <w:sz w:val="18"/>
                <w:szCs w:val="18"/>
                <w:color w:val="auto"/>
              </w:rPr>
            </w:pPr>
          </w:p>
        </w:tc>
        <w:tc>
          <w:tcPr>
            <w:tcW w:w="108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(1,195)</w:t>
            </w:r>
          </w:p>
        </w:tc>
        <w:tc>
          <w:tcPr>
            <w:tcW w:w="120" w:type="dxa"/>
            <w:vAlign w:val="bottom"/>
            <w:shd w:val="clear" w:color="auto" w:fill="CCEEFF"/>
          </w:tcPr>
          <w:p>
            <w:pPr>
              <w:spacing w:after="0"/>
              <w:rPr>
                <w:sz w:val="18"/>
                <w:szCs w:val="18"/>
                <w:color w:val="auto"/>
              </w:rPr>
            </w:pPr>
          </w:p>
        </w:tc>
        <w:tc>
          <w:tcPr>
            <w:tcW w:w="106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(1,152)</w:t>
            </w:r>
          </w:p>
        </w:tc>
      </w:tr>
      <w:tr>
        <w:trPr>
          <w:trHeight w:val="216"/>
        </w:trPr>
        <w:tc>
          <w:tcPr>
            <w:tcW w:w="7260" w:type="dxa"/>
            <w:vAlign w:val="bottom"/>
            <w:gridSpan w:val="2"/>
          </w:tcPr>
          <w:p>
            <w:pPr>
              <w:ind w:left="180"/>
              <w:spacing w:after="0"/>
              <w:rPr>
                <w:sz w:val="20"/>
                <w:szCs w:val="20"/>
                <w:color w:val="auto"/>
              </w:rPr>
            </w:pPr>
            <w:r>
              <w:rPr>
                <w:rFonts w:ascii="Arial" w:cs="Arial" w:eastAsia="Arial" w:hAnsi="Arial"/>
                <w:sz w:val="18"/>
                <w:szCs w:val="18"/>
                <w:color w:val="auto"/>
              </w:rPr>
              <w:t>Additions to intangible assets</w:t>
            </w:r>
          </w:p>
        </w:tc>
        <w:tc>
          <w:tcPr>
            <w:tcW w:w="300" w:type="dxa"/>
            <w:vAlign w:val="bottom"/>
          </w:tcPr>
          <w:p>
            <w:pPr>
              <w:spacing w:after="0"/>
              <w:rPr>
                <w:sz w:val="18"/>
                <w:szCs w:val="18"/>
                <w:color w:val="auto"/>
              </w:rPr>
            </w:pPr>
          </w:p>
        </w:tc>
        <w:tc>
          <w:tcPr>
            <w:tcW w:w="1080" w:type="dxa"/>
            <w:vAlign w:val="bottom"/>
            <w:tcBorders>
              <w:bottom w:val="single" w:sz="8" w:color="auto"/>
            </w:tcBorders>
          </w:tcPr>
          <w:p>
            <w:pPr>
              <w:spacing w:after="0"/>
              <w:rPr>
                <w:sz w:val="18"/>
                <w:szCs w:val="18"/>
                <w:color w:val="auto"/>
              </w:rPr>
            </w:pPr>
          </w:p>
        </w:tc>
        <w:tc>
          <w:tcPr>
            <w:tcW w:w="6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(150)</w:t>
            </w:r>
          </w:p>
        </w:tc>
        <w:tc>
          <w:tcPr>
            <w:tcW w:w="120" w:type="dxa"/>
            <w:vAlign w:val="bottom"/>
          </w:tcPr>
          <w:p>
            <w:pPr>
              <w:spacing w:after="0"/>
              <w:rPr>
                <w:sz w:val="18"/>
                <w:szCs w:val="18"/>
                <w:color w:val="auto"/>
              </w:rPr>
            </w:pPr>
          </w:p>
        </w:tc>
        <w:tc>
          <w:tcPr>
            <w:tcW w:w="1060" w:type="dxa"/>
            <w:vAlign w:val="bottom"/>
            <w:tcBorders>
              <w:bottom w:val="single" w:sz="8" w:color="auto"/>
            </w:tcBorders>
          </w:tcPr>
          <w:p>
            <w:pPr>
              <w:spacing w:after="0"/>
              <w:rPr>
                <w:sz w:val="18"/>
                <w:szCs w:val="18"/>
                <w:color w:val="auto"/>
              </w:rPr>
            </w:pP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(250)</w:t>
            </w:r>
          </w:p>
        </w:tc>
      </w:tr>
      <w:tr>
        <w:trPr>
          <w:trHeight w:val="210"/>
        </w:trPr>
        <w:tc>
          <w:tcPr>
            <w:tcW w:w="7260" w:type="dxa"/>
            <w:vAlign w:val="bottom"/>
            <w:tcBorders>
              <w:bottom w:val="single" w:sz="8" w:color="CCEEFF"/>
            </w:tcBorders>
            <w:gridSpan w:val="2"/>
            <w:shd w:val="clear" w:color="auto" w:fill="CCEEFF"/>
          </w:tcPr>
          <w:p>
            <w:pPr>
              <w:ind w:left="500"/>
              <w:spacing w:after="0"/>
              <w:rPr>
                <w:sz w:val="20"/>
                <w:szCs w:val="20"/>
                <w:color w:val="auto"/>
              </w:rPr>
            </w:pPr>
            <w:r>
              <w:rPr>
                <w:rFonts w:ascii="Arial" w:cs="Arial" w:eastAsia="Arial" w:hAnsi="Arial"/>
                <w:sz w:val="18"/>
                <w:szCs w:val="18"/>
                <w:color w:val="auto"/>
              </w:rPr>
              <w:t>Net cash used in investing activities</w:t>
            </w:r>
          </w:p>
        </w:tc>
        <w:tc>
          <w:tcPr>
            <w:tcW w:w="300" w:type="dxa"/>
            <w:vAlign w:val="bottom"/>
            <w:tcBorders>
              <w:bottom w:val="single" w:sz="8" w:color="CCEEFF"/>
            </w:tcBorders>
            <w:shd w:val="clear" w:color="auto" w:fill="CCEEFF"/>
          </w:tcPr>
          <w:p>
            <w:pPr>
              <w:spacing w:after="0"/>
              <w:rPr>
                <w:sz w:val="18"/>
                <w:szCs w:val="18"/>
                <w:color w:val="auto"/>
              </w:rPr>
            </w:pPr>
          </w:p>
        </w:tc>
        <w:tc>
          <w:tcPr>
            <w:tcW w:w="1080" w:type="dxa"/>
            <w:vAlign w:val="bottom"/>
            <w:tcBorders>
              <w:bottom w:val="single" w:sz="8" w:color="auto"/>
            </w:tcBorders>
            <w:shd w:val="clear" w:color="auto" w:fill="CCEEFF"/>
          </w:tcPr>
          <w:p>
            <w:pPr>
              <w:spacing w:after="0"/>
              <w:rPr>
                <w:sz w:val="18"/>
                <w:szCs w:val="18"/>
                <w:color w:val="auto"/>
              </w:rPr>
            </w:pPr>
          </w:p>
        </w:tc>
        <w:tc>
          <w:tcPr>
            <w:tcW w:w="6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(1,345)</w:t>
            </w:r>
          </w:p>
        </w:tc>
        <w:tc>
          <w:tcPr>
            <w:tcW w:w="120" w:type="dxa"/>
            <w:vAlign w:val="bottom"/>
            <w:tcBorders>
              <w:bottom w:val="single" w:sz="8" w:color="CCEEFF"/>
            </w:tcBorders>
            <w:shd w:val="clear" w:color="auto" w:fill="CCEEFF"/>
          </w:tcPr>
          <w:p>
            <w:pPr>
              <w:spacing w:after="0"/>
              <w:rPr>
                <w:sz w:val="18"/>
                <w:szCs w:val="18"/>
                <w:color w:val="auto"/>
              </w:rPr>
            </w:pPr>
          </w:p>
        </w:tc>
        <w:tc>
          <w:tcPr>
            <w:tcW w:w="1060" w:type="dxa"/>
            <w:vAlign w:val="bottom"/>
            <w:tcBorders>
              <w:bottom w:val="single" w:sz="8" w:color="auto"/>
            </w:tcBorders>
            <w:shd w:val="clear" w:color="auto" w:fill="CCEEFF"/>
          </w:tcPr>
          <w:p>
            <w:pPr>
              <w:spacing w:after="0"/>
              <w:rPr>
                <w:sz w:val="18"/>
                <w:szCs w:val="18"/>
                <w:color w:val="auto"/>
              </w:rPr>
            </w:pPr>
          </w:p>
        </w:tc>
        <w:tc>
          <w:tcPr>
            <w:tcW w:w="7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(1,402)</w:t>
            </w:r>
          </w:p>
        </w:tc>
      </w:tr>
      <w:tr>
        <w:trPr>
          <w:trHeight w:val="209"/>
        </w:trPr>
        <w:tc>
          <w:tcPr>
            <w:tcW w:w="1280" w:type="dxa"/>
            <w:vAlign w:val="bottom"/>
          </w:tcPr>
          <w:p>
            <w:pPr>
              <w:spacing w:after="0"/>
              <w:rPr>
                <w:sz w:val="18"/>
                <w:szCs w:val="18"/>
                <w:color w:val="auto"/>
              </w:rPr>
            </w:pPr>
          </w:p>
        </w:tc>
        <w:tc>
          <w:tcPr>
            <w:tcW w:w="59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740" w:type="dxa"/>
            <w:vAlign w:val="bottom"/>
          </w:tcPr>
          <w:p>
            <w:pPr>
              <w:spacing w:after="0"/>
              <w:rPr>
                <w:sz w:val="18"/>
                <w:szCs w:val="18"/>
                <w:color w:val="auto"/>
              </w:rPr>
            </w:pPr>
          </w:p>
        </w:tc>
      </w:tr>
      <w:tr>
        <w:trPr>
          <w:trHeight w:val="216"/>
        </w:trPr>
        <w:tc>
          <w:tcPr>
            <w:tcW w:w="72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Cash flows from financing activities:</w:t>
            </w:r>
          </w:p>
        </w:tc>
        <w:tc>
          <w:tcPr>
            <w:tcW w:w="300" w:type="dxa"/>
            <w:vAlign w:val="bottom"/>
            <w:shd w:val="clear" w:color="auto" w:fill="CCEEFF"/>
          </w:tcPr>
          <w:p>
            <w:pPr>
              <w:spacing w:after="0"/>
              <w:rPr>
                <w:sz w:val="18"/>
                <w:szCs w:val="18"/>
                <w:color w:val="auto"/>
              </w:rPr>
            </w:pPr>
          </w:p>
        </w:tc>
        <w:tc>
          <w:tcPr>
            <w:tcW w:w="108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6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r>
      <w:tr>
        <w:trPr>
          <w:trHeight w:val="216"/>
        </w:trPr>
        <w:tc>
          <w:tcPr>
            <w:tcW w:w="7260" w:type="dxa"/>
            <w:vAlign w:val="bottom"/>
            <w:gridSpan w:val="2"/>
          </w:tcPr>
          <w:p>
            <w:pPr>
              <w:ind w:left="180"/>
              <w:spacing w:after="0"/>
              <w:rPr>
                <w:sz w:val="20"/>
                <w:szCs w:val="20"/>
                <w:color w:val="auto"/>
              </w:rPr>
            </w:pPr>
            <w:r>
              <w:rPr>
                <w:rFonts w:ascii="Arial" w:cs="Arial" w:eastAsia="Arial" w:hAnsi="Arial"/>
                <w:sz w:val="18"/>
                <w:szCs w:val="18"/>
                <w:color w:val="auto"/>
              </w:rPr>
              <w:t>Proceeds from issuance of debt</w:t>
            </w:r>
          </w:p>
        </w:tc>
        <w:tc>
          <w:tcPr>
            <w:tcW w:w="30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680" w:type="dxa"/>
            <w:vAlign w:val="bottom"/>
          </w:tcPr>
          <w:p>
            <w:pPr>
              <w:jc w:val="right"/>
              <w:ind w:right="30"/>
              <w:spacing w:after="0"/>
              <w:rPr>
                <w:sz w:val="20"/>
                <w:szCs w:val="20"/>
                <w:color w:val="auto"/>
              </w:rPr>
            </w:pPr>
            <w:r>
              <w:rPr>
                <w:rFonts w:ascii="Arial" w:cs="Arial" w:eastAsia="Arial" w:hAnsi="Arial"/>
                <w:sz w:val="18"/>
                <w:szCs w:val="18"/>
                <w:color w:val="auto"/>
              </w:rPr>
              <w:t>4,250</w:t>
            </w:r>
          </w:p>
        </w:tc>
        <w:tc>
          <w:tcPr>
            <w:tcW w:w="12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740" w:type="dxa"/>
            <w:vAlign w:val="bottom"/>
          </w:tcPr>
          <w:p>
            <w:pPr>
              <w:jc w:val="right"/>
              <w:ind w:right="50"/>
              <w:spacing w:after="0"/>
              <w:rPr>
                <w:sz w:val="20"/>
                <w:szCs w:val="20"/>
                <w:color w:val="auto"/>
              </w:rPr>
            </w:pPr>
            <w:r>
              <w:rPr>
                <w:rFonts w:ascii="Arial" w:cs="Arial" w:eastAsia="Arial" w:hAnsi="Arial"/>
                <w:sz w:val="18"/>
                <w:szCs w:val="18"/>
                <w:color w:val="auto"/>
              </w:rPr>
              <w:t>61,315</w:t>
            </w:r>
          </w:p>
        </w:tc>
      </w:tr>
      <w:tr>
        <w:trPr>
          <w:trHeight w:val="216"/>
        </w:trPr>
        <w:tc>
          <w:tcPr>
            <w:tcW w:w="7260" w:type="dxa"/>
            <w:vAlign w:val="bottom"/>
            <w:gridSpan w:val="2"/>
            <w:shd w:val="clear" w:color="auto" w:fill="CCEEFF"/>
          </w:tcPr>
          <w:p>
            <w:pPr>
              <w:ind w:left="180"/>
              <w:spacing w:after="0"/>
              <w:rPr>
                <w:sz w:val="20"/>
                <w:szCs w:val="20"/>
                <w:color w:val="auto"/>
              </w:rPr>
            </w:pPr>
            <w:r>
              <w:rPr>
                <w:rFonts w:ascii="Arial" w:cs="Arial" w:eastAsia="Arial" w:hAnsi="Arial"/>
                <w:sz w:val="18"/>
                <w:szCs w:val="18"/>
                <w:color w:val="auto"/>
              </w:rPr>
              <w:t>Repayments of debt</w:t>
            </w:r>
          </w:p>
        </w:tc>
        <w:tc>
          <w:tcPr>
            <w:tcW w:w="300" w:type="dxa"/>
            <w:vAlign w:val="bottom"/>
            <w:shd w:val="clear" w:color="auto" w:fill="CCEEFF"/>
          </w:tcPr>
          <w:p>
            <w:pPr>
              <w:spacing w:after="0"/>
              <w:rPr>
                <w:sz w:val="18"/>
                <w:szCs w:val="18"/>
                <w:color w:val="auto"/>
              </w:rPr>
            </w:pPr>
          </w:p>
        </w:tc>
        <w:tc>
          <w:tcPr>
            <w:tcW w:w="108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(4,200)</w:t>
            </w:r>
          </w:p>
        </w:tc>
        <w:tc>
          <w:tcPr>
            <w:tcW w:w="120" w:type="dxa"/>
            <w:vAlign w:val="bottom"/>
            <w:shd w:val="clear" w:color="auto" w:fill="CCEEFF"/>
          </w:tcPr>
          <w:p>
            <w:pPr>
              <w:spacing w:after="0"/>
              <w:rPr>
                <w:sz w:val="18"/>
                <w:szCs w:val="18"/>
                <w:color w:val="auto"/>
              </w:rPr>
            </w:pPr>
          </w:p>
        </w:tc>
        <w:tc>
          <w:tcPr>
            <w:tcW w:w="106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5"/>
              </w:rPr>
              <w:t>(66,912)</w:t>
            </w:r>
          </w:p>
        </w:tc>
      </w:tr>
      <w:tr>
        <w:trPr>
          <w:trHeight w:val="216"/>
        </w:trPr>
        <w:tc>
          <w:tcPr>
            <w:tcW w:w="7260" w:type="dxa"/>
            <w:vAlign w:val="bottom"/>
            <w:gridSpan w:val="2"/>
          </w:tcPr>
          <w:p>
            <w:pPr>
              <w:ind w:left="180"/>
              <w:spacing w:after="0"/>
              <w:rPr>
                <w:sz w:val="20"/>
                <w:szCs w:val="20"/>
                <w:color w:val="auto"/>
              </w:rPr>
            </w:pPr>
            <w:r>
              <w:rPr>
                <w:rFonts w:ascii="Arial" w:cs="Arial" w:eastAsia="Arial" w:hAnsi="Arial"/>
                <w:sz w:val="18"/>
                <w:szCs w:val="18"/>
                <w:color w:val="auto"/>
              </w:rPr>
              <w:t>Debt issuance costs</w:t>
            </w:r>
          </w:p>
        </w:tc>
        <w:tc>
          <w:tcPr>
            <w:tcW w:w="30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(102)</w:t>
            </w:r>
          </w:p>
        </w:tc>
        <w:tc>
          <w:tcPr>
            <w:tcW w:w="12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(1,298)</w:t>
            </w:r>
          </w:p>
        </w:tc>
      </w:tr>
      <w:tr>
        <w:trPr>
          <w:trHeight w:val="216"/>
        </w:trPr>
        <w:tc>
          <w:tcPr>
            <w:tcW w:w="7260" w:type="dxa"/>
            <w:vAlign w:val="bottom"/>
            <w:gridSpan w:val="2"/>
            <w:shd w:val="clear" w:color="auto" w:fill="CCEEFF"/>
          </w:tcPr>
          <w:p>
            <w:pPr>
              <w:ind w:left="180"/>
              <w:spacing w:after="0"/>
              <w:rPr>
                <w:sz w:val="20"/>
                <w:szCs w:val="20"/>
                <w:color w:val="auto"/>
              </w:rPr>
            </w:pPr>
            <w:r>
              <w:rPr>
                <w:rFonts w:ascii="Arial" w:cs="Arial" w:eastAsia="Arial" w:hAnsi="Arial"/>
                <w:sz w:val="18"/>
                <w:szCs w:val="18"/>
                <w:color w:val="auto"/>
              </w:rPr>
              <w:t>Debt extinguishment costs</w:t>
            </w:r>
          </w:p>
        </w:tc>
        <w:tc>
          <w:tcPr>
            <w:tcW w:w="300" w:type="dxa"/>
            <w:vAlign w:val="bottom"/>
            <w:shd w:val="clear" w:color="auto" w:fill="CCEEFF"/>
          </w:tcPr>
          <w:p>
            <w:pPr>
              <w:spacing w:after="0"/>
              <w:rPr>
                <w:sz w:val="18"/>
                <w:szCs w:val="18"/>
                <w:color w:val="auto"/>
              </w:rPr>
            </w:pPr>
          </w:p>
        </w:tc>
        <w:tc>
          <w:tcPr>
            <w:tcW w:w="1080" w:type="dxa"/>
            <w:vAlign w:val="bottom"/>
            <w:shd w:val="clear" w:color="auto" w:fill="CCEEFF"/>
          </w:tcPr>
          <w:p>
            <w:pPr>
              <w:spacing w:after="0"/>
              <w:rPr>
                <w:sz w:val="18"/>
                <w:szCs w:val="18"/>
                <w:color w:val="auto"/>
              </w:rPr>
            </w:pPr>
          </w:p>
        </w:tc>
        <w:tc>
          <w:tcPr>
            <w:tcW w:w="68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8"/>
                <w:szCs w:val="18"/>
                <w:color w:val="auto"/>
              </w:rPr>
            </w:pPr>
          </w:p>
        </w:tc>
        <w:tc>
          <w:tcPr>
            <w:tcW w:w="106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(599)</w:t>
            </w:r>
          </w:p>
        </w:tc>
      </w:tr>
      <w:tr>
        <w:trPr>
          <w:trHeight w:val="216"/>
        </w:trPr>
        <w:tc>
          <w:tcPr>
            <w:tcW w:w="7260" w:type="dxa"/>
            <w:vAlign w:val="bottom"/>
            <w:gridSpan w:val="2"/>
          </w:tcPr>
          <w:p>
            <w:pPr>
              <w:ind w:left="180"/>
              <w:spacing w:after="0"/>
              <w:rPr>
                <w:sz w:val="20"/>
                <w:szCs w:val="20"/>
                <w:color w:val="auto"/>
              </w:rPr>
            </w:pPr>
            <w:r>
              <w:rPr>
                <w:rFonts w:ascii="Arial" w:cs="Arial" w:eastAsia="Arial" w:hAnsi="Arial"/>
                <w:sz w:val="18"/>
                <w:szCs w:val="18"/>
                <w:color w:val="auto"/>
              </w:rPr>
              <w:t>Proceeds from exercise of stock options</w:t>
            </w:r>
          </w:p>
        </w:tc>
        <w:tc>
          <w:tcPr>
            <w:tcW w:w="30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680" w:type="dxa"/>
            <w:vAlign w:val="bottom"/>
          </w:tcPr>
          <w:p>
            <w:pPr>
              <w:jc w:val="right"/>
              <w:ind w:right="30"/>
              <w:spacing w:after="0"/>
              <w:rPr>
                <w:sz w:val="20"/>
                <w:szCs w:val="20"/>
                <w:color w:val="auto"/>
              </w:rPr>
            </w:pPr>
            <w:r>
              <w:rPr>
                <w:rFonts w:ascii="Arial" w:cs="Arial" w:eastAsia="Arial" w:hAnsi="Arial"/>
                <w:sz w:val="18"/>
                <w:szCs w:val="18"/>
                <w:color w:val="auto"/>
              </w:rPr>
              <w:t>3,314</w:t>
            </w:r>
          </w:p>
        </w:tc>
        <w:tc>
          <w:tcPr>
            <w:tcW w:w="12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740" w:type="dxa"/>
            <w:vAlign w:val="bottom"/>
          </w:tcPr>
          <w:p>
            <w:pPr>
              <w:jc w:val="right"/>
              <w:ind w:right="50"/>
              <w:spacing w:after="0"/>
              <w:rPr>
                <w:sz w:val="20"/>
                <w:szCs w:val="20"/>
                <w:color w:val="auto"/>
              </w:rPr>
            </w:pPr>
            <w:r>
              <w:rPr>
                <w:rFonts w:ascii="Arial" w:cs="Arial" w:eastAsia="Arial" w:hAnsi="Arial"/>
                <w:sz w:val="18"/>
                <w:szCs w:val="18"/>
                <w:color w:val="auto"/>
              </w:rPr>
              <w:t>669</w:t>
            </w:r>
          </w:p>
        </w:tc>
      </w:tr>
      <w:tr>
        <w:trPr>
          <w:trHeight w:val="216"/>
        </w:trPr>
        <w:tc>
          <w:tcPr>
            <w:tcW w:w="7260" w:type="dxa"/>
            <w:vAlign w:val="bottom"/>
            <w:tcBorders>
              <w:bottom w:val="single" w:sz="8" w:color="CCEEFF"/>
            </w:tcBorders>
            <w:gridSpan w:val="2"/>
            <w:shd w:val="clear" w:color="auto" w:fill="CCEEFF"/>
          </w:tcPr>
          <w:p>
            <w:pPr>
              <w:ind w:left="180"/>
              <w:spacing w:after="0"/>
              <w:rPr>
                <w:sz w:val="20"/>
                <w:szCs w:val="20"/>
                <w:color w:val="auto"/>
              </w:rPr>
            </w:pPr>
            <w:r>
              <w:rPr>
                <w:rFonts w:ascii="Arial" w:cs="Arial" w:eastAsia="Arial" w:hAnsi="Arial"/>
                <w:sz w:val="18"/>
                <w:szCs w:val="18"/>
                <w:color w:val="auto"/>
              </w:rPr>
              <w:t>Taxes paid related to net share settlement of equity awards</w:t>
            </w:r>
          </w:p>
        </w:tc>
        <w:tc>
          <w:tcPr>
            <w:tcW w:w="300" w:type="dxa"/>
            <w:vAlign w:val="bottom"/>
            <w:tcBorders>
              <w:bottom w:val="single" w:sz="8" w:color="CCEEFF"/>
            </w:tcBorders>
            <w:shd w:val="clear" w:color="auto" w:fill="CCEEFF"/>
          </w:tcPr>
          <w:p>
            <w:pPr>
              <w:spacing w:after="0"/>
              <w:rPr>
                <w:sz w:val="18"/>
                <w:szCs w:val="18"/>
                <w:color w:val="auto"/>
              </w:rPr>
            </w:pPr>
          </w:p>
        </w:tc>
        <w:tc>
          <w:tcPr>
            <w:tcW w:w="1080" w:type="dxa"/>
            <w:vAlign w:val="bottom"/>
            <w:tcBorders>
              <w:bottom w:val="single" w:sz="8" w:color="auto"/>
            </w:tcBorders>
            <w:shd w:val="clear" w:color="auto" w:fill="CCEEFF"/>
          </w:tcPr>
          <w:p>
            <w:pPr>
              <w:spacing w:after="0"/>
              <w:rPr>
                <w:sz w:val="18"/>
                <w:szCs w:val="18"/>
                <w:color w:val="auto"/>
              </w:rPr>
            </w:pPr>
          </w:p>
        </w:tc>
        <w:tc>
          <w:tcPr>
            <w:tcW w:w="6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(3,514)</w:t>
            </w:r>
          </w:p>
        </w:tc>
        <w:tc>
          <w:tcPr>
            <w:tcW w:w="120" w:type="dxa"/>
            <w:vAlign w:val="bottom"/>
            <w:tcBorders>
              <w:bottom w:val="single" w:sz="8" w:color="CCEEFF"/>
            </w:tcBorders>
            <w:shd w:val="clear" w:color="auto" w:fill="CCEEFF"/>
          </w:tcPr>
          <w:p>
            <w:pPr>
              <w:spacing w:after="0"/>
              <w:rPr>
                <w:sz w:val="18"/>
                <w:szCs w:val="18"/>
                <w:color w:val="auto"/>
              </w:rPr>
            </w:pPr>
          </w:p>
        </w:tc>
        <w:tc>
          <w:tcPr>
            <w:tcW w:w="1060" w:type="dxa"/>
            <w:vAlign w:val="bottom"/>
            <w:tcBorders>
              <w:bottom w:val="single" w:sz="8" w:color="auto"/>
            </w:tcBorders>
            <w:shd w:val="clear" w:color="auto" w:fill="CCEEFF"/>
          </w:tcPr>
          <w:p>
            <w:pPr>
              <w:spacing w:after="0"/>
              <w:rPr>
                <w:sz w:val="18"/>
                <w:szCs w:val="18"/>
                <w:color w:val="auto"/>
              </w:rPr>
            </w:pPr>
          </w:p>
        </w:tc>
        <w:tc>
          <w:tcPr>
            <w:tcW w:w="7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(1,142)</w:t>
            </w:r>
          </w:p>
        </w:tc>
      </w:tr>
      <w:tr>
        <w:trPr>
          <w:trHeight w:val="210"/>
        </w:trPr>
        <w:tc>
          <w:tcPr>
            <w:tcW w:w="7260" w:type="dxa"/>
            <w:vAlign w:val="bottom"/>
            <w:gridSpan w:val="2"/>
          </w:tcPr>
          <w:p>
            <w:pPr>
              <w:ind w:left="500"/>
              <w:spacing w:after="0"/>
              <w:rPr>
                <w:sz w:val="20"/>
                <w:szCs w:val="20"/>
                <w:color w:val="auto"/>
              </w:rPr>
            </w:pPr>
            <w:r>
              <w:rPr>
                <w:rFonts w:ascii="Arial" w:cs="Arial" w:eastAsia="Arial" w:hAnsi="Arial"/>
                <w:sz w:val="18"/>
                <w:szCs w:val="18"/>
                <w:color w:val="auto"/>
              </w:rPr>
              <w:t>Net cash used in financing activities</w:t>
            </w:r>
          </w:p>
        </w:tc>
        <w:tc>
          <w:tcPr>
            <w:tcW w:w="300" w:type="dxa"/>
            <w:vAlign w:val="bottom"/>
          </w:tcPr>
          <w:p>
            <w:pPr>
              <w:spacing w:after="0"/>
              <w:rPr>
                <w:sz w:val="18"/>
                <w:szCs w:val="18"/>
                <w:color w:val="auto"/>
              </w:rPr>
            </w:pPr>
          </w:p>
        </w:tc>
        <w:tc>
          <w:tcPr>
            <w:tcW w:w="1080" w:type="dxa"/>
            <w:vAlign w:val="bottom"/>
            <w:tcBorders>
              <w:bottom w:val="single" w:sz="8" w:color="auto"/>
            </w:tcBorders>
          </w:tcPr>
          <w:p>
            <w:pPr>
              <w:spacing w:after="0"/>
              <w:rPr>
                <w:sz w:val="18"/>
                <w:szCs w:val="18"/>
                <w:color w:val="auto"/>
              </w:rPr>
            </w:pPr>
          </w:p>
        </w:tc>
        <w:tc>
          <w:tcPr>
            <w:tcW w:w="6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(252)</w:t>
            </w:r>
          </w:p>
        </w:tc>
        <w:tc>
          <w:tcPr>
            <w:tcW w:w="120" w:type="dxa"/>
            <w:vAlign w:val="bottom"/>
          </w:tcPr>
          <w:p>
            <w:pPr>
              <w:spacing w:after="0"/>
              <w:rPr>
                <w:sz w:val="18"/>
                <w:szCs w:val="18"/>
                <w:color w:val="auto"/>
              </w:rPr>
            </w:pPr>
          </w:p>
        </w:tc>
        <w:tc>
          <w:tcPr>
            <w:tcW w:w="1060" w:type="dxa"/>
            <w:vAlign w:val="bottom"/>
            <w:tcBorders>
              <w:bottom w:val="single" w:sz="8" w:color="auto"/>
            </w:tcBorders>
          </w:tcPr>
          <w:p>
            <w:pPr>
              <w:spacing w:after="0"/>
              <w:rPr>
                <w:sz w:val="18"/>
                <w:szCs w:val="18"/>
                <w:color w:val="auto"/>
              </w:rPr>
            </w:pP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(7,967)</w:t>
            </w:r>
          </w:p>
        </w:tc>
      </w:tr>
      <w:tr>
        <w:trPr>
          <w:trHeight w:val="209"/>
        </w:trPr>
        <w:tc>
          <w:tcPr>
            <w:tcW w:w="1280" w:type="dxa"/>
            <w:vAlign w:val="bottom"/>
            <w:shd w:val="clear" w:color="auto" w:fill="CCEEFF"/>
          </w:tcPr>
          <w:p>
            <w:pPr>
              <w:spacing w:after="0"/>
              <w:rPr>
                <w:sz w:val="18"/>
                <w:szCs w:val="18"/>
                <w:color w:val="auto"/>
              </w:rPr>
            </w:pPr>
          </w:p>
        </w:tc>
        <w:tc>
          <w:tcPr>
            <w:tcW w:w="598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08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6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r>
      <w:tr>
        <w:trPr>
          <w:trHeight w:val="216"/>
        </w:trPr>
        <w:tc>
          <w:tcPr>
            <w:tcW w:w="7260" w:type="dxa"/>
            <w:vAlign w:val="bottom"/>
            <w:gridSpan w:val="2"/>
          </w:tcPr>
          <w:p>
            <w:pPr>
              <w:spacing w:after="0"/>
              <w:rPr>
                <w:sz w:val="20"/>
                <w:szCs w:val="20"/>
                <w:color w:val="auto"/>
              </w:rPr>
            </w:pPr>
            <w:r>
              <w:rPr>
                <w:rFonts w:ascii="Arial" w:cs="Arial" w:eastAsia="Arial" w:hAnsi="Arial"/>
                <w:sz w:val="18"/>
                <w:szCs w:val="18"/>
                <w:color w:val="auto"/>
              </w:rPr>
              <w:t>Effect of exchange rate changes on cash</w:t>
            </w:r>
          </w:p>
        </w:tc>
        <w:tc>
          <w:tcPr>
            <w:tcW w:w="300" w:type="dxa"/>
            <w:vAlign w:val="bottom"/>
          </w:tcPr>
          <w:p>
            <w:pPr>
              <w:spacing w:after="0"/>
              <w:rPr>
                <w:sz w:val="18"/>
                <w:szCs w:val="18"/>
                <w:color w:val="auto"/>
              </w:rPr>
            </w:pPr>
          </w:p>
        </w:tc>
        <w:tc>
          <w:tcPr>
            <w:tcW w:w="1080" w:type="dxa"/>
            <w:vAlign w:val="bottom"/>
            <w:tcBorders>
              <w:bottom w:val="single" w:sz="8" w:color="auto"/>
            </w:tcBorders>
          </w:tcPr>
          <w:p>
            <w:pPr>
              <w:spacing w:after="0"/>
              <w:rPr>
                <w:sz w:val="18"/>
                <w:szCs w:val="18"/>
                <w:color w:val="auto"/>
              </w:rPr>
            </w:pPr>
          </w:p>
        </w:tc>
        <w:tc>
          <w:tcPr>
            <w:tcW w:w="6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(161)</w:t>
            </w:r>
          </w:p>
        </w:tc>
        <w:tc>
          <w:tcPr>
            <w:tcW w:w="120" w:type="dxa"/>
            <w:vAlign w:val="bottom"/>
          </w:tcPr>
          <w:p>
            <w:pPr>
              <w:spacing w:after="0"/>
              <w:rPr>
                <w:sz w:val="18"/>
                <w:szCs w:val="18"/>
                <w:color w:val="auto"/>
              </w:rPr>
            </w:pPr>
          </w:p>
        </w:tc>
        <w:tc>
          <w:tcPr>
            <w:tcW w:w="1060" w:type="dxa"/>
            <w:vAlign w:val="bottom"/>
            <w:tcBorders>
              <w:bottom w:val="single" w:sz="8" w:color="auto"/>
            </w:tcBorders>
          </w:tcPr>
          <w:p>
            <w:pPr>
              <w:spacing w:after="0"/>
              <w:rPr>
                <w:sz w:val="18"/>
                <w:szCs w:val="18"/>
                <w:color w:val="auto"/>
              </w:rPr>
            </w:pPr>
          </w:p>
        </w:tc>
        <w:tc>
          <w:tcPr>
            <w:tcW w:w="740" w:type="dxa"/>
            <w:vAlign w:val="bottom"/>
            <w:tcBorders>
              <w:bottom w:val="single" w:sz="8" w:color="auto"/>
            </w:tcBorders>
          </w:tcPr>
          <w:p>
            <w:pPr>
              <w:jc w:val="right"/>
              <w:ind w:right="50"/>
              <w:spacing w:after="0"/>
              <w:rPr>
                <w:sz w:val="20"/>
                <w:szCs w:val="20"/>
                <w:color w:val="auto"/>
              </w:rPr>
            </w:pPr>
            <w:r>
              <w:rPr>
                <w:rFonts w:ascii="Arial" w:cs="Arial" w:eastAsia="Arial" w:hAnsi="Arial"/>
                <w:sz w:val="18"/>
                <w:szCs w:val="18"/>
                <w:color w:val="auto"/>
              </w:rPr>
              <w:t>20</w:t>
            </w:r>
          </w:p>
        </w:tc>
      </w:tr>
      <w:tr>
        <w:trPr>
          <w:trHeight w:val="209"/>
        </w:trPr>
        <w:tc>
          <w:tcPr>
            <w:tcW w:w="72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Decrease in cash and cash equivalents</w:t>
            </w:r>
          </w:p>
        </w:tc>
        <w:tc>
          <w:tcPr>
            <w:tcW w:w="300" w:type="dxa"/>
            <w:vAlign w:val="bottom"/>
            <w:shd w:val="clear" w:color="auto" w:fill="CCEEFF"/>
          </w:tcPr>
          <w:p>
            <w:pPr>
              <w:spacing w:after="0"/>
              <w:rPr>
                <w:sz w:val="18"/>
                <w:szCs w:val="18"/>
                <w:color w:val="auto"/>
              </w:rPr>
            </w:pPr>
          </w:p>
        </w:tc>
        <w:tc>
          <w:tcPr>
            <w:tcW w:w="108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(496)</w:t>
            </w:r>
          </w:p>
        </w:tc>
        <w:tc>
          <w:tcPr>
            <w:tcW w:w="120" w:type="dxa"/>
            <w:vAlign w:val="bottom"/>
            <w:shd w:val="clear" w:color="auto" w:fill="CCEEFF"/>
          </w:tcPr>
          <w:p>
            <w:pPr>
              <w:spacing w:after="0"/>
              <w:rPr>
                <w:sz w:val="18"/>
                <w:szCs w:val="18"/>
                <w:color w:val="auto"/>
              </w:rPr>
            </w:pPr>
          </w:p>
        </w:tc>
        <w:tc>
          <w:tcPr>
            <w:tcW w:w="106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w:t>
            </w:r>
          </w:p>
        </w:tc>
      </w:tr>
      <w:tr>
        <w:trPr>
          <w:trHeight w:val="216"/>
        </w:trPr>
        <w:tc>
          <w:tcPr>
            <w:tcW w:w="7260" w:type="dxa"/>
            <w:vAlign w:val="bottom"/>
            <w:gridSpan w:val="2"/>
          </w:tcPr>
          <w:p>
            <w:pPr>
              <w:spacing w:after="0"/>
              <w:rPr>
                <w:sz w:val="20"/>
                <w:szCs w:val="20"/>
                <w:color w:val="auto"/>
              </w:rPr>
            </w:pPr>
            <w:r>
              <w:rPr>
                <w:rFonts w:ascii="Arial" w:cs="Arial" w:eastAsia="Arial" w:hAnsi="Arial"/>
                <w:sz w:val="18"/>
                <w:szCs w:val="18"/>
                <w:color w:val="auto"/>
              </w:rPr>
              <w:t>Cash and cash equivalents at beginning of period</w:t>
            </w:r>
          </w:p>
        </w:tc>
        <w:tc>
          <w:tcPr>
            <w:tcW w:w="300" w:type="dxa"/>
            <w:vAlign w:val="bottom"/>
          </w:tcPr>
          <w:p>
            <w:pPr>
              <w:spacing w:after="0"/>
              <w:rPr>
                <w:sz w:val="18"/>
                <w:szCs w:val="18"/>
                <w:color w:val="auto"/>
              </w:rPr>
            </w:pPr>
          </w:p>
        </w:tc>
        <w:tc>
          <w:tcPr>
            <w:tcW w:w="1080" w:type="dxa"/>
            <w:vAlign w:val="bottom"/>
            <w:tcBorders>
              <w:bottom w:val="single" w:sz="8" w:color="auto"/>
            </w:tcBorders>
          </w:tcPr>
          <w:p>
            <w:pPr>
              <w:spacing w:after="0"/>
              <w:rPr>
                <w:sz w:val="18"/>
                <w:szCs w:val="18"/>
                <w:color w:val="auto"/>
              </w:rPr>
            </w:pPr>
          </w:p>
        </w:tc>
        <w:tc>
          <w:tcPr>
            <w:tcW w:w="68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8,317</w:t>
            </w:r>
          </w:p>
        </w:tc>
        <w:tc>
          <w:tcPr>
            <w:tcW w:w="120" w:type="dxa"/>
            <w:vAlign w:val="bottom"/>
          </w:tcPr>
          <w:p>
            <w:pPr>
              <w:spacing w:after="0"/>
              <w:rPr>
                <w:sz w:val="18"/>
                <w:szCs w:val="18"/>
                <w:color w:val="auto"/>
              </w:rPr>
            </w:pPr>
          </w:p>
        </w:tc>
        <w:tc>
          <w:tcPr>
            <w:tcW w:w="1060" w:type="dxa"/>
            <w:vAlign w:val="bottom"/>
            <w:tcBorders>
              <w:bottom w:val="single" w:sz="8" w:color="auto"/>
            </w:tcBorders>
          </w:tcPr>
          <w:p>
            <w:pPr>
              <w:spacing w:after="0"/>
              <w:rPr>
                <w:sz w:val="18"/>
                <w:szCs w:val="18"/>
                <w:color w:val="auto"/>
              </w:rPr>
            </w:pPr>
          </w:p>
        </w:tc>
        <w:tc>
          <w:tcPr>
            <w:tcW w:w="740" w:type="dxa"/>
            <w:vAlign w:val="bottom"/>
            <w:tcBorders>
              <w:bottom w:val="single" w:sz="8" w:color="auto"/>
            </w:tcBorders>
          </w:tcPr>
          <w:p>
            <w:pPr>
              <w:jc w:val="right"/>
              <w:ind w:right="50"/>
              <w:spacing w:after="0"/>
              <w:rPr>
                <w:sz w:val="20"/>
                <w:szCs w:val="20"/>
                <w:color w:val="auto"/>
              </w:rPr>
            </w:pPr>
            <w:r>
              <w:rPr>
                <w:rFonts w:ascii="Arial" w:cs="Arial" w:eastAsia="Arial" w:hAnsi="Arial"/>
                <w:sz w:val="18"/>
                <w:szCs w:val="18"/>
                <w:color w:val="auto"/>
              </w:rPr>
              <w:t>8,335</w:t>
            </w:r>
          </w:p>
        </w:tc>
      </w:tr>
      <w:tr>
        <w:trPr>
          <w:trHeight w:val="250"/>
        </w:trPr>
        <w:tc>
          <w:tcPr>
            <w:tcW w:w="72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Cash and cash equivalents at end of period</w:t>
            </w:r>
          </w:p>
        </w:tc>
        <w:tc>
          <w:tcPr>
            <w:tcW w:w="1380" w:type="dxa"/>
            <w:vAlign w:val="bottom"/>
            <w:gridSpan w:val="2"/>
            <w:shd w:val="clear" w:color="auto" w:fill="CCEEFF"/>
          </w:tcPr>
          <w:p>
            <w:pPr>
              <w:jc w:val="right"/>
              <w:ind w:right="910"/>
              <w:spacing w:after="0"/>
              <w:rPr>
                <w:sz w:val="20"/>
                <w:szCs w:val="20"/>
                <w:color w:val="auto"/>
              </w:rPr>
            </w:pPr>
            <w:r>
              <w:rPr>
                <w:rFonts w:ascii="Arial" w:cs="Arial" w:eastAsia="Arial" w:hAnsi="Arial"/>
                <w:sz w:val="18"/>
                <w:szCs w:val="18"/>
                <w:color w:val="auto"/>
              </w:rPr>
              <w:t>$</w:t>
            </w:r>
          </w:p>
        </w:tc>
        <w:tc>
          <w:tcPr>
            <w:tcW w:w="68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7,821</w:t>
            </w:r>
          </w:p>
        </w:tc>
        <w:tc>
          <w:tcPr>
            <w:tcW w:w="1180" w:type="dxa"/>
            <w:vAlign w:val="bottom"/>
            <w:gridSpan w:val="2"/>
            <w:shd w:val="clear" w:color="auto" w:fill="CCEEFF"/>
          </w:tcPr>
          <w:p>
            <w:pPr>
              <w:jc w:val="right"/>
              <w:ind w:right="960"/>
              <w:spacing w:after="0"/>
              <w:rPr>
                <w:sz w:val="20"/>
                <w:szCs w:val="20"/>
                <w:color w:val="auto"/>
              </w:rPr>
            </w:pPr>
            <w:r>
              <w:rPr>
                <w:rFonts w:ascii="Arial" w:cs="Arial" w:eastAsia="Arial" w:hAnsi="Arial"/>
                <w:sz w:val="18"/>
                <w:szCs w:val="18"/>
                <w:color w:val="auto"/>
              </w:rPr>
              <w:t>$</w:t>
            </w:r>
          </w:p>
        </w:tc>
        <w:tc>
          <w:tcPr>
            <w:tcW w:w="74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rPr>
              <w:t>8,317</w:t>
            </w:r>
          </w:p>
        </w:tc>
      </w:tr>
      <w:tr>
        <w:trPr>
          <w:trHeight w:val="196"/>
        </w:trPr>
        <w:tc>
          <w:tcPr>
            <w:tcW w:w="1280" w:type="dxa"/>
            <w:vAlign w:val="bottom"/>
            <w:tcBorders>
              <w:top w:val="single" w:sz="8" w:color="CCEEFF"/>
            </w:tcBorders>
          </w:tcPr>
          <w:p>
            <w:pPr>
              <w:spacing w:after="0"/>
              <w:rPr>
                <w:sz w:val="17"/>
                <w:szCs w:val="17"/>
                <w:color w:val="auto"/>
              </w:rPr>
            </w:pPr>
          </w:p>
        </w:tc>
        <w:tc>
          <w:tcPr>
            <w:tcW w:w="5980" w:type="dxa"/>
            <w:vAlign w:val="bottom"/>
            <w:tcBorders>
              <w:top w:val="single" w:sz="8" w:color="CCEEFF"/>
            </w:tcBorders>
          </w:tcPr>
          <w:p>
            <w:pPr>
              <w:spacing w:after="0"/>
              <w:rPr>
                <w:sz w:val="17"/>
                <w:szCs w:val="17"/>
                <w:color w:val="auto"/>
              </w:rPr>
            </w:pPr>
          </w:p>
        </w:tc>
        <w:tc>
          <w:tcPr>
            <w:tcW w:w="300" w:type="dxa"/>
            <w:vAlign w:val="bottom"/>
            <w:tcBorders>
              <w:top w:val="single" w:sz="8" w:color="CCEEFF"/>
            </w:tcBorders>
          </w:tcPr>
          <w:p>
            <w:pPr>
              <w:spacing w:after="0"/>
              <w:rPr>
                <w:sz w:val="17"/>
                <w:szCs w:val="17"/>
                <w:color w:val="auto"/>
              </w:rPr>
            </w:pPr>
          </w:p>
        </w:tc>
        <w:tc>
          <w:tcPr>
            <w:tcW w:w="1080" w:type="dxa"/>
            <w:vAlign w:val="bottom"/>
            <w:tcBorders>
              <w:top w:val="single" w:sz="8" w:color="auto"/>
            </w:tcBorders>
          </w:tcPr>
          <w:p>
            <w:pPr>
              <w:spacing w:after="0"/>
              <w:rPr>
                <w:sz w:val="17"/>
                <w:szCs w:val="17"/>
                <w:color w:val="auto"/>
              </w:rPr>
            </w:pPr>
          </w:p>
        </w:tc>
        <w:tc>
          <w:tcPr>
            <w:tcW w:w="680" w:type="dxa"/>
            <w:vAlign w:val="bottom"/>
            <w:tcBorders>
              <w:top w:val="single" w:sz="8" w:color="auto"/>
            </w:tcBorders>
          </w:tcPr>
          <w:p>
            <w:pPr>
              <w:spacing w:after="0"/>
              <w:rPr>
                <w:sz w:val="17"/>
                <w:szCs w:val="17"/>
                <w:color w:val="auto"/>
              </w:rPr>
            </w:pPr>
          </w:p>
        </w:tc>
        <w:tc>
          <w:tcPr>
            <w:tcW w:w="120" w:type="dxa"/>
            <w:vAlign w:val="bottom"/>
            <w:tcBorders>
              <w:top w:val="single" w:sz="8" w:color="CCEEFF"/>
            </w:tcBorders>
          </w:tcPr>
          <w:p>
            <w:pPr>
              <w:spacing w:after="0"/>
              <w:rPr>
                <w:sz w:val="17"/>
                <w:szCs w:val="17"/>
                <w:color w:val="auto"/>
              </w:rPr>
            </w:pPr>
          </w:p>
        </w:tc>
        <w:tc>
          <w:tcPr>
            <w:tcW w:w="1060" w:type="dxa"/>
            <w:vAlign w:val="bottom"/>
            <w:tcBorders>
              <w:top w:val="single" w:sz="8" w:color="auto"/>
            </w:tcBorders>
          </w:tcPr>
          <w:p>
            <w:pPr>
              <w:spacing w:after="0"/>
              <w:rPr>
                <w:sz w:val="17"/>
                <w:szCs w:val="17"/>
                <w:color w:val="auto"/>
              </w:rPr>
            </w:pPr>
          </w:p>
        </w:tc>
        <w:tc>
          <w:tcPr>
            <w:tcW w:w="740" w:type="dxa"/>
            <w:vAlign w:val="bottom"/>
            <w:tcBorders>
              <w:top w:val="single" w:sz="8" w:color="auto"/>
            </w:tcBorders>
          </w:tcPr>
          <w:p>
            <w:pPr>
              <w:spacing w:after="0"/>
              <w:rPr>
                <w:sz w:val="17"/>
                <w:szCs w:val="17"/>
                <w:color w:val="auto"/>
              </w:rPr>
            </w:pPr>
          </w:p>
        </w:tc>
      </w:tr>
      <w:tr>
        <w:trPr>
          <w:trHeight w:val="216"/>
        </w:trPr>
        <w:tc>
          <w:tcPr>
            <w:tcW w:w="72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Supplemental disclosures of cash flow information:</w:t>
            </w:r>
          </w:p>
        </w:tc>
        <w:tc>
          <w:tcPr>
            <w:tcW w:w="300" w:type="dxa"/>
            <w:vAlign w:val="bottom"/>
            <w:shd w:val="clear" w:color="auto" w:fill="CCEEFF"/>
          </w:tcPr>
          <w:p>
            <w:pPr>
              <w:spacing w:after="0"/>
              <w:rPr>
                <w:sz w:val="18"/>
                <w:szCs w:val="18"/>
                <w:color w:val="auto"/>
              </w:rPr>
            </w:pPr>
          </w:p>
        </w:tc>
        <w:tc>
          <w:tcPr>
            <w:tcW w:w="108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6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r>
      <w:tr>
        <w:trPr>
          <w:trHeight w:val="216"/>
        </w:trPr>
        <w:tc>
          <w:tcPr>
            <w:tcW w:w="7260" w:type="dxa"/>
            <w:vAlign w:val="bottom"/>
            <w:gridSpan w:val="2"/>
          </w:tcPr>
          <w:p>
            <w:pPr>
              <w:ind w:left="180"/>
              <w:spacing w:after="0"/>
              <w:rPr>
                <w:sz w:val="20"/>
                <w:szCs w:val="20"/>
                <w:color w:val="auto"/>
              </w:rPr>
            </w:pPr>
            <w:r>
              <w:rPr>
                <w:rFonts w:ascii="Arial" w:cs="Arial" w:eastAsia="Arial" w:hAnsi="Arial"/>
                <w:sz w:val="18"/>
                <w:szCs w:val="18"/>
                <w:color w:val="auto"/>
              </w:rPr>
              <w:t>Cash paid for interest</w:t>
            </w:r>
          </w:p>
        </w:tc>
        <w:tc>
          <w:tcPr>
            <w:tcW w:w="1380" w:type="dxa"/>
            <w:vAlign w:val="bottom"/>
            <w:gridSpan w:val="2"/>
          </w:tcPr>
          <w:p>
            <w:pPr>
              <w:jc w:val="right"/>
              <w:ind w:right="910"/>
              <w:spacing w:after="0"/>
              <w:rPr>
                <w:sz w:val="20"/>
                <w:szCs w:val="20"/>
                <w:color w:val="auto"/>
              </w:rPr>
            </w:pPr>
            <w:r>
              <w:rPr>
                <w:rFonts w:ascii="Arial" w:cs="Arial" w:eastAsia="Arial" w:hAnsi="Arial"/>
                <w:sz w:val="18"/>
                <w:szCs w:val="18"/>
                <w:color w:val="auto"/>
              </w:rPr>
              <w:t>$</w:t>
            </w:r>
          </w:p>
        </w:tc>
        <w:tc>
          <w:tcPr>
            <w:tcW w:w="680" w:type="dxa"/>
            <w:vAlign w:val="bottom"/>
          </w:tcPr>
          <w:p>
            <w:pPr>
              <w:jc w:val="right"/>
              <w:ind w:right="30"/>
              <w:spacing w:after="0"/>
              <w:rPr>
                <w:sz w:val="20"/>
                <w:szCs w:val="20"/>
                <w:color w:val="auto"/>
              </w:rPr>
            </w:pPr>
            <w:r>
              <w:rPr>
                <w:rFonts w:ascii="Arial" w:cs="Arial" w:eastAsia="Arial" w:hAnsi="Arial"/>
                <w:sz w:val="18"/>
                <w:szCs w:val="18"/>
                <w:color w:val="auto"/>
              </w:rPr>
              <w:t>1,577</w:t>
            </w:r>
          </w:p>
        </w:tc>
        <w:tc>
          <w:tcPr>
            <w:tcW w:w="1180" w:type="dxa"/>
            <w:vAlign w:val="bottom"/>
            <w:gridSpan w:val="2"/>
          </w:tcPr>
          <w:p>
            <w:pPr>
              <w:jc w:val="right"/>
              <w:ind w:right="960"/>
              <w:spacing w:after="0"/>
              <w:rPr>
                <w:sz w:val="20"/>
                <w:szCs w:val="20"/>
                <w:color w:val="auto"/>
              </w:rPr>
            </w:pPr>
            <w:r>
              <w:rPr>
                <w:rFonts w:ascii="Arial" w:cs="Arial" w:eastAsia="Arial" w:hAnsi="Arial"/>
                <w:sz w:val="18"/>
                <w:szCs w:val="18"/>
                <w:color w:val="auto"/>
              </w:rPr>
              <w:t>$</w:t>
            </w:r>
          </w:p>
        </w:tc>
        <w:tc>
          <w:tcPr>
            <w:tcW w:w="740" w:type="dxa"/>
            <w:vAlign w:val="bottom"/>
          </w:tcPr>
          <w:p>
            <w:pPr>
              <w:jc w:val="right"/>
              <w:ind w:right="50"/>
              <w:spacing w:after="0"/>
              <w:rPr>
                <w:sz w:val="20"/>
                <w:szCs w:val="20"/>
                <w:color w:val="auto"/>
              </w:rPr>
            </w:pPr>
            <w:r>
              <w:rPr>
                <w:rFonts w:ascii="Arial" w:cs="Arial" w:eastAsia="Arial" w:hAnsi="Arial"/>
                <w:sz w:val="18"/>
                <w:szCs w:val="18"/>
                <w:color w:val="auto"/>
              </w:rPr>
              <w:t>4,881</w:t>
            </w:r>
          </w:p>
        </w:tc>
      </w:tr>
      <w:tr>
        <w:trPr>
          <w:trHeight w:val="216"/>
        </w:trPr>
        <w:tc>
          <w:tcPr>
            <w:tcW w:w="7260" w:type="dxa"/>
            <w:vAlign w:val="bottom"/>
            <w:gridSpan w:val="2"/>
            <w:shd w:val="clear" w:color="auto" w:fill="CCEEFF"/>
          </w:tcPr>
          <w:p>
            <w:pPr>
              <w:ind w:left="180"/>
              <w:spacing w:after="0"/>
              <w:rPr>
                <w:sz w:val="20"/>
                <w:szCs w:val="20"/>
                <w:color w:val="auto"/>
              </w:rPr>
            </w:pPr>
            <w:r>
              <w:rPr>
                <w:rFonts w:ascii="Arial" w:cs="Arial" w:eastAsia="Arial" w:hAnsi="Arial"/>
                <w:sz w:val="18"/>
                <w:szCs w:val="18"/>
                <w:color w:val="auto"/>
              </w:rPr>
              <w:t>Cash paid for income taxes, net of refunds</w:t>
            </w:r>
          </w:p>
        </w:tc>
        <w:tc>
          <w:tcPr>
            <w:tcW w:w="1380" w:type="dxa"/>
            <w:vAlign w:val="bottom"/>
            <w:gridSpan w:val="2"/>
            <w:shd w:val="clear" w:color="auto" w:fill="CCEEFF"/>
          </w:tcPr>
          <w:p>
            <w:pPr>
              <w:jc w:val="right"/>
              <w:ind w:right="910"/>
              <w:spacing w:after="0"/>
              <w:rPr>
                <w:sz w:val="20"/>
                <w:szCs w:val="20"/>
                <w:color w:val="auto"/>
              </w:rPr>
            </w:pPr>
            <w:r>
              <w:rPr>
                <w:rFonts w:ascii="Arial" w:cs="Arial" w:eastAsia="Arial" w:hAnsi="Arial"/>
                <w:sz w:val="18"/>
                <w:szCs w:val="18"/>
                <w:color w:val="auto"/>
              </w:rPr>
              <w:t>$</w:t>
            </w:r>
          </w:p>
        </w:tc>
        <w:tc>
          <w:tcPr>
            <w:tcW w:w="68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577</w:t>
            </w:r>
          </w:p>
        </w:tc>
        <w:tc>
          <w:tcPr>
            <w:tcW w:w="1180" w:type="dxa"/>
            <w:vAlign w:val="bottom"/>
            <w:gridSpan w:val="2"/>
            <w:shd w:val="clear" w:color="auto" w:fill="CCEEFF"/>
          </w:tcPr>
          <w:p>
            <w:pPr>
              <w:jc w:val="right"/>
              <w:ind w:right="960"/>
              <w:spacing w:after="0"/>
              <w:rPr>
                <w:sz w:val="20"/>
                <w:szCs w:val="20"/>
                <w:color w:val="auto"/>
              </w:rPr>
            </w:pPr>
            <w:r>
              <w:rPr>
                <w:rFonts w:ascii="Arial" w:cs="Arial" w:eastAsia="Arial" w:hAnsi="Arial"/>
                <w:sz w:val="18"/>
                <w:szCs w:val="18"/>
                <w:color w:val="auto"/>
              </w:rPr>
              <w:t>$</w:t>
            </w:r>
          </w:p>
        </w:tc>
        <w:tc>
          <w:tcPr>
            <w:tcW w:w="74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rPr>
              <w:t>416</w:t>
            </w:r>
          </w:p>
        </w:tc>
      </w:tr>
    </w:tbl>
    <w:p>
      <w:pPr>
        <w:spacing w:after="0" w:line="202" w:lineRule="exact"/>
        <w:rPr>
          <w:sz w:val="20"/>
          <w:szCs w:val="20"/>
          <w:color w:val="auto"/>
        </w:rPr>
      </w:pPr>
    </w:p>
    <w:p>
      <w:pPr>
        <w:jc w:val="center"/>
        <w:ind w:right="-159"/>
        <w:spacing w:after="0"/>
        <w:rPr>
          <w:sz w:val="20"/>
          <w:szCs w:val="20"/>
          <w:color w:val="auto"/>
        </w:rPr>
      </w:pPr>
      <w:r>
        <w:rPr>
          <w:rFonts w:ascii="Arial" w:cs="Arial" w:eastAsia="Arial" w:hAnsi="Arial"/>
          <w:sz w:val="18"/>
          <w:szCs w:val="18"/>
          <w:color w:val="auto"/>
        </w:rPr>
        <w:t>See accompanying notes to consolidated financial statements.</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08" w:right="339" w:bottom="1440" w:gutter="0" w:footer="0" w:header="0"/>
        </w:sectPr>
      </w:pPr>
    </w:p>
    <w:bookmarkStart w:id="36" w:name="page37"/>
    <w:bookmarkEnd w:id="36"/>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21" w:lineRule="exact"/>
        <w:rPr>
          <w:sz w:val="20"/>
          <w:szCs w:val="20"/>
          <w:color w:val="auto"/>
        </w:rPr>
      </w:pPr>
    </w:p>
    <w:p>
      <w:pPr>
        <w:jc w:val="center"/>
        <w:ind w:right="-159"/>
        <w:spacing w:after="0"/>
        <w:rPr>
          <w:sz w:val="20"/>
          <w:szCs w:val="20"/>
          <w:color w:val="auto"/>
        </w:rPr>
      </w:pPr>
      <w:r>
        <w:rPr>
          <w:rFonts w:ascii="Arial" w:cs="Arial" w:eastAsia="Arial" w:hAnsi="Arial"/>
          <w:sz w:val="18"/>
          <w:szCs w:val="18"/>
          <w:b w:val="1"/>
          <w:bCs w:val="1"/>
          <w:color w:val="auto"/>
        </w:rPr>
        <w:t>HARVARD BIOSCIENCE, INC.</w:t>
      </w:r>
    </w:p>
    <w:p>
      <w:pPr>
        <w:spacing w:after="0" w:line="27" w:lineRule="exact"/>
        <w:rPr>
          <w:sz w:val="20"/>
          <w:szCs w:val="20"/>
          <w:color w:val="auto"/>
        </w:rPr>
      </w:pPr>
    </w:p>
    <w:p>
      <w:pPr>
        <w:jc w:val="center"/>
        <w:ind w:right="-159"/>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66" w:lineRule="exact"/>
        <w:rPr>
          <w:sz w:val="20"/>
          <w:szCs w:val="20"/>
          <w:color w:val="auto"/>
        </w:rPr>
      </w:pPr>
    </w:p>
    <w:p>
      <w:pPr>
        <w:ind w:left="1300" w:hanging="644"/>
        <w:spacing w:after="0"/>
        <w:tabs>
          <w:tab w:leader="none" w:pos="1300" w:val="left"/>
        </w:tabs>
        <w:numPr>
          <w:ilvl w:val="0"/>
          <w:numId w:val="14"/>
        </w:numPr>
        <w:rPr>
          <w:rFonts w:ascii="Arial" w:cs="Arial" w:eastAsia="Arial" w:hAnsi="Arial"/>
          <w:sz w:val="18"/>
          <w:szCs w:val="18"/>
          <w:b w:val="1"/>
          <w:bCs w:val="1"/>
          <w:color w:val="auto"/>
        </w:rPr>
      </w:pPr>
      <w:r>
        <w:rPr>
          <w:rFonts w:ascii="Arial" w:cs="Arial" w:eastAsia="Arial" w:hAnsi="Arial"/>
          <w:sz w:val="18"/>
          <w:szCs w:val="18"/>
          <w:b w:val="1"/>
          <w:bCs w:val="1"/>
          <w:color w:val="auto"/>
        </w:rPr>
        <w:t>Organization</w:t>
      </w:r>
    </w:p>
    <w:p>
      <w:pPr>
        <w:spacing w:after="0" w:line="256" w:lineRule="exact"/>
        <w:rPr>
          <w:sz w:val="20"/>
          <w:szCs w:val="20"/>
          <w:color w:val="auto"/>
        </w:rPr>
      </w:pPr>
    </w:p>
    <w:p>
      <w:pPr>
        <w:jc w:val="both"/>
        <w:ind w:firstLine="648"/>
        <w:spacing w:after="0" w:line="257" w:lineRule="auto"/>
        <w:rPr>
          <w:sz w:val="20"/>
          <w:szCs w:val="20"/>
          <w:color w:val="auto"/>
        </w:rPr>
      </w:pPr>
      <w:r>
        <w:rPr>
          <w:rFonts w:ascii="Arial" w:cs="Arial" w:eastAsia="Arial" w:hAnsi="Arial"/>
          <w:sz w:val="18"/>
          <w:szCs w:val="18"/>
          <w:color w:val="auto"/>
        </w:rPr>
        <w:t>Harvard Bioscience, Inc., a Delaware corporation, is a leading developer, manufacturer and seller of technologies, products and services that enable fundamental research, discovery, and preclinical testing for drug development. The Company’s products and services are sold globally to customers ranging from renowned academic institutions and government laboratories to the world’s leading pharmaceutical, biotechnology and contract research organizations. With operations in North America, Europe and China, the Company sells through a combination of direct and distribution channels to customers around the world.</w:t>
      </w:r>
    </w:p>
    <w:p>
      <w:pPr>
        <w:spacing w:after="0" w:line="188" w:lineRule="exact"/>
        <w:rPr>
          <w:sz w:val="20"/>
          <w:szCs w:val="20"/>
          <w:color w:val="auto"/>
        </w:rPr>
      </w:pPr>
    </w:p>
    <w:p>
      <w:pPr>
        <w:ind w:left="600"/>
        <w:spacing w:after="0"/>
        <w:rPr>
          <w:sz w:val="20"/>
          <w:szCs w:val="20"/>
          <w:color w:val="auto"/>
        </w:rPr>
      </w:pPr>
      <w:r>
        <w:rPr>
          <w:rFonts w:ascii="Arial" w:cs="Arial" w:eastAsia="Arial" w:hAnsi="Arial"/>
          <w:sz w:val="18"/>
          <w:szCs w:val="18"/>
          <w:b w:val="1"/>
          <w:bCs w:val="1"/>
          <w:i w:val="1"/>
          <w:iCs w:val="1"/>
          <w:color w:val="auto"/>
        </w:rPr>
        <w:t>Risks and Uncertainties</w:t>
      </w:r>
    </w:p>
    <w:p>
      <w:pPr>
        <w:spacing w:after="0" w:line="225" w:lineRule="exact"/>
        <w:rPr>
          <w:sz w:val="20"/>
          <w:szCs w:val="20"/>
          <w:color w:val="auto"/>
        </w:rPr>
      </w:pPr>
    </w:p>
    <w:p>
      <w:pPr>
        <w:jc w:val="both"/>
        <w:ind w:firstLine="648"/>
        <w:spacing w:after="0" w:line="288" w:lineRule="auto"/>
        <w:rPr>
          <w:sz w:val="20"/>
          <w:szCs w:val="20"/>
          <w:color w:val="auto"/>
        </w:rPr>
      </w:pPr>
      <w:r>
        <w:rPr>
          <w:rFonts w:ascii="Arial" w:cs="Arial" w:eastAsia="Arial" w:hAnsi="Arial"/>
          <w:sz w:val="16"/>
          <w:szCs w:val="16"/>
          <w:color w:val="auto"/>
        </w:rPr>
        <w:t>On March 11, 2020, the World Health Organization declared the outbreak of a novel coronavirus (COVID-19) as a pandemic. The COVID-19 pandemic has had a negative impact on the Company’s operations to date and the future impacts of the pandemic and any resulting economic impact are largely unknown and rapidly evolving. Since the global outbreak of COVID-19, many customers, particularly academic research institutions, have reduced laboratory work which has negatively impacted, and will continue to negatively impact, the Company’s sales. While many of the Company's customers, including academic labs, have reopened, a significant number of them remained closed or at significantly lower capacity levels during 2021. Additionally, to ensure business continuity while maintaining a safe environment for employees aligned with guidance from government and health organizations, the Company transitioned the majority of its workforce to work-from-home while implementing social distancing requirements and other measures in factories to allow manufacturing and other personnel essential to production to continue work within the Company’s facilities. Business travel was significantly reduced during this period. While a portion of the workforce has returned to in-office work and travel is less restricted, the Company continued to have restrictions which represent disruptions which can impact productivity including sales and marketing activities.</w:t>
      </w:r>
    </w:p>
    <w:p>
      <w:pPr>
        <w:spacing w:after="0" w:line="168"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The global supply chain experienced significant disruptions during 2021 due to electronic component and labor shortages and other macroeconomic factors which have emerged since the onset of the COVID-19 pandemic, leading to increased cost of freight, purchased materials and manufacturing labor costs, while also delaying customer shipments. Accordingly, these conditions in addition to the overall impact on the global economy have negatively impacted results of operations and cash flows.</w:t>
      </w:r>
    </w:p>
    <w:p>
      <w:pPr>
        <w:spacing w:after="0" w:line="200" w:lineRule="exact"/>
        <w:rPr>
          <w:sz w:val="20"/>
          <w:szCs w:val="20"/>
          <w:color w:val="auto"/>
        </w:rPr>
      </w:pPr>
    </w:p>
    <w:p>
      <w:pPr>
        <w:spacing w:after="0" w:line="226" w:lineRule="exact"/>
        <w:rPr>
          <w:sz w:val="20"/>
          <w:szCs w:val="20"/>
          <w:color w:val="auto"/>
        </w:rPr>
      </w:pPr>
    </w:p>
    <w:p>
      <w:pPr>
        <w:ind w:left="1300" w:hanging="644"/>
        <w:spacing w:after="0"/>
        <w:tabs>
          <w:tab w:leader="none" w:pos="1300" w:val="left"/>
        </w:tabs>
        <w:numPr>
          <w:ilvl w:val="0"/>
          <w:numId w:val="15"/>
        </w:numPr>
        <w:rPr>
          <w:rFonts w:ascii="Arial" w:cs="Arial" w:eastAsia="Arial" w:hAnsi="Arial"/>
          <w:sz w:val="18"/>
          <w:szCs w:val="18"/>
          <w:b w:val="1"/>
          <w:bCs w:val="1"/>
          <w:color w:val="auto"/>
        </w:rPr>
      </w:pPr>
      <w:r>
        <w:rPr>
          <w:rFonts w:ascii="Arial" w:cs="Arial" w:eastAsia="Arial" w:hAnsi="Arial"/>
          <w:sz w:val="18"/>
          <w:szCs w:val="18"/>
          <w:b w:val="1"/>
          <w:bCs w:val="1"/>
          <w:color w:val="auto"/>
        </w:rPr>
        <w:t>Summary of Significant Accounting Policies</w:t>
      </w:r>
    </w:p>
    <w:p>
      <w:pPr>
        <w:spacing w:after="0" w:line="256" w:lineRule="exact"/>
        <w:rPr>
          <w:sz w:val="20"/>
          <w:szCs w:val="20"/>
          <w:color w:val="auto"/>
        </w:rPr>
      </w:pPr>
    </w:p>
    <w:p>
      <w:pPr>
        <w:ind w:left="660"/>
        <w:spacing w:after="0"/>
        <w:rPr>
          <w:sz w:val="20"/>
          <w:szCs w:val="20"/>
          <w:color w:val="auto"/>
        </w:rPr>
      </w:pPr>
      <w:r>
        <w:rPr>
          <w:rFonts w:ascii="Arial" w:cs="Arial" w:eastAsia="Arial" w:hAnsi="Arial"/>
          <w:sz w:val="18"/>
          <w:szCs w:val="18"/>
          <w:b w:val="1"/>
          <w:bCs w:val="1"/>
          <w:i w:val="1"/>
          <w:iCs w:val="1"/>
          <w:color w:val="auto"/>
        </w:rPr>
        <w:t>Principles of Consolidation</w:t>
      </w:r>
    </w:p>
    <w:p>
      <w:pPr>
        <w:spacing w:after="0" w:line="252"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The consolidated financial statements include the accounts of Harvard Bioscience, Inc. and its wholly-owned subsidiaries. All intercompany balances and transactions have been eliminated in consolidation.</w:t>
      </w:r>
    </w:p>
    <w:p>
      <w:pPr>
        <w:spacing w:after="0" w:line="170" w:lineRule="exact"/>
        <w:rPr>
          <w:sz w:val="20"/>
          <w:szCs w:val="20"/>
          <w:color w:val="auto"/>
        </w:rPr>
      </w:pPr>
    </w:p>
    <w:p>
      <w:pPr>
        <w:ind w:left="660"/>
        <w:spacing w:after="0"/>
        <w:rPr>
          <w:sz w:val="20"/>
          <w:szCs w:val="20"/>
          <w:color w:val="auto"/>
        </w:rPr>
      </w:pPr>
      <w:r>
        <w:rPr>
          <w:rFonts w:ascii="Arial" w:cs="Arial" w:eastAsia="Arial" w:hAnsi="Arial"/>
          <w:sz w:val="18"/>
          <w:szCs w:val="18"/>
          <w:b w:val="1"/>
          <w:bCs w:val="1"/>
          <w:i w:val="1"/>
          <w:iCs w:val="1"/>
          <w:color w:val="auto"/>
        </w:rPr>
        <w:t>Use of Estimates</w:t>
      </w:r>
    </w:p>
    <w:p>
      <w:pPr>
        <w:spacing w:after="0" w:line="252" w:lineRule="exact"/>
        <w:rPr>
          <w:sz w:val="20"/>
          <w:szCs w:val="20"/>
          <w:color w:val="auto"/>
        </w:rPr>
      </w:pPr>
    </w:p>
    <w:p>
      <w:pPr>
        <w:jc w:val="both"/>
        <w:ind w:firstLine="648"/>
        <w:spacing w:after="0" w:line="273" w:lineRule="auto"/>
        <w:rPr>
          <w:sz w:val="20"/>
          <w:szCs w:val="20"/>
          <w:color w:val="auto"/>
        </w:rPr>
      </w:pPr>
      <w:r>
        <w:rPr>
          <w:rFonts w:ascii="Arial" w:cs="Arial" w:eastAsia="Arial" w:hAnsi="Arial"/>
          <w:sz w:val="17"/>
          <w:szCs w:val="17"/>
          <w:color w:val="auto"/>
        </w:rPr>
        <w:t>The preparation of financial statements in conformity with accounting principles generally accepted in the United States (“GAAP”) requires the use of management estimates. Such estimates include the determination and establishment of certain accruals and provisions, including those for inventory excess and obsolescence, income tax and reserves for bad debts. In addition, certain estimates are required in order to determine the value of assets and liabilities associated with acquisitions, as well as the Company’s defined benefit pension obligations. Estimates are also required to evaluate the value and recoverability of existing long-lived and intangible assets, including goodwill. On an ongoing basis, the Company reviews its estimates based upon currently available information. Actual results could differ materially from those estimates.</w:t>
      </w:r>
    </w:p>
    <w:p>
      <w:pPr>
        <w:spacing w:after="0" w:line="178" w:lineRule="exact"/>
        <w:rPr>
          <w:sz w:val="20"/>
          <w:szCs w:val="20"/>
          <w:color w:val="auto"/>
        </w:rPr>
      </w:pPr>
    </w:p>
    <w:p>
      <w:pPr>
        <w:ind w:left="660"/>
        <w:spacing w:after="0"/>
        <w:rPr>
          <w:sz w:val="20"/>
          <w:szCs w:val="20"/>
          <w:color w:val="auto"/>
        </w:rPr>
      </w:pPr>
      <w:r>
        <w:rPr>
          <w:rFonts w:ascii="Arial" w:cs="Arial" w:eastAsia="Arial" w:hAnsi="Arial"/>
          <w:sz w:val="18"/>
          <w:szCs w:val="18"/>
          <w:b w:val="1"/>
          <w:bCs w:val="1"/>
          <w:i w:val="1"/>
          <w:iCs w:val="1"/>
          <w:color w:val="auto"/>
        </w:rPr>
        <w:t>Cash and Cash Equivalents</w:t>
      </w:r>
    </w:p>
    <w:p>
      <w:pPr>
        <w:spacing w:after="0" w:line="252"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The Company considers all highly liquid instruments with original maturities of three months or less to be cash equivalents. Cash and cash equivalents include cash on hand and amounts due from banks. The Company maintains a portion of its cash in bank deposits, which at times, may exceed federally insured limits. The Company has not experienced any losses in such accounts. The Company does not believe it is exposed to any significant risk with respect to these accounts.</w:t>
      </w:r>
    </w:p>
    <w:p>
      <w:pPr>
        <w:spacing w:after="0" w:line="18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F- 8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37" w:name="page38"/>
    <w:bookmarkEnd w:id="37"/>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52" w:lineRule="exact"/>
        <w:rPr>
          <w:sz w:val="20"/>
          <w:szCs w:val="20"/>
          <w:color w:val="auto"/>
        </w:rPr>
      </w:pPr>
    </w:p>
    <w:p>
      <w:pPr>
        <w:ind w:left="660"/>
        <w:spacing w:after="0"/>
        <w:rPr>
          <w:sz w:val="20"/>
          <w:szCs w:val="20"/>
          <w:color w:val="auto"/>
        </w:rPr>
      </w:pPr>
      <w:r>
        <w:rPr>
          <w:rFonts w:ascii="Arial" w:cs="Arial" w:eastAsia="Arial" w:hAnsi="Arial"/>
          <w:sz w:val="18"/>
          <w:szCs w:val="18"/>
          <w:b w:val="1"/>
          <w:bCs w:val="1"/>
          <w:i w:val="1"/>
          <w:iCs w:val="1"/>
          <w:color w:val="auto"/>
        </w:rPr>
        <w:t>Allowance for Doubtful Accounts</w:t>
      </w:r>
    </w:p>
    <w:p>
      <w:pPr>
        <w:spacing w:after="0" w:line="252" w:lineRule="exact"/>
        <w:rPr>
          <w:sz w:val="20"/>
          <w:szCs w:val="20"/>
          <w:color w:val="auto"/>
        </w:rPr>
      </w:pPr>
    </w:p>
    <w:p>
      <w:pPr>
        <w:jc w:val="both"/>
        <w:ind w:firstLine="648"/>
        <w:spacing w:after="0" w:line="263" w:lineRule="auto"/>
        <w:rPr>
          <w:sz w:val="20"/>
          <w:szCs w:val="20"/>
          <w:color w:val="auto"/>
        </w:rPr>
      </w:pPr>
      <w:r>
        <w:rPr>
          <w:rFonts w:ascii="Arial" w:cs="Arial" w:eastAsia="Arial" w:hAnsi="Arial"/>
          <w:sz w:val="18"/>
          <w:szCs w:val="18"/>
          <w:color w:val="auto"/>
        </w:rPr>
        <w:t>The allowance for doubtful accounts reflects the Company’s best estimate of probable losses inherent in the accounts receivable balance. The Company determines the allowance based on considering factors such as historical experience, credit quality, known troubled accounts, historical experience, factors that may affect a customer’s ability to pay and other currently available evidence.</w:t>
      </w:r>
    </w:p>
    <w:p>
      <w:pPr>
        <w:spacing w:after="0" w:line="184" w:lineRule="exact"/>
        <w:rPr>
          <w:sz w:val="20"/>
          <w:szCs w:val="20"/>
          <w:color w:val="auto"/>
        </w:rPr>
      </w:pPr>
    </w:p>
    <w:p>
      <w:pPr>
        <w:ind w:left="660"/>
        <w:spacing w:after="0"/>
        <w:rPr>
          <w:sz w:val="20"/>
          <w:szCs w:val="20"/>
          <w:color w:val="auto"/>
        </w:rPr>
      </w:pPr>
      <w:r>
        <w:rPr>
          <w:rFonts w:ascii="Arial" w:cs="Arial" w:eastAsia="Arial" w:hAnsi="Arial"/>
          <w:sz w:val="18"/>
          <w:szCs w:val="18"/>
          <w:b w:val="1"/>
          <w:bCs w:val="1"/>
          <w:i w:val="1"/>
          <w:iCs w:val="1"/>
          <w:color w:val="auto"/>
        </w:rPr>
        <w:t>Inventories</w:t>
      </w:r>
    </w:p>
    <w:p>
      <w:pPr>
        <w:spacing w:after="0" w:line="252"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The Company values its inventories at the lower of the actual cost to purchase (first-in, first-out method) and/or manufacture the inventories or the net realizable value of the inventories. The Company regularly reviews inventory quantities on hand and records a provision to write down excess and obsolete inventories to its estimated net realizable value if less than cost, based primarily on historical inventory usage and estimated forecast of product demand.</w:t>
      </w:r>
    </w:p>
    <w:p>
      <w:pPr>
        <w:spacing w:after="0" w:line="187" w:lineRule="exact"/>
        <w:rPr>
          <w:sz w:val="20"/>
          <w:szCs w:val="20"/>
          <w:color w:val="auto"/>
        </w:rPr>
      </w:pPr>
    </w:p>
    <w:p>
      <w:pPr>
        <w:ind w:left="660"/>
        <w:spacing w:after="0"/>
        <w:rPr>
          <w:sz w:val="20"/>
          <w:szCs w:val="20"/>
          <w:color w:val="auto"/>
        </w:rPr>
      </w:pPr>
      <w:r>
        <w:rPr>
          <w:rFonts w:ascii="Arial" w:cs="Arial" w:eastAsia="Arial" w:hAnsi="Arial"/>
          <w:sz w:val="18"/>
          <w:szCs w:val="18"/>
          <w:b w:val="1"/>
          <w:bCs w:val="1"/>
          <w:i w:val="1"/>
          <w:iCs w:val="1"/>
          <w:color w:val="auto"/>
        </w:rPr>
        <w:t>Property, Plant and Equipment</w:t>
      </w:r>
    </w:p>
    <w:p>
      <w:pPr>
        <w:spacing w:after="0" w:line="252" w:lineRule="exact"/>
        <w:rPr>
          <w:sz w:val="20"/>
          <w:szCs w:val="20"/>
          <w:color w:val="auto"/>
        </w:rPr>
      </w:pPr>
    </w:p>
    <w:p>
      <w:pPr>
        <w:ind w:left="660"/>
        <w:spacing w:after="0"/>
        <w:rPr>
          <w:sz w:val="20"/>
          <w:szCs w:val="20"/>
          <w:color w:val="auto"/>
        </w:rPr>
      </w:pPr>
      <w:r>
        <w:rPr>
          <w:rFonts w:ascii="Arial" w:cs="Arial" w:eastAsia="Arial" w:hAnsi="Arial"/>
          <w:sz w:val="16"/>
          <w:szCs w:val="16"/>
          <w:color w:val="auto"/>
        </w:rPr>
        <w:t>Property, plant and equipment are stated at cost and depreciated using the straight-line method over the estimated useful lives of the assets as</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follows:</w:t>
      </w:r>
    </w:p>
    <w:p>
      <w:pPr>
        <w:spacing w:after="0" w:line="225" w:lineRule="exact"/>
        <w:rPr>
          <w:sz w:val="20"/>
          <w:szCs w:val="20"/>
          <w:color w:val="auto"/>
        </w:rPr>
      </w:pPr>
    </w:p>
    <w:tbl>
      <w:tblPr>
        <w:tblLayout w:type="fixed"/>
        <w:tblInd w:w="660" w:type="dxa"/>
        <w:tblCellMar>
          <w:top w:w="0" w:type="dxa"/>
          <w:left w:w="0" w:type="dxa"/>
          <w:bottom w:w="0" w:type="dxa"/>
          <w:right w:w="0" w:type="dxa"/>
        </w:tblCellMar>
      </w:tblPr>
      <w:tr>
        <w:trPr>
          <w:trHeight w:val="216"/>
        </w:trPr>
        <w:tc>
          <w:tcPr>
            <w:tcW w:w="3460" w:type="dxa"/>
            <w:vAlign w:val="bottom"/>
            <w:shd w:val="clear" w:color="auto" w:fill="CCEEFF"/>
          </w:tcPr>
          <w:p>
            <w:pPr>
              <w:spacing w:after="0"/>
              <w:rPr>
                <w:sz w:val="20"/>
                <w:szCs w:val="20"/>
                <w:color w:val="auto"/>
              </w:rPr>
            </w:pPr>
            <w:r>
              <w:rPr>
                <w:rFonts w:ascii="Arial" w:cs="Arial" w:eastAsia="Arial" w:hAnsi="Arial"/>
                <w:sz w:val="18"/>
                <w:szCs w:val="18"/>
                <w:color w:val="auto"/>
              </w:rPr>
              <w:t>Machinery and equipment (years)</w:t>
            </w: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w:t>
            </w:r>
          </w:p>
        </w:tc>
        <w:tc>
          <w:tcPr>
            <w:tcW w:w="480" w:type="dxa"/>
            <w:vAlign w:val="bottom"/>
            <w:shd w:val="clear" w:color="auto" w:fill="CCEEFF"/>
          </w:tcPr>
          <w:p>
            <w:pPr>
              <w:spacing w:after="0"/>
              <w:rPr>
                <w:sz w:val="20"/>
                <w:szCs w:val="20"/>
                <w:color w:val="auto"/>
              </w:rPr>
            </w:pPr>
            <w:r>
              <w:rPr>
                <w:rFonts w:ascii="Arial" w:cs="Arial" w:eastAsia="Arial" w:hAnsi="Arial"/>
                <w:sz w:val="18"/>
                <w:szCs w:val="18"/>
                <w:color w:val="auto"/>
              </w:rPr>
              <w:t>- 10</w:t>
            </w:r>
          </w:p>
        </w:tc>
      </w:tr>
      <w:tr>
        <w:trPr>
          <w:trHeight w:val="216"/>
        </w:trPr>
        <w:tc>
          <w:tcPr>
            <w:tcW w:w="3460" w:type="dxa"/>
            <w:vAlign w:val="bottom"/>
          </w:tcPr>
          <w:p>
            <w:pPr>
              <w:spacing w:after="0"/>
              <w:rPr>
                <w:sz w:val="20"/>
                <w:szCs w:val="20"/>
                <w:color w:val="auto"/>
              </w:rPr>
            </w:pPr>
            <w:r>
              <w:rPr>
                <w:rFonts w:ascii="Arial" w:cs="Arial" w:eastAsia="Arial" w:hAnsi="Arial"/>
                <w:sz w:val="18"/>
                <w:szCs w:val="18"/>
                <w:color w:val="auto"/>
              </w:rPr>
              <w:t>Computer equipment and software (years)</w:t>
            </w:r>
          </w:p>
        </w:tc>
        <w:tc>
          <w:tcPr>
            <w:tcW w:w="540" w:type="dxa"/>
            <w:vAlign w:val="bottom"/>
          </w:tcPr>
          <w:p>
            <w:pPr>
              <w:jc w:val="right"/>
              <w:spacing w:after="0"/>
              <w:rPr>
                <w:sz w:val="20"/>
                <w:szCs w:val="20"/>
                <w:color w:val="auto"/>
              </w:rPr>
            </w:pPr>
            <w:r>
              <w:rPr>
                <w:rFonts w:ascii="Arial" w:cs="Arial" w:eastAsia="Arial" w:hAnsi="Arial"/>
                <w:sz w:val="18"/>
                <w:szCs w:val="18"/>
                <w:color w:val="auto"/>
              </w:rPr>
              <w:t>3</w:t>
            </w:r>
          </w:p>
        </w:tc>
        <w:tc>
          <w:tcPr>
            <w:tcW w:w="480" w:type="dxa"/>
            <w:vAlign w:val="bottom"/>
          </w:tcPr>
          <w:p>
            <w:pPr>
              <w:spacing w:after="0"/>
              <w:rPr>
                <w:sz w:val="20"/>
                <w:szCs w:val="20"/>
                <w:color w:val="auto"/>
              </w:rPr>
            </w:pPr>
            <w:r>
              <w:rPr>
                <w:rFonts w:ascii="Arial" w:cs="Arial" w:eastAsia="Arial" w:hAnsi="Arial"/>
                <w:sz w:val="18"/>
                <w:szCs w:val="18"/>
                <w:color w:val="auto"/>
              </w:rPr>
              <w:t>- 7</w:t>
            </w:r>
          </w:p>
        </w:tc>
      </w:tr>
      <w:tr>
        <w:trPr>
          <w:trHeight w:val="216"/>
        </w:trPr>
        <w:tc>
          <w:tcPr>
            <w:tcW w:w="3460" w:type="dxa"/>
            <w:vAlign w:val="bottom"/>
            <w:shd w:val="clear" w:color="auto" w:fill="CCEEFF"/>
          </w:tcPr>
          <w:p>
            <w:pPr>
              <w:spacing w:after="0"/>
              <w:rPr>
                <w:sz w:val="20"/>
                <w:szCs w:val="20"/>
                <w:color w:val="auto"/>
              </w:rPr>
            </w:pPr>
            <w:r>
              <w:rPr>
                <w:rFonts w:ascii="Arial" w:cs="Arial" w:eastAsia="Arial" w:hAnsi="Arial"/>
                <w:sz w:val="18"/>
                <w:szCs w:val="18"/>
                <w:color w:val="auto"/>
              </w:rPr>
              <w:t>Furniture and fixtures (years)</w:t>
            </w: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w:t>
            </w:r>
          </w:p>
        </w:tc>
        <w:tc>
          <w:tcPr>
            <w:tcW w:w="480" w:type="dxa"/>
            <w:vAlign w:val="bottom"/>
            <w:shd w:val="clear" w:color="auto" w:fill="CCEEFF"/>
          </w:tcPr>
          <w:p>
            <w:pPr>
              <w:spacing w:after="0"/>
              <w:rPr>
                <w:sz w:val="20"/>
                <w:szCs w:val="20"/>
                <w:color w:val="auto"/>
              </w:rPr>
            </w:pPr>
            <w:r>
              <w:rPr>
                <w:rFonts w:ascii="Arial" w:cs="Arial" w:eastAsia="Arial" w:hAnsi="Arial"/>
                <w:sz w:val="18"/>
                <w:szCs w:val="18"/>
                <w:color w:val="auto"/>
              </w:rPr>
              <w:t>- 10</w:t>
            </w:r>
          </w:p>
        </w:tc>
      </w:tr>
    </w:tbl>
    <w:p>
      <w:pPr>
        <w:spacing w:after="0" w:line="202"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Property and equipment held under capital leases and leasehold improvements are amortized using the straight-line method over the shorter of the lease term or estimated useful life of the asset.</w:t>
      </w:r>
    </w:p>
    <w:p>
      <w:pPr>
        <w:spacing w:after="0" w:line="170" w:lineRule="exact"/>
        <w:rPr>
          <w:sz w:val="20"/>
          <w:szCs w:val="20"/>
          <w:color w:val="auto"/>
        </w:rPr>
      </w:pPr>
    </w:p>
    <w:p>
      <w:pPr>
        <w:ind w:left="660"/>
        <w:spacing w:after="0"/>
        <w:rPr>
          <w:sz w:val="20"/>
          <w:szCs w:val="20"/>
          <w:color w:val="auto"/>
        </w:rPr>
      </w:pPr>
      <w:r>
        <w:rPr>
          <w:rFonts w:ascii="Arial" w:cs="Arial" w:eastAsia="Arial" w:hAnsi="Arial"/>
          <w:sz w:val="18"/>
          <w:szCs w:val="18"/>
          <w:b w:val="1"/>
          <w:bCs w:val="1"/>
          <w:i w:val="1"/>
          <w:iCs w:val="1"/>
          <w:color w:val="auto"/>
        </w:rPr>
        <w:t>Leases</w:t>
      </w:r>
    </w:p>
    <w:p>
      <w:pPr>
        <w:spacing w:after="0" w:line="252" w:lineRule="exact"/>
        <w:rPr>
          <w:sz w:val="20"/>
          <w:szCs w:val="20"/>
          <w:color w:val="auto"/>
        </w:rPr>
      </w:pPr>
    </w:p>
    <w:p>
      <w:pPr>
        <w:jc w:val="both"/>
        <w:ind w:firstLine="648"/>
        <w:spacing w:after="0" w:line="257" w:lineRule="auto"/>
        <w:rPr>
          <w:sz w:val="20"/>
          <w:szCs w:val="20"/>
          <w:color w:val="auto"/>
        </w:rPr>
      </w:pPr>
      <w:r>
        <w:rPr>
          <w:rFonts w:ascii="Arial" w:cs="Arial" w:eastAsia="Arial" w:hAnsi="Arial"/>
          <w:sz w:val="18"/>
          <w:szCs w:val="18"/>
          <w:color w:val="auto"/>
        </w:rPr>
        <w:t>The Company accounts for its leases in accordance with ASC 842 Leases. The Company leases office space, manufacturing facilities, automobiles and equipment. The Company concludes on whether an arrangement is a lease at inception. This determination as to whether an arrangement contains a lease is based on an assessment as to whether a contract conveys the right to the Company to control the use of identified property, plant or equipment for period of time in exchange for consideration. Leases with an initial term of 12 months or less are not recorded on the balance sheet. The Company recognizes these lease expenses on a straight-line basis over the lease term.</w:t>
      </w:r>
    </w:p>
    <w:p>
      <w:pPr>
        <w:spacing w:after="0" w:line="188" w:lineRule="exact"/>
        <w:rPr>
          <w:sz w:val="20"/>
          <w:szCs w:val="20"/>
          <w:color w:val="auto"/>
        </w:rPr>
      </w:pPr>
    </w:p>
    <w:p>
      <w:pPr>
        <w:jc w:val="both"/>
        <w:ind w:firstLine="648"/>
        <w:spacing w:after="0" w:line="342" w:lineRule="auto"/>
        <w:rPr>
          <w:sz w:val="20"/>
          <w:szCs w:val="20"/>
          <w:color w:val="auto"/>
        </w:rPr>
      </w:pPr>
      <w:r>
        <w:rPr>
          <w:rFonts w:ascii="Arial" w:cs="Arial" w:eastAsia="Arial" w:hAnsi="Arial"/>
          <w:sz w:val="16"/>
          <w:szCs w:val="16"/>
          <w:color w:val="auto"/>
        </w:rPr>
        <w:t>The Company has assessed its contracts and concluded that its leases consist of operating leases. Operating leases are included in operating lease right-of-use (ROU) assets, current portion of operating lease liabilities, and operating lease liabilities in the Company’s consolidated balance sheets.</w:t>
      </w:r>
    </w:p>
    <w:p>
      <w:pPr>
        <w:spacing w:after="0" w:line="124" w:lineRule="exact"/>
        <w:rPr>
          <w:sz w:val="20"/>
          <w:szCs w:val="20"/>
          <w:color w:val="auto"/>
        </w:rPr>
      </w:pPr>
    </w:p>
    <w:p>
      <w:pPr>
        <w:jc w:val="both"/>
        <w:ind w:firstLine="648"/>
        <w:spacing w:after="0" w:line="291" w:lineRule="auto"/>
        <w:rPr>
          <w:sz w:val="20"/>
          <w:szCs w:val="20"/>
          <w:color w:val="auto"/>
        </w:rPr>
      </w:pPr>
      <w:r>
        <w:rPr>
          <w:rFonts w:ascii="Arial" w:cs="Arial" w:eastAsia="Arial" w:hAnsi="Arial"/>
          <w:sz w:val="16"/>
          <w:szCs w:val="16"/>
          <w:color w:val="auto"/>
        </w:rPr>
        <w:t>ROU assets represent the Company’s right to use an underlying asset for the lease term and lease liabilities represent the Company’s obligation to make lease payments arising from the lease. Operating lease ROU assets and liabilities are recognized at commencement date based on the present value of lease payments over the lease term. As most of the Company’s leases do not provide an implicit rate, the Company determines an incremental borrowing rate based on the information available at commencement date in determining the present value of lease payments. The incremental borrowing rate represents a significant judgment that is based on an analysis of the Company’s credit rating, country risk, treasury and corporate bond yields, as well as comparison to the Company’s borrowing rate on its most recent loan. The Company uses the implicit rate when readily determinable. The Company has lease agreements with lease and non-lease components, which are generally accounted for separately.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F- 9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38" w:name="page39"/>
    <w:bookmarkEnd w:id="38"/>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52" w:lineRule="exact"/>
        <w:rPr>
          <w:sz w:val="20"/>
          <w:szCs w:val="20"/>
          <w:color w:val="auto"/>
        </w:rPr>
      </w:pPr>
    </w:p>
    <w:p>
      <w:pPr>
        <w:ind w:left="660"/>
        <w:spacing w:after="0"/>
        <w:rPr>
          <w:sz w:val="20"/>
          <w:szCs w:val="20"/>
          <w:color w:val="auto"/>
        </w:rPr>
      </w:pPr>
      <w:r>
        <w:rPr>
          <w:rFonts w:ascii="Arial" w:cs="Arial" w:eastAsia="Arial" w:hAnsi="Arial"/>
          <w:sz w:val="18"/>
          <w:szCs w:val="18"/>
          <w:b w:val="1"/>
          <w:bCs w:val="1"/>
          <w:i w:val="1"/>
          <w:iCs w:val="1"/>
          <w:color w:val="auto"/>
        </w:rPr>
        <w:t>Income Taxes</w:t>
      </w:r>
    </w:p>
    <w:p>
      <w:pPr>
        <w:spacing w:after="0" w:line="252" w:lineRule="exact"/>
        <w:rPr>
          <w:sz w:val="20"/>
          <w:szCs w:val="20"/>
          <w:color w:val="auto"/>
        </w:rPr>
      </w:pPr>
    </w:p>
    <w:p>
      <w:pPr>
        <w:jc w:val="both"/>
        <w:ind w:firstLine="648"/>
        <w:spacing w:after="0" w:line="257" w:lineRule="auto"/>
        <w:rPr>
          <w:sz w:val="20"/>
          <w:szCs w:val="20"/>
          <w:color w:val="auto"/>
        </w:rPr>
      </w:pPr>
      <w:r>
        <w:rPr>
          <w:rFonts w:ascii="Arial" w:cs="Arial" w:eastAsia="Arial" w:hAnsi="Arial"/>
          <w:sz w:val="18"/>
          <w:szCs w:val="18"/>
          <w:color w:val="auto"/>
        </w:rPr>
        <w:t>Income taxes are accounted for under the asset and liability method. Deferred tax assets and liabilities are recognized for the future tax consequences attributable to differences between the financial statement carrying amounts of existing assets and liabilities and their respective tax bases. Deferred tax assets and liabilities are measured using enacted tax rates expected to be applied to taxable income in the years in which those temporary differences are expected to be recovered or settled. The effect on deferred tax assets and liabilities of a change in tax rates is recognized in income in the period that includes the enactment date.</w:t>
      </w:r>
    </w:p>
    <w:p>
      <w:pPr>
        <w:spacing w:after="0" w:line="188" w:lineRule="exact"/>
        <w:rPr>
          <w:sz w:val="20"/>
          <w:szCs w:val="20"/>
          <w:color w:val="auto"/>
        </w:rPr>
      </w:pPr>
    </w:p>
    <w:p>
      <w:pPr>
        <w:jc w:val="both"/>
        <w:ind w:firstLine="648"/>
        <w:spacing w:after="0" w:line="263" w:lineRule="auto"/>
        <w:rPr>
          <w:sz w:val="20"/>
          <w:szCs w:val="20"/>
          <w:color w:val="auto"/>
        </w:rPr>
      </w:pPr>
      <w:r>
        <w:rPr>
          <w:rFonts w:ascii="Arial" w:cs="Arial" w:eastAsia="Arial" w:hAnsi="Arial"/>
          <w:sz w:val="18"/>
          <w:szCs w:val="18"/>
          <w:color w:val="auto"/>
        </w:rPr>
        <w:t>The Company recognizes the effect of income tax positions only if those positions are more likely than not of being sustained. Recognized income tax positions are measured at the largest amount that is more than 50% likely of being realized. Changes in recognition are reflected in the period in which the judgement occurs.</w:t>
      </w:r>
    </w:p>
    <w:p>
      <w:pPr>
        <w:spacing w:after="0" w:line="184"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The Company’s policy is to account for Global Intangible Low-Taxed income (GILTI) as a period cost.</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8"/>
          <w:szCs w:val="18"/>
          <w:b w:val="1"/>
          <w:bCs w:val="1"/>
          <w:i w:val="1"/>
          <w:iCs w:val="1"/>
          <w:color w:val="auto"/>
        </w:rPr>
        <w:t>Foreign Currency Translation</w:t>
      </w:r>
    </w:p>
    <w:p>
      <w:pPr>
        <w:spacing w:after="0" w:line="252" w:lineRule="exact"/>
        <w:rPr>
          <w:sz w:val="20"/>
          <w:szCs w:val="20"/>
          <w:color w:val="auto"/>
        </w:rPr>
      </w:pPr>
    </w:p>
    <w:p>
      <w:pPr>
        <w:jc w:val="both"/>
        <w:ind w:firstLine="648"/>
        <w:spacing w:after="0" w:line="301" w:lineRule="auto"/>
        <w:rPr>
          <w:sz w:val="20"/>
          <w:szCs w:val="20"/>
          <w:color w:val="auto"/>
        </w:rPr>
      </w:pPr>
      <w:r>
        <w:rPr>
          <w:rFonts w:ascii="Arial" w:cs="Arial" w:eastAsia="Arial" w:hAnsi="Arial"/>
          <w:sz w:val="16"/>
          <w:szCs w:val="16"/>
          <w:color w:val="auto"/>
        </w:rPr>
        <w:t>The functional currency of the Company’s foreign subsidiaries is generally their local currency. All assets and liabilities of its foreign subsidiaries are translated at exchange rates in effect at period-end. Income and expenses are translated at rates which approximate those in effect on the transaction dates. The resulting translation adjustment is recorded as a separate component of stockholders’ equity in accumulated other comprehensive (loss) income (“AOCI”) in the consolidated balance sheets. Gains and losses resulting from foreign currency transactions are included in net (loss) income.</w:t>
      </w:r>
    </w:p>
    <w:p>
      <w:pPr>
        <w:spacing w:after="0" w:line="157" w:lineRule="exact"/>
        <w:rPr>
          <w:sz w:val="20"/>
          <w:szCs w:val="20"/>
          <w:color w:val="auto"/>
        </w:rPr>
      </w:pPr>
    </w:p>
    <w:p>
      <w:pPr>
        <w:ind w:left="660"/>
        <w:spacing w:after="0"/>
        <w:rPr>
          <w:sz w:val="20"/>
          <w:szCs w:val="20"/>
          <w:color w:val="auto"/>
        </w:rPr>
      </w:pPr>
      <w:r>
        <w:rPr>
          <w:rFonts w:ascii="Arial" w:cs="Arial" w:eastAsia="Arial" w:hAnsi="Arial"/>
          <w:sz w:val="18"/>
          <w:szCs w:val="18"/>
          <w:b w:val="1"/>
          <w:bCs w:val="1"/>
          <w:i w:val="1"/>
          <w:iCs w:val="1"/>
          <w:color w:val="auto"/>
        </w:rPr>
        <w:t>Earnings per Share</w:t>
      </w:r>
    </w:p>
    <w:p>
      <w:pPr>
        <w:spacing w:after="0" w:line="252"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Basic earnings per share is computed by dividing net income by the weighted average number of shares of common stock outstanding during the periods presented. The computation of diluted earnings per share is similar to the computation of basic earnings per share, except that the denominator is increased for the assumed exercise of dilutive options and other potentially dilutive securities using the treasury stock method unless the effect is antidilutive.</w:t>
      </w:r>
    </w:p>
    <w:p>
      <w:pPr>
        <w:spacing w:after="0" w:line="187" w:lineRule="exact"/>
        <w:rPr>
          <w:sz w:val="20"/>
          <w:szCs w:val="20"/>
          <w:color w:val="auto"/>
        </w:rPr>
      </w:pPr>
    </w:p>
    <w:p>
      <w:pPr>
        <w:ind w:left="660"/>
        <w:spacing w:after="0"/>
        <w:rPr>
          <w:sz w:val="20"/>
          <w:szCs w:val="20"/>
          <w:color w:val="auto"/>
        </w:rPr>
      </w:pPr>
      <w:r>
        <w:rPr>
          <w:rFonts w:ascii="Arial" w:cs="Arial" w:eastAsia="Arial" w:hAnsi="Arial"/>
          <w:sz w:val="18"/>
          <w:szCs w:val="18"/>
          <w:b w:val="1"/>
          <w:bCs w:val="1"/>
          <w:i w:val="1"/>
          <w:iCs w:val="1"/>
          <w:color w:val="auto"/>
        </w:rPr>
        <w:t>Comprehensive (Loss) Income</w:t>
      </w:r>
    </w:p>
    <w:p>
      <w:pPr>
        <w:spacing w:after="0" w:line="252" w:lineRule="exact"/>
        <w:rPr>
          <w:sz w:val="20"/>
          <w:szCs w:val="20"/>
          <w:color w:val="auto"/>
        </w:rPr>
      </w:pPr>
    </w:p>
    <w:p>
      <w:pPr>
        <w:jc w:val="both"/>
        <w:ind w:firstLine="648"/>
        <w:spacing w:after="0" w:line="279" w:lineRule="auto"/>
        <w:rPr>
          <w:sz w:val="20"/>
          <w:szCs w:val="20"/>
          <w:color w:val="auto"/>
        </w:rPr>
      </w:pPr>
      <w:r>
        <w:rPr>
          <w:rFonts w:ascii="Arial" w:cs="Arial" w:eastAsia="Arial" w:hAnsi="Arial"/>
          <w:sz w:val="17"/>
          <w:szCs w:val="17"/>
          <w:color w:val="auto"/>
        </w:rPr>
        <w:t>In accordance with ASC 220, the Company reports all changes in equity during a period, resulting from net (loss) income and transactions from non-owner sources, in a financial statement in the period in which they are recognized. The Company discloses comprehensive (loss) income, which encompasses net (loss) income, foreign currency translation adjustments, gains and losses on derivatives, the underfunded status of its pension plans, and pension minimum additional liability adjustments, net of tax, in the consolidated statements of comprehensive (loss) income.</w:t>
      </w:r>
    </w:p>
    <w:p>
      <w:pPr>
        <w:spacing w:after="0" w:line="171" w:lineRule="exact"/>
        <w:rPr>
          <w:sz w:val="20"/>
          <w:szCs w:val="20"/>
          <w:color w:val="auto"/>
        </w:rPr>
      </w:pPr>
    </w:p>
    <w:p>
      <w:pPr>
        <w:ind w:left="660"/>
        <w:spacing w:after="0"/>
        <w:rPr>
          <w:sz w:val="20"/>
          <w:szCs w:val="20"/>
          <w:color w:val="auto"/>
        </w:rPr>
      </w:pPr>
      <w:r>
        <w:rPr>
          <w:rFonts w:ascii="Arial" w:cs="Arial" w:eastAsia="Arial" w:hAnsi="Arial"/>
          <w:sz w:val="18"/>
          <w:szCs w:val="18"/>
          <w:b w:val="1"/>
          <w:bCs w:val="1"/>
          <w:i w:val="1"/>
          <w:iCs w:val="1"/>
          <w:color w:val="auto"/>
        </w:rPr>
        <w:t>Revenue Recognition</w:t>
      </w:r>
    </w:p>
    <w:p>
      <w:pPr>
        <w:spacing w:after="0" w:line="252" w:lineRule="exact"/>
        <w:rPr>
          <w:sz w:val="20"/>
          <w:szCs w:val="20"/>
          <w:color w:val="auto"/>
        </w:rPr>
      </w:pPr>
    </w:p>
    <w:p>
      <w:pPr>
        <w:ind w:left="660"/>
        <w:spacing w:after="0"/>
        <w:rPr>
          <w:sz w:val="20"/>
          <w:szCs w:val="20"/>
          <w:color w:val="auto"/>
        </w:rPr>
      </w:pPr>
      <w:r>
        <w:rPr>
          <w:rFonts w:ascii="Arial" w:cs="Arial" w:eastAsia="Arial" w:hAnsi="Arial"/>
          <w:sz w:val="18"/>
          <w:szCs w:val="18"/>
          <w:i w:val="1"/>
          <w:iCs w:val="1"/>
          <w:color w:val="auto"/>
        </w:rPr>
        <w:t>Nature of contracts and customers</w:t>
      </w:r>
    </w:p>
    <w:p>
      <w:pPr>
        <w:spacing w:after="0" w:line="225"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The Company’s contracts are primarily of short duration and are mostly based on the receipt and fulfilment of purchase orders. The purchase orders are binding and include pricing and all other relevant terms and conditions.</w:t>
      </w:r>
    </w:p>
    <w:p>
      <w:pPr>
        <w:spacing w:after="0" w:line="170" w:lineRule="exact"/>
        <w:rPr>
          <w:sz w:val="20"/>
          <w:szCs w:val="20"/>
          <w:color w:val="auto"/>
        </w:rPr>
      </w:pPr>
    </w:p>
    <w:p>
      <w:pPr>
        <w:jc w:val="both"/>
        <w:ind w:firstLine="648"/>
        <w:spacing w:after="0" w:line="311" w:lineRule="auto"/>
        <w:rPr>
          <w:sz w:val="20"/>
          <w:szCs w:val="20"/>
          <w:color w:val="auto"/>
        </w:rPr>
      </w:pPr>
      <w:r>
        <w:rPr>
          <w:rFonts w:ascii="Arial" w:cs="Arial" w:eastAsia="Arial" w:hAnsi="Arial"/>
          <w:sz w:val="16"/>
          <w:szCs w:val="16"/>
          <w:color w:val="auto"/>
        </w:rPr>
        <w:t>The Company’s customers are primarily research scientists at pharmaceutical and biotechnology companies, universities, hospitals, government laboratories, including the United States National Institutes of Health (NIH) and contract research organizations. The Company also has global and regional distribution partners, and original equipment manufacturer (OEM) customers who incorporate its products into their products under their own brands.</w:t>
      </w:r>
    </w:p>
    <w:p>
      <w:pPr>
        <w:spacing w:after="0" w:line="149" w:lineRule="exact"/>
        <w:rPr>
          <w:sz w:val="20"/>
          <w:szCs w:val="20"/>
          <w:color w:val="auto"/>
        </w:rPr>
      </w:pPr>
    </w:p>
    <w:p>
      <w:pPr>
        <w:ind w:left="660"/>
        <w:spacing w:after="0"/>
        <w:rPr>
          <w:sz w:val="20"/>
          <w:szCs w:val="20"/>
          <w:color w:val="auto"/>
        </w:rPr>
      </w:pPr>
      <w:r>
        <w:rPr>
          <w:rFonts w:ascii="Arial" w:cs="Arial" w:eastAsia="Arial" w:hAnsi="Arial"/>
          <w:sz w:val="18"/>
          <w:szCs w:val="18"/>
          <w:i w:val="1"/>
          <w:iCs w:val="1"/>
          <w:color w:val="auto"/>
        </w:rPr>
        <w:t>Performance obligations</w:t>
      </w:r>
    </w:p>
    <w:p>
      <w:pPr>
        <w:spacing w:after="0" w:line="225" w:lineRule="exact"/>
        <w:rPr>
          <w:sz w:val="20"/>
          <w:szCs w:val="20"/>
          <w:color w:val="auto"/>
        </w:rPr>
      </w:pPr>
    </w:p>
    <w:p>
      <w:pPr>
        <w:jc w:val="both"/>
        <w:ind w:firstLine="648"/>
        <w:spacing w:after="0" w:line="293" w:lineRule="auto"/>
        <w:rPr>
          <w:sz w:val="20"/>
          <w:szCs w:val="20"/>
          <w:color w:val="auto"/>
        </w:rPr>
      </w:pPr>
      <w:r>
        <w:rPr>
          <w:rFonts w:ascii="Arial" w:cs="Arial" w:eastAsia="Arial" w:hAnsi="Arial"/>
          <w:sz w:val="16"/>
          <w:szCs w:val="16"/>
          <w:color w:val="auto"/>
        </w:rPr>
        <w:t>The Company’s performance obligations under its revenue contracts consist of its instruments, equipment, accessories, services, maintenance and extended warranties. Equipment also includes software that functions together with the tangible equipment to deliver its essential functionality. Contracts with customers may contain multiple promises such as delivery of hardware, software, professional services or post-contract support services. These promises are accounted for as separate performance obligations if they are distinct. For contracts with customers that contain multiple performance obligations, the transaction price is allocated to the separate performance obligations based on estimated relative standalone selling price, which does not materially differ from the stated price in the contract. In general, the Company’s list prices are indicative of standalone selling price.</w:t>
      </w:r>
    </w:p>
    <w:p>
      <w:pPr>
        <w:spacing w:after="0" w:line="38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F- 10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39" w:name="page40"/>
    <w:bookmarkEnd w:id="39"/>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52"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Instruments, equipment and accessories consist of a range of products that are used in life sciences research. Revenues from the sales of these items are recognized when transfer of control of these products to the customer occurs. Transfer of control occurs when the Company has a right to payment, and the customer has legal title to the asset and the customer or their selected carrier has possession, which is typically upon shipment. Sales on these items are therefore generally recognized at a point in time.</w:t>
      </w:r>
    </w:p>
    <w:p>
      <w:pPr>
        <w:spacing w:after="0" w:line="187" w:lineRule="exact"/>
        <w:rPr>
          <w:sz w:val="20"/>
          <w:szCs w:val="20"/>
          <w:color w:val="auto"/>
        </w:rPr>
      </w:pPr>
    </w:p>
    <w:p>
      <w:pPr>
        <w:jc w:val="both"/>
        <w:ind w:firstLine="648"/>
        <w:spacing w:after="0" w:line="289" w:lineRule="auto"/>
        <w:rPr>
          <w:sz w:val="20"/>
          <w:szCs w:val="20"/>
          <w:color w:val="auto"/>
        </w:rPr>
      </w:pPr>
      <w:r>
        <w:rPr>
          <w:rFonts w:ascii="Arial" w:cs="Arial" w:eastAsia="Arial" w:hAnsi="Arial"/>
          <w:sz w:val="16"/>
          <w:szCs w:val="16"/>
          <w:color w:val="auto"/>
        </w:rPr>
        <w:t>The Company’s equipment revenue also includes the sale of wireless implantable monitors that are used for life science research purposes. The Company sells these wireless implantable monitors to pharmaceutical companies, contract research organizations and academic laboratories. In addition to sales generated from new and existing customers, these implantable devices are also sold under a program called the “exchange program.” Under this program, customers may return an implantable monitor to the Company after use, and if the returned monitor can be reprocessed and resold, they may, in exchange, purchase a replacement implantable monitor of the same model at a lower price than a new monitor. The implantable monitors that are returned by customers are reprocessed and made available for future sale. The initial sale of implantable monitors and subsequent sale of replacement implantable monitors are independent transactions. The Company has no obligation in connection with the initial sale to sell replacement implantable monitors at any future date under any fixed terms and may refuse returned implantable monitors that cannot be recovered or are obsolete. The Company has concluded that the offer to its customers that they may purchase a discounted product in the future is not a material right based on the applicable guidance within ASC 606.</w:t>
      </w:r>
    </w:p>
    <w:p>
      <w:pPr>
        <w:spacing w:after="0" w:line="166" w:lineRule="exact"/>
        <w:rPr>
          <w:sz w:val="20"/>
          <w:szCs w:val="20"/>
          <w:color w:val="auto"/>
        </w:rPr>
      </w:pPr>
    </w:p>
    <w:p>
      <w:pPr>
        <w:jc w:val="both"/>
        <w:ind w:firstLine="648"/>
        <w:spacing w:after="0" w:line="290" w:lineRule="auto"/>
        <w:rPr>
          <w:sz w:val="20"/>
          <w:szCs w:val="20"/>
          <w:color w:val="auto"/>
        </w:rPr>
      </w:pPr>
      <w:r>
        <w:rPr>
          <w:rFonts w:ascii="Arial" w:cs="Arial" w:eastAsia="Arial" w:hAnsi="Arial"/>
          <w:sz w:val="16"/>
          <w:szCs w:val="16"/>
          <w:color w:val="auto"/>
        </w:rPr>
        <w:t>Service revenue consists of installation, training, data analysis, and surgeries performed on research animals. Maintenance revenue consists of post-contract support provided in relation to software that is embedded within the equipment that is sold to the customer. The Company provides standard warranties that promise the customer that the product will work as promised. These standard warranties are not a separate performance obligation. Extended warranties relate to warranties that are separately priced, and purchased in addition to a standard warranty, and are therefore a separate performance obligation. The Company has made the judgment that the customer benefits as the Company performs over the period of the contract, and therefore revenues from service, maintenance and warranty contracts are recognized over time. The Company uses the input method to recognize revenue over time, based on time elapsed, which is generally on a straight-line basis over the service period. The period over which maintenance and warranty contracts is recognized is typically one year. The period over which service revenue is recognized is generally less than one month.</w:t>
      </w:r>
    </w:p>
    <w:p>
      <w:pPr>
        <w:spacing w:after="0" w:line="165" w:lineRule="exact"/>
        <w:rPr>
          <w:sz w:val="20"/>
          <w:szCs w:val="20"/>
          <w:color w:val="auto"/>
        </w:rPr>
      </w:pPr>
    </w:p>
    <w:p>
      <w:pPr>
        <w:jc w:val="both"/>
        <w:ind w:firstLine="648"/>
        <w:spacing w:after="0" w:line="301" w:lineRule="auto"/>
        <w:rPr>
          <w:sz w:val="20"/>
          <w:szCs w:val="20"/>
          <w:color w:val="auto"/>
        </w:rPr>
      </w:pPr>
      <w:r>
        <w:rPr>
          <w:rFonts w:ascii="Arial" w:cs="Arial" w:eastAsia="Arial" w:hAnsi="Arial"/>
          <w:sz w:val="16"/>
          <w:szCs w:val="16"/>
          <w:color w:val="auto"/>
        </w:rPr>
        <w:t>For sales for which transfer of control occurs upon shipment, the Company accounts for shipping and handling costs as fulfilment costs. As such, the Company records the amounts billed to the customer for shipping costs as revenue and the costs within cost of revenues upon shipment. For sales, for which control transfers to customers after shipment, the Company has elected to account for shipping and handling as activities to fulfill the promise to transfer the goods to the customer. The Company therefore accrues for the costs of shipping undelivered items in the period of shipment.</w:t>
      </w:r>
    </w:p>
    <w:p>
      <w:pPr>
        <w:spacing w:after="0" w:line="157"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Revenues expected to be recognized related to remaining performance obligations are generally expected to be recognized in one year or less, as the majority of the Company's contracts have a term of less than one year.</w:t>
      </w:r>
    </w:p>
    <w:p>
      <w:pPr>
        <w:spacing w:after="0" w:line="170" w:lineRule="exact"/>
        <w:rPr>
          <w:sz w:val="20"/>
          <w:szCs w:val="20"/>
          <w:color w:val="auto"/>
        </w:rPr>
      </w:pPr>
    </w:p>
    <w:p>
      <w:pPr>
        <w:ind w:left="660"/>
        <w:spacing w:after="0"/>
        <w:rPr>
          <w:sz w:val="20"/>
          <w:szCs w:val="20"/>
          <w:color w:val="auto"/>
        </w:rPr>
      </w:pPr>
      <w:r>
        <w:rPr>
          <w:rFonts w:ascii="Arial" w:cs="Arial" w:eastAsia="Arial" w:hAnsi="Arial"/>
          <w:sz w:val="18"/>
          <w:szCs w:val="18"/>
          <w:i w:val="1"/>
          <w:iCs w:val="1"/>
          <w:color w:val="auto"/>
        </w:rPr>
        <w:t>Variable Consideration</w:t>
      </w:r>
    </w:p>
    <w:p>
      <w:pPr>
        <w:spacing w:after="0" w:line="225" w:lineRule="exact"/>
        <w:rPr>
          <w:sz w:val="20"/>
          <w:szCs w:val="20"/>
          <w:color w:val="auto"/>
        </w:rPr>
      </w:pPr>
    </w:p>
    <w:p>
      <w:pPr>
        <w:jc w:val="both"/>
        <w:ind w:firstLine="648"/>
        <w:spacing w:after="0" w:line="293" w:lineRule="auto"/>
        <w:rPr>
          <w:sz w:val="20"/>
          <w:szCs w:val="20"/>
          <w:color w:val="auto"/>
        </w:rPr>
      </w:pPr>
      <w:r>
        <w:rPr>
          <w:rFonts w:ascii="Arial" w:cs="Arial" w:eastAsia="Arial" w:hAnsi="Arial"/>
          <w:sz w:val="16"/>
          <w:szCs w:val="16"/>
          <w:color w:val="auto"/>
        </w:rPr>
        <w:t>The nature of the Company's contracts gives rise to certain types of variable consideration, including in limited cases volume and payment discounts. The Company analyzes sales that could include variable consideration and estimates the expected or most likely amount of revenue after returns, trade-ins, discounts, rebates, credits, and incentives. Product returns are estimated and accrued for, based on historical information. In making these estimates, the Company considers whether the amount of variable consideration is constrained and is included in revenue only to the extent that it is probable that a significant reversal of the revenue recognized will not occur when the uncertainty associated with the variable consideration is subsequently resolved. Variable consideration, and its impact on the Company’s revenue recognition, was not material in any of the periods presented.</w:t>
      </w:r>
    </w:p>
    <w:p>
      <w:pPr>
        <w:spacing w:after="0" w:line="164"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The Company’s payment terms are generally from zero to sixty days from the time of invoicing, which generally occurs at the time of shipment or prior to services being performed. Payment terms vary by the type of its customers and the products or services offered.</w:t>
      </w:r>
    </w:p>
    <w:p>
      <w:pPr>
        <w:spacing w:after="0" w:line="170" w:lineRule="exact"/>
        <w:rPr>
          <w:sz w:val="20"/>
          <w:szCs w:val="20"/>
          <w:color w:val="auto"/>
        </w:rPr>
      </w:pPr>
    </w:p>
    <w:p>
      <w:pPr>
        <w:jc w:val="both"/>
        <w:ind w:right="20" w:firstLine="648"/>
        <w:spacing w:after="0" w:line="277" w:lineRule="auto"/>
        <w:rPr>
          <w:sz w:val="20"/>
          <w:szCs w:val="20"/>
          <w:color w:val="auto"/>
        </w:rPr>
      </w:pPr>
      <w:r>
        <w:rPr>
          <w:rFonts w:ascii="Arial" w:cs="Arial" w:eastAsia="Arial" w:hAnsi="Arial"/>
          <w:sz w:val="18"/>
          <w:szCs w:val="18"/>
          <w:color w:val="auto"/>
        </w:rPr>
        <w:t>Sales taxes, value added taxes, and certain excise taxes collected from customers and remitted to governmental authorities are accounted for on a net basis and are therefore excluded from revenues.</w:t>
      </w:r>
    </w:p>
    <w:p>
      <w:pPr>
        <w:spacing w:after="0" w:line="200" w:lineRule="exact"/>
        <w:rPr>
          <w:sz w:val="20"/>
          <w:szCs w:val="20"/>
          <w:color w:val="auto"/>
        </w:rPr>
      </w:pPr>
    </w:p>
    <w:p>
      <w:pPr>
        <w:spacing w:after="0" w:line="200" w:lineRule="exact"/>
        <w:rPr>
          <w:sz w:val="20"/>
          <w:szCs w:val="20"/>
          <w:color w:val="auto"/>
        </w:rPr>
      </w:pPr>
    </w:p>
    <w:p>
      <w:pPr>
        <w:spacing w:after="0" w:line="20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F- 11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40" w:name="page41"/>
    <w:bookmarkEnd w:id="40"/>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52" w:lineRule="exact"/>
        <w:rPr>
          <w:sz w:val="20"/>
          <w:szCs w:val="20"/>
          <w:color w:val="auto"/>
        </w:rPr>
      </w:pPr>
    </w:p>
    <w:p>
      <w:pPr>
        <w:ind w:left="660"/>
        <w:spacing w:after="0"/>
        <w:rPr>
          <w:sz w:val="20"/>
          <w:szCs w:val="20"/>
          <w:color w:val="auto"/>
        </w:rPr>
      </w:pPr>
      <w:r>
        <w:rPr>
          <w:rFonts w:ascii="Arial" w:cs="Arial" w:eastAsia="Arial" w:hAnsi="Arial"/>
          <w:sz w:val="18"/>
          <w:szCs w:val="18"/>
          <w:i w:val="1"/>
          <w:iCs w:val="1"/>
          <w:color w:val="auto"/>
        </w:rPr>
        <w:t>Deferred revenue</w:t>
      </w:r>
    </w:p>
    <w:p>
      <w:pPr>
        <w:spacing w:after="0" w:line="225" w:lineRule="exact"/>
        <w:rPr>
          <w:sz w:val="20"/>
          <w:szCs w:val="20"/>
          <w:color w:val="auto"/>
        </w:rPr>
      </w:pPr>
    </w:p>
    <w:p>
      <w:pPr>
        <w:jc w:val="both"/>
        <w:ind w:firstLine="648"/>
        <w:spacing w:after="0" w:line="263" w:lineRule="auto"/>
        <w:rPr>
          <w:sz w:val="20"/>
          <w:szCs w:val="20"/>
          <w:color w:val="auto"/>
        </w:rPr>
      </w:pPr>
      <w:r>
        <w:rPr>
          <w:rFonts w:ascii="Arial" w:cs="Arial" w:eastAsia="Arial" w:hAnsi="Arial"/>
          <w:sz w:val="18"/>
          <w:szCs w:val="18"/>
          <w:color w:val="auto"/>
        </w:rPr>
        <w:t>The Company records deferred revenue when cash is collected from customers prior to satisfaction of the Company’s performance obligation to the customer. Deferred revenue consists of amounts deferred related to service contracts and revenue deferred as a result of payments received in advance from customers. Deferred revenue is generally expected to be recognized within one year.</w:t>
      </w:r>
    </w:p>
    <w:p>
      <w:pPr>
        <w:spacing w:after="0" w:line="184" w:lineRule="exact"/>
        <w:rPr>
          <w:sz w:val="20"/>
          <w:szCs w:val="20"/>
          <w:color w:val="auto"/>
        </w:rPr>
      </w:pPr>
    </w:p>
    <w:p>
      <w:pPr>
        <w:jc w:val="both"/>
        <w:ind w:firstLine="648"/>
        <w:spacing w:after="0" w:line="263" w:lineRule="auto"/>
        <w:rPr>
          <w:sz w:val="20"/>
          <w:szCs w:val="20"/>
          <w:color w:val="auto"/>
        </w:rPr>
      </w:pPr>
      <w:r>
        <w:rPr>
          <w:rFonts w:ascii="Arial" w:cs="Arial" w:eastAsia="Arial" w:hAnsi="Arial"/>
          <w:sz w:val="18"/>
          <w:szCs w:val="18"/>
          <w:color w:val="auto"/>
        </w:rPr>
        <w:t>The amounts included in deferred revenue from advanced payments relate to amounts that are prepaid for wireless implantable monitors under the exchange program. The Company has made the judgment that these payments do not represent a significant financing component as the customer can exercise their discretion as to when they can obtain the products that they have made a prepayment for.</w:t>
      </w:r>
    </w:p>
    <w:p>
      <w:pPr>
        <w:spacing w:after="0" w:line="184" w:lineRule="exact"/>
        <w:rPr>
          <w:sz w:val="20"/>
          <w:szCs w:val="20"/>
          <w:color w:val="auto"/>
        </w:rPr>
      </w:pPr>
    </w:p>
    <w:p>
      <w:pPr>
        <w:jc w:val="both"/>
        <w:ind w:firstLine="648"/>
        <w:spacing w:after="0" w:line="263" w:lineRule="auto"/>
        <w:rPr>
          <w:sz w:val="20"/>
          <w:szCs w:val="20"/>
          <w:color w:val="auto"/>
        </w:rPr>
      </w:pPr>
      <w:r>
        <w:rPr>
          <w:rFonts w:ascii="Arial" w:cs="Arial" w:eastAsia="Arial" w:hAnsi="Arial"/>
          <w:sz w:val="18"/>
          <w:szCs w:val="18"/>
          <w:color w:val="auto"/>
        </w:rPr>
        <w:t>Advanced payments received from customers are recorded as a liability, and revenue is recognized when the Company’s performance obligations are completed. Performance obligations are completed when the product is shipped or delivered to the customer, or at the end of the exchange program if goods are not acquired prior to the termination of the contract period.</w:t>
      </w:r>
    </w:p>
    <w:p>
      <w:pPr>
        <w:spacing w:after="0" w:line="184" w:lineRule="exact"/>
        <w:rPr>
          <w:sz w:val="20"/>
          <w:szCs w:val="20"/>
          <w:color w:val="auto"/>
        </w:rPr>
      </w:pPr>
    </w:p>
    <w:p>
      <w:pPr>
        <w:ind w:left="660"/>
        <w:spacing w:after="0"/>
        <w:rPr>
          <w:sz w:val="20"/>
          <w:szCs w:val="20"/>
          <w:color w:val="auto"/>
        </w:rPr>
      </w:pPr>
      <w:r>
        <w:rPr>
          <w:rFonts w:ascii="Arial" w:cs="Arial" w:eastAsia="Arial" w:hAnsi="Arial"/>
          <w:sz w:val="18"/>
          <w:szCs w:val="18"/>
          <w:i w:val="1"/>
          <w:iCs w:val="1"/>
          <w:color w:val="auto"/>
        </w:rPr>
        <w:t>Disaggregation of revenue</w:t>
      </w:r>
    </w:p>
    <w:p>
      <w:pPr>
        <w:spacing w:after="0" w:line="225"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Refer to Note 12 for revenue disaggregated by type as well as further information about the deferred revenue balances and to Note 15 for revenue disaggregated by geographic region.</w:t>
      </w:r>
    </w:p>
    <w:p>
      <w:pPr>
        <w:spacing w:after="0" w:line="200" w:lineRule="exact"/>
        <w:rPr>
          <w:sz w:val="20"/>
          <w:szCs w:val="20"/>
          <w:color w:val="auto"/>
        </w:rPr>
      </w:pPr>
    </w:p>
    <w:p>
      <w:pPr>
        <w:spacing w:after="0" w:line="21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Valuation of Identifiable Intangible Assets Acquired in Business Combinations</w:t>
      </w:r>
    </w:p>
    <w:p>
      <w:pPr>
        <w:spacing w:after="0" w:line="225" w:lineRule="exact"/>
        <w:rPr>
          <w:sz w:val="20"/>
          <w:szCs w:val="20"/>
          <w:color w:val="auto"/>
        </w:rPr>
      </w:pPr>
    </w:p>
    <w:p>
      <w:pPr>
        <w:jc w:val="both"/>
        <w:ind w:firstLine="648"/>
        <w:spacing w:after="0" w:line="255" w:lineRule="auto"/>
        <w:rPr>
          <w:sz w:val="20"/>
          <w:szCs w:val="20"/>
          <w:color w:val="auto"/>
        </w:rPr>
      </w:pPr>
      <w:r>
        <w:rPr>
          <w:rFonts w:ascii="Arial" w:cs="Arial" w:eastAsia="Arial" w:hAnsi="Arial"/>
          <w:sz w:val="18"/>
          <w:szCs w:val="18"/>
          <w:color w:val="auto"/>
        </w:rPr>
        <w:t>The determination of the fair value of intangible assets, which represents a significant portion of the purchase price in the Company’s acquisitions, requires the use of significant judgment with regard to (i) the fair value; and (ii) whether such intangibles are amortizable or not amortizable and, if the former, the period and the method by which the intangibles asset will be amortized. The Company estimates the fair value of acquisition-related intangible assets principally based on projections of discounted cash flows that will arise from identifiable assets of acquired businesses. Amortizable intangible assets include existing technology, trade names, distribution agreements, customer relationships and patents, and are amortized on a straight-line basis over their estimated useful lives.</w:t>
      </w:r>
    </w:p>
    <w:p>
      <w:pPr>
        <w:spacing w:after="0" w:line="192" w:lineRule="exact"/>
        <w:rPr>
          <w:sz w:val="20"/>
          <w:szCs w:val="20"/>
          <w:color w:val="auto"/>
        </w:rPr>
      </w:pPr>
    </w:p>
    <w:p>
      <w:pPr>
        <w:ind w:left="660"/>
        <w:spacing w:after="0"/>
        <w:rPr>
          <w:sz w:val="20"/>
          <w:szCs w:val="20"/>
          <w:color w:val="auto"/>
        </w:rPr>
      </w:pPr>
      <w:r>
        <w:rPr>
          <w:rFonts w:ascii="Arial" w:cs="Arial" w:eastAsia="Arial" w:hAnsi="Arial"/>
          <w:sz w:val="18"/>
          <w:szCs w:val="18"/>
          <w:b w:val="1"/>
          <w:bCs w:val="1"/>
          <w:i w:val="1"/>
          <w:iCs w:val="1"/>
          <w:color w:val="auto"/>
        </w:rPr>
        <w:t>Goodwill and Other Intangible Assets</w:t>
      </w:r>
    </w:p>
    <w:p>
      <w:pPr>
        <w:spacing w:after="0" w:line="252" w:lineRule="exact"/>
        <w:rPr>
          <w:sz w:val="20"/>
          <w:szCs w:val="20"/>
          <w:color w:val="auto"/>
        </w:rPr>
      </w:pPr>
    </w:p>
    <w:p>
      <w:pPr>
        <w:jc w:val="both"/>
        <w:ind w:firstLine="648"/>
        <w:spacing w:after="0" w:line="263" w:lineRule="auto"/>
        <w:rPr>
          <w:sz w:val="20"/>
          <w:szCs w:val="20"/>
          <w:color w:val="auto"/>
        </w:rPr>
      </w:pPr>
      <w:r>
        <w:rPr>
          <w:rFonts w:ascii="Arial" w:cs="Arial" w:eastAsia="Arial" w:hAnsi="Arial"/>
          <w:sz w:val="18"/>
          <w:szCs w:val="18"/>
          <w:color w:val="auto"/>
        </w:rPr>
        <w:t>Goodwill and unamortizable intangible assets acquired in a business combination and determined to have an indefinite useful life are not amortized, but instead are tested for impairment annually or more frequently if events or changes in circumstances indicate that the asset might be impaired, in accordance with the provisions of ASC 350, “Intangibles—Goodwill and Other.”</w:t>
      </w:r>
    </w:p>
    <w:p>
      <w:pPr>
        <w:spacing w:after="0" w:line="184" w:lineRule="exact"/>
        <w:rPr>
          <w:sz w:val="20"/>
          <w:szCs w:val="20"/>
          <w:color w:val="auto"/>
        </w:rPr>
      </w:pPr>
    </w:p>
    <w:p>
      <w:pPr>
        <w:jc w:val="both"/>
        <w:ind w:firstLine="648"/>
        <w:spacing w:after="0" w:line="288" w:lineRule="auto"/>
        <w:rPr>
          <w:sz w:val="20"/>
          <w:szCs w:val="20"/>
          <w:color w:val="auto"/>
        </w:rPr>
      </w:pPr>
      <w:r>
        <w:rPr>
          <w:rFonts w:ascii="Arial" w:cs="Arial" w:eastAsia="Arial" w:hAnsi="Arial"/>
          <w:sz w:val="16"/>
          <w:szCs w:val="16"/>
          <w:color w:val="auto"/>
        </w:rPr>
        <w:t>For the purpose of its goodwill analysis, the Company has one reporting unit. The Company conducts its annual impairment analysis in the fourth quarter of the fiscal year and more frequently if there is an indicator of impairment. The Company assesses qualitative factors of the reporting unit to determine whether it is more likely than not that the fair value of the reporting unit is less than its carrying value. If the qualitative assessment indicates a potential impairment, a quantitative analysis is performed. The Company compares the fair value of the reporting unit with its carrying amount. The Company estimates fair value using under the income approach using the discounted cash flows model, which indicates the fair value of the reporting unit based on the present value of the cash flows that the Company expects the reporting unit to generate in the future. The Company's significant estimates in the discounted cash flows model include weighted average cost of capital, long-term rate of growth and profitability of the reporting unit’s business, and working capital effects. If the carrying amount of a reporting unit exceeds its fair value, goodwill is impaired, and the Company would recognize a loss equal to the excess. For indefinite-lived intangible assets if the carrying value exceeds the fair value of the asset, the Company would write down the indefinite-lived intangible asset to fair value. At December 31, 2021, the Company concluded that none of its goodwill was impaired.</w:t>
      </w:r>
    </w:p>
    <w:p>
      <w:pPr>
        <w:spacing w:after="0" w:line="168"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The Company evaluates indefinite-lived intangible assets for impairment annually and when events occur, or circumstances change that may reduce the fair value of the asset below its carrying amount. Events or circumstances that might require an interim evaluation include unexpected adverse business conditions, economic factors, unanticipated technological changes or competitive activities, loss of key personnel and acts by governments and courts.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F- 12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41" w:name="page42"/>
    <w:bookmarkEnd w:id="41"/>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52" w:lineRule="exact"/>
        <w:rPr>
          <w:sz w:val="20"/>
          <w:szCs w:val="20"/>
          <w:color w:val="auto"/>
        </w:rPr>
      </w:pPr>
    </w:p>
    <w:p>
      <w:pPr>
        <w:ind w:left="660"/>
        <w:spacing w:after="0"/>
        <w:rPr>
          <w:sz w:val="20"/>
          <w:szCs w:val="20"/>
          <w:color w:val="auto"/>
        </w:rPr>
      </w:pPr>
      <w:r>
        <w:rPr>
          <w:rFonts w:ascii="Arial" w:cs="Arial" w:eastAsia="Arial" w:hAnsi="Arial"/>
          <w:sz w:val="18"/>
          <w:szCs w:val="18"/>
          <w:b w:val="1"/>
          <w:bCs w:val="1"/>
          <w:i w:val="1"/>
          <w:iCs w:val="1"/>
          <w:color w:val="auto"/>
        </w:rPr>
        <w:t>Impairment of Long-Lived Assets</w:t>
      </w:r>
    </w:p>
    <w:p>
      <w:pPr>
        <w:spacing w:after="0" w:line="252" w:lineRule="exact"/>
        <w:rPr>
          <w:sz w:val="20"/>
          <w:szCs w:val="20"/>
          <w:color w:val="auto"/>
        </w:rPr>
      </w:pPr>
    </w:p>
    <w:p>
      <w:pPr>
        <w:jc w:val="both"/>
        <w:ind w:firstLine="648"/>
        <w:spacing w:after="0" w:line="291" w:lineRule="auto"/>
        <w:rPr>
          <w:sz w:val="20"/>
          <w:szCs w:val="20"/>
          <w:color w:val="auto"/>
        </w:rPr>
      </w:pPr>
      <w:r>
        <w:rPr>
          <w:rFonts w:ascii="Arial" w:cs="Arial" w:eastAsia="Arial" w:hAnsi="Arial"/>
          <w:sz w:val="16"/>
          <w:szCs w:val="16"/>
          <w:color w:val="auto"/>
        </w:rPr>
        <w:t>The Company assesses recoverability of its long-lived assets that are held for use, such as property, plant and equipment and amortizable intangible assets in accordance with ASC 360, “Property, Plant and Equipment” when events or changes in circumstances indicate that the carrying amount of an asset or asset group may not be recoverable. Recoverability of assets or an asset group to be held and used is measured by a comparison of the carrying amount of an asset or asset group to estimated undiscounted future cash flows expected to be generated by the asset or the asset group. Cash flow projections are based on trends of historical performance and management’s estimate of future performance. If the carrying amount of the asset or asset group exceeds the estimated future cash flows, an impairment charge is recognized by the amount by which the carrying amount of the asset or asset group exceeds its estimated fair value. For the year ended December 31, 2021, the Company concluded that none of its long-lived assets were impaired.</w:t>
      </w:r>
    </w:p>
    <w:p>
      <w:pPr>
        <w:spacing w:after="0" w:line="166" w:lineRule="exact"/>
        <w:rPr>
          <w:sz w:val="20"/>
          <w:szCs w:val="20"/>
          <w:color w:val="auto"/>
        </w:rPr>
      </w:pPr>
    </w:p>
    <w:p>
      <w:pPr>
        <w:ind w:left="660"/>
        <w:spacing w:after="0"/>
        <w:rPr>
          <w:sz w:val="20"/>
          <w:szCs w:val="20"/>
          <w:color w:val="auto"/>
        </w:rPr>
      </w:pPr>
      <w:r>
        <w:rPr>
          <w:rFonts w:ascii="Arial" w:cs="Arial" w:eastAsia="Arial" w:hAnsi="Arial"/>
          <w:sz w:val="18"/>
          <w:szCs w:val="18"/>
          <w:b w:val="1"/>
          <w:bCs w:val="1"/>
          <w:i w:val="1"/>
          <w:iCs w:val="1"/>
          <w:color w:val="auto"/>
        </w:rPr>
        <w:t>Derivatives</w:t>
      </w:r>
    </w:p>
    <w:p>
      <w:pPr>
        <w:spacing w:after="0" w:line="252" w:lineRule="exact"/>
        <w:rPr>
          <w:sz w:val="20"/>
          <w:szCs w:val="20"/>
          <w:color w:val="auto"/>
        </w:rPr>
      </w:pPr>
    </w:p>
    <w:p>
      <w:pPr>
        <w:jc w:val="both"/>
        <w:ind w:firstLine="648"/>
        <w:spacing w:after="0" w:line="254" w:lineRule="auto"/>
        <w:rPr>
          <w:sz w:val="20"/>
          <w:szCs w:val="20"/>
          <w:color w:val="auto"/>
        </w:rPr>
      </w:pPr>
      <w:r>
        <w:rPr>
          <w:rFonts w:ascii="Arial" w:cs="Arial" w:eastAsia="Arial" w:hAnsi="Arial"/>
          <w:sz w:val="18"/>
          <w:szCs w:val="18"/>
          <w:color w:val="auto"/>
        </w:rPr>
        <w:t>The Company monitors interest rate risk attributable to both its outstanding and forecasted debt obligations and may use interest-rate-related derivative instruments to manage its exposure related to changes in interest rates on its variable-rate debt instruments. The Company does not enter into derivative instruments for any purpose other than cash flow hedging. The Company does not speculate using derivative instruments. The Company recognizes all derivative instruments as either assets or liabilities in the balance sheet at their respective fair values. For derivatives designated in hedging relationships, changes in the fair value are either offset through earnings against the change in fair value of the hedged item attributable to the risk being hedged or recognized in AOCI, to the extent the derivative is effective at offsetting the changes in cash flows being hedged until the hedged item affects earnings.</w:t>
      </w:r>
    </w:p>
    <w:p>
      <w:pPr>
        <w:spacing w:after="0" w:line="195" w:lineRule="exact"/>
        <w:rPr>
          <w:sz w:val="20"/>
          <w:szCs w:val="20"/>
          <w:color w:val="auto"/>
        </w:rPr>
      </w:pPr>
    </w:p>
    <w:p>
      <w:pPr>
        <w:ind w:left="660"/>
        <w:spacing w:after="0"/>
        <w:rPr>
          <w:sz w:val="20"/>
          <w:szCs w:val="20"/>
          <w:color w:val="auto"/>
        </w:rPr>
      </w:pPr>
      <w:r>
        <w:rPr>
          <w:rFonts w:ascii="Arial" w:cs="Arial" w:eastAsia="Arial" w:hAnsi="Arial"/>
          <w:sz w:val="18"/>
          <w:szCs w:val="18"/>
          <w:b w:val="1"/>
          <w:bCs w:val="1"/>
          <w:i w:val="1"/>
          <w:iCs w:val="1"/>
          <w:color w:val="auto"/>
        </w:rPr>
        <w:t>Fair Value of Financial Instruments</w:t>
      </w:r>
    </w:p>
    <w:p>
      <w:pPr>
        <w:spacing w:after="0" w:line="252"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The carrying values of the Company’s cash and cash equivalents, trade accounts receivable and trade accounts payable and short-term debt approximate their fair values because of the short maturities of those instruments. The fair value of the Company’s long-term debt approximates its carrying value and is based on the amount of future cash flows associated with the debt discounted using current borrowing rates for similar debt instruments of comparable maturity.</w:t>
      </w:r>
    </w:p>
    <w:p>
      <w:pPr>
        <w:spacing w:after="0" w:line="187" w:lineRule="exact"/>
        <w:rPr>
          <w:sz w:val="20"/>
          <w:szCs w:val="20"/>
          <w:color w:val="auto"/>
        </w:rPr>
      </w:pPr>
    </w:p>
    <w:p>
      <w:pPr>
        <w:ind w:left="660"/>
        <w:spacing w:after="0"/>
        <w:rPr>
          <w:sz w:val="20"/>
          <w:szCs w:val="20"/>
          <w:color w:val="auto"/>
        </w:rPr>
      </w:pPr>
      <w:r>
        <w:rPr>
          <w:rFonts w:ascii="Arial" w:cs="Arial" w:eastAsia="Arial" w:hAnsi="Arial"/>
          <w:sz w:val="18"/>
          <w:szCs w:val="18"/>
          <w:color w:val="auto"/>
        </w:rPr>
        <w:t>Financial reporting standards define a fair value hierarchy that consists of three levels:</w:t>
      </w:r>
    </w:p>
    <w:p>
      <w:pPr>
        <w:spacing w:after="0" w:line="225" w:lineRule="exact"/>
        <w:rPr>
          <w:sz w:val="20"/>
          <w:szCs w:val="20"/>
          <w:color w:val="auto"/>
        </w:rPr>
      </w:pPr>
    </w:p>
    <w:p>
      <w:pPr>
        <w:ind w:left="1300" w:right="140" w:hanging="644"/>
        <w:spacing w:after="0" w:line="277" w:lineRule="auto"/>
        <w:tabs>
          <w:tab w:leader="none" w:pos="1300" w:val="left"/>
        </w:tabs>
        <w:numPr>
          <w:ilvl w:val="0"/>
          <w:numId w:val="16"/>
        </w:numPr>
        <w:rPr>
          <w:rFonts w:ascii="Arial" w:cs="Arial" w:eastAsia="Arial" w:hAnsi="Arial"/>
          <w:sz w:val="18"/>
          <w:szCs w:val="18"/>
          <w:color w:val="auto"/>
        </w:rPr>
      </w:pPr>
      <w:r>
        <w:rPr>
          <w:rFonts w:ascii="Arial" w:cs="Arial" w:eastAsia="Arial" w:hAnsi="Arial"/>
          <w:sz w:val="18"/>
          <w:szCs w:val="18"/>
          <w:color w:val="auto"/>
        </w:rPr>
        <w:t>Level 1 includes instruments for which quoted prices in active markets for identical assets or liabilities accessible to the Company at the measurement date.</w:t>
      </w:r>
    </w:p>
    <w:p>
      <w:pPr>
        <w:spacing w:after="0" w:line="170" w:lineRule="exact"/>
        <w:rPr>
          <w:rFonts w:ascii="Arial" w:cs="Arial" w:eastAsia="Arial" w:hAnsi="Arial"/>
          <w:sz w:val="18"/>
          <w:szCs w:val="18"/>
          <w:color w:val="auto"/>
        </w:rPr>
      </w:pPr>
    </w:p>
    <w:p>
      <w:pPr>
        <w:ind w:left="1300" w:right="100" w:hanging="644"/>
        <w:spacing w:after="0" w:line="263" w:lineRule="auto"/>
        <w:tabs>
          <w:tab w:leader="none" w:pos="1300" w:val="left"/>
        </w:tabs>
        <w:numPr>
          <w:ilvl w:val="0"/>
          <w:numId w:val="16"/>
        </w:numPr>
        <w:rPr>
          <w:rFonts w:ascii="Arial" w:cs="Arial" w:eastAsia="Arial" w:hAnsi="Arial"/>
          <w:sz w:val="18"/>
          <w:szCs w:val="18"/>
          <w:color w:val="auto"/>
        </w:rPr>
      </w:pPr>
      <w:r>
        <w:rPr>
          <w:rFonts w:ascii="Arial" w:cs="Arial" w:eastAsia="Arial" w:hAnsi="Arial"/>
          <w:sz w:val="18"/>
          <w:szCs w:val="18"/>
          <w:color w:val="auto"/>
        </w:rPr>
        <w:t>Level 2 includes instruments for which the valuations are based on quoted prices for similar assets or liabilities, quoted prices in markets that are not active, or other inputs that are observable or can be corroborated by observable data for substantially the full term of the assets or liabilities.</w:t>
      </w:r>
    </w:p>
    <w:p>
      <w:pPr>
        <w:spacing w:after="0" w:line="183" w:lineRule="exact"/>
        <w:rPr>
          <w:rFonts w:ascii="Arial" w:cs="Arial" w:eastAsia="Arial" w:hAnsi="Arial"/>
          <w:sz w:val="18"/>
          <w:szCs w:val="18"/>
          <w:color w:val="auto"/>
        </w:rPr>
      </w:pPr>
    </w:p>
    <w:p>
      <w:pPr>
        <w:ind w:left="1300" w:hanging="644"/>
        <w:spacing w:after="0"/>
        <w:tabs>
          <w:tab w:leader="none" w:pos="1300" w:val="left"/>
        </w:tabs>
        <w:numPr>
          <w:ilvl w:val="0"/>
          <w:numId w:val="16"/>
        </w:numPr>
        <w:rPr>
          <w:rFonts w:ascii="Arial" w:cs="Arial" w:eastAsia="Arial" w:hAnsi="Arial"/>
          <w:sz w:val="18"/>
          <w:szCs w:val="18"/>
          <w:color w:val="auto"/>
        </w:rPr>
      </w:pPr>
      <w:r>
        <w:rPr>
          <w:rFonts w:ascii="Arial" w:cs="Arial" w:eastAsia="Arial" w:hAnsi="Arial"/>
          <w:sz w:val="18"/>
          <w:szCs w:val="18"/>
          <w:color w:val="auto"/>
        </w:rPr>
        <w:t>Level 3 includes valuations based on inputs that are unobservable and significant to the overall fair value measurement.</w:t>
      </w:r>
    </w:p>
    <w:p>
      <w:pPr>
        <w:spacing w:after="0" w:line="252" w:lineRule="exact"/>
        <w:rPr>
          <w:sz w:val="20"/>
          <w:szCs w:val="20"/>
          <w:color w:val="auto"/>
        </w:rPr>
      </w:pPr>
    </w:p>
    <w:p>
      <w:pPr>
        <w:ind w:left="660"/>
        <w:spacing w:after="0"/>
        <w:rPr>
          <w:sz w:val="20"/>
          <w:szCs w:val="20"/>
          <w:color w:val="auto"/>
        </w:rPr>
      </w:pPr>
      <w:r>
        <w:rPr>
          <w:rFonts w:ascii="Arial" w:cs="Arial" w:eastAsia="Arial" w:hAnsi="Arial"/>
          <w:sz w:val="18"/>
          <w:szCs w:val="18"/>
          <w:b w:val="1"/>
          <w:bCs w:val="1"/>
          <w:i w:val="1"/>
          <w:iCs w:val="1"/>
          <w:color w:val="auto"/>
        </w:rPr>
        <w:t>Stock-based Compensation</w:t>
      </w:r>
    </w:p>
    <w:p>
      <w:pPr>
        <w:spacing w:after="0" w:line="252" w:lineRule="exact"/>
        <w:rPr>
          <w:sz w:val="20"/>
          <w:szCs w:val="20"/>
          <w:color w:val="auto"/>
        </w:rPr>
      </w:pPr>
    </w:p>
    <w:p>
      <w:pPr>
        <w:jc w:val="both"/>
        <w:ind w:firstLine="648"/>
        <w:spacing w:after="0" w:line="293" w:lineRule="auto"/>
        <w:rPr>
          <w:sz w:val="20"/>
          <w:szCs w:val="20"/>
          <w:color w:val="auto"/>
        </w:rPr>
      </w:pPr>
      <w:r>
        <w:rPr>
          <w:rFonts w:ascii="Arial" w:cs="Arial" w:eastAsia="Arial" w:hAnsi="Arial"/>
          <w:sz w:val="16"/>
          <w:szCs w:val="16"/>
          <w:color w:val="auto"/>
        </w:rPr>
        <w:t>The Company accounts for stock-based payment awards in accordance with the provisions of ASC 718, “Compensation—Stock Compensation”, which requires it to recognize compensation expense for all stock-based payment awards made to employees and directors including stock options, restricted stock units, and restricted stock units with a market condition issued under the Company’s 2021 Incentive Plan (the “2021 Incentive Plan”) and the Fourth Amended and Restated 2000 Stock Option and Incentive Plan (the “2000 Incentive Plan” and together with 2021 Incentive Plan, the “Incentive Plans”) as well as employee stock purchases (“employee stock purchases”) related to its Employee Stock Purchase Plan (as amended, the “ESPP”). The Company issues new shares from its registered but unissued stock pool to satisfy stock option exercises and vesting of the restricted stock units.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F- 13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42" w:name="page43"/>
    <w:bookmarkEnd w:id="42"/>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52" w:lineRule="exact"/>
        <w:rPr>
          <w:sz w:val="20"/>
          <w:szCs w:val="20"/>
          <w:color w:val="auto"/>
        </w:rPr>
      </w:pPr>
    </w:p>
    <w:p>
      <w:pPr>
        <w:jc w:val="both"/>
        <w:ind w:firstLine="648"/>
        <w:spacing w:after="0" w:line="273" w:lineRule="auto"/>
        <w:rPr>
          <w:sz w:val="20"/>
          <w:szCs w:val="20"/>
          <w:color w:val="auto"/>
        </w:rPr>
      </w:pPr>
      <w:r>
        <w:rPr>
          <w:rFonts w:ascii="Arial" w:cs="Arial" w:eastAsia="Arial" w:hAnsi="Arial"/>
          <w:sz w:val="17"/>
          <w:szCs w:val="17"/>
          <w:color w:val="auto"/>
        </w:rPr>
        <w:t>Stock-based compensation expense recognized is based on the value of the portion of stock-based payment awards that is ultimately expected to vest. The Company values stock-based payment awards, except restricted stock units at grant date using the Black-Scholes option-pricing model. The Company values restricted stock units with a market condition using a Monte-Carlo valuation simulation. The determination of fair value of stock-based payment awards on the date of grant using an option-pricing model or Monte-Carlo valuation simulation is affected by the Company’s stock price as well as assumptions regarding certain variables. These variables include, but are not limited to, the Company’s expected stock price volatility over the term of the awards and actual and projected stock option exercise behaviors.</w:t>
      </w:r>
    </w:p>
    <w:p>
      <w:pPr>
        <w:spacing w:after="0" w:line="178"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The fair value of restricted stock units is based on the market price of the Company’s stock on the date of grant and are recorded as compensation expense on a straight-line basis over the applicable service period, which ranges from one to four years.</w:t>
      </w:r>
    </w:p>
    <w:p>
      <w:pPr>
        <w:spacing w:after="0" w:line="170" w:lineRule="exact"/>
        <w:rPr>
          <w:sz w:val="20"/>
          <w:szCs w:val="20"/>
          <w:color w:val="auto"/>
        </w:rPr>
      </w:pPr>
    </w:p>
    <w:p>
      <w:pPr>
        <w:ind w:left="660"/>
        <w:spacing w:after="0"/>
        <w:rPr>
          <w:sz w:val="20"/>
          <w:szCs w:val="20"/>
          <w:color w:val="auto"/>
        </w:rPr>
      </w:pPr>
      <w:r>
        <w:rPr>
          <w:rFonts w:ascii="Arial" w:cs="Arial" w:eastAsia="Arial" w:hAnsi="Arial"/>
          <w:sz w:val="18"/>
          <w:szCs w:val="18"/>
          <w:b w:val="1"/>
          <w:bCs w:val="1"/>
          <w:i w:val="1"/>
          <w:iCs w:val="1"/>
          <w:color w:val="auto"/>
        </w:rPr>
        <w:t>Recent Accounting Pronouncements</w:t>
      </w:r>
    </w:p>
    <w:p>
      <w:pPr>
        <w:spacing w:after="0" w:line="252" w:lineRule="exact"/>
        <w:rPr>
          <w:sz w:val="20"/>
          <w:szCs w:val="20"/>
          <w:color w:val="auto"/>
        </w:rPr>
      </w:pPr>
    </w:p>
    <w:p>
      <w:pPr>
        <w:ind w:left="660"/>
        <w:spacing w:after="0"/>
        <w:rPr>
          <w:sz w:val="20"/>
          <w:szCs w:val="20"/>
          <w:color w:val="auto"/>
        </w:rPr>
      </w:pPr>
      <w:r>
        <w:rPr>
          <w:rFonts w:ascii="Arial" w:cs="Arial" w:eastAsia="Arial" w:hAnsi="Arial"/>
          <w:sz w:val="18"/>
          <w:szCs w:val="18"/>
          <w:i w:val="1"/>
          <w:iCs w:val="1"/>
          <w:color w:val="auto"/>
        </w:rPr>
        <w:t>Accounting Pronouncements Adopted</w:t>
      </w:r>
    </w:p>
    <w:p>
      <w:pPr>
        <w:spacing w:after="0" w:line="225" w:lineRule="exact"/>
        <w:rPr>
          <w:sz w:val="20"/>
          <w:szCs w:val="20"/>
          <w:color w:val="auto"/>
        </w:rPr>
      </w:pPr>
    </w:p>
    <w:p>
      <w:pPr>
        <w:jc w:val="both"/>
        <w:ind w:firstLine="648"/>
        <w:spacing w:after="0" w:line="296" w:lineRule="auto"/>
        <w:rPr>
          <w:sz w:val="20"/>
          <w:szCs w:val="20"/>
          <w:color w:val="auto"/>
        </w:rPr>
      </w:pPr>
      <w:r>
        <w:rPr>
          <w:rFonts w:ascii="Arial" w:cs="Arial" w:eastAsia="Arial" w:hAnsi="Arial"/>
          <w:sz w:val="16"/>
          <w:szCs w:val="16"/>
          <w:color w:val="auto"/>
        </w:rPr>
        <w:t xml:space="preserve">In December 2019, the Financial Accounting Standards Board (FASB) issued Accounting Standards Update (ASU) 2019-12, </w:t>
      </w:r>
      <w:r>
        <w:rPr>
          <w:rFonts w:ascii="Arial" w:cs="Arial" w:eastAsia="Arial" w:hAnsi="Arial"/>
          <w:sz w:val="16"/>
          <w:szCs w:val="16"/>
          <w:i w:val="1"/>
          <w:iCs w:val="1"/>
          <w:color w:val="auto"/>
        </w:rPr>
        <w:t>Income Taxes (Topic</w:t>
      </w:r>
      <w:r>
        <w:rPr>
          <w:rFonts w:ascii="Arial" w:cs="Arial" w:eastAsia="Arial" w:hAnsi="Arial"/>
          <w:sz w:val="16"/>
          <w:szCs w:val="16"/>
          <w:color w:val="auto"/>
        </w:rPr>
        <w:t xml:space="preserve"> </w:t>
      </w:r>
      <w:r>
        <w:rPr>
          <w:rFonts w:ascii="Arial" w:cs="Arial" w:eastAsia="Arial" w:hAnsi="Arial"/>
          <w:sz w:val="16"/>
          <w:szCs w:val="16"/>
          <w:i w:val="1"/>
          <w:iCs w:val="1"/>
          <w:color w:val="auto"/>
        </w:rPr>
        <w:t xml:space="preserve">740): Simplifying the Accounting for Income Taxes </w:t>
      </w:r>
      <w:r>
        <w:rPr>
          <w:rFonts w:ascii="Arial" w:cs="Arial" w:eastAsia="Arial" w:hAnsi="Arial"/>
          <w:sz w:val="16"/>
          <w:szCs w:val="16"/>
          <w:color w:val="auto"/>
        </w:rPr>
        <w:t>(ASU 2019-12), which enhances and simplifies various aspects of the income tax accounting guidance</w:t>
      </w:r>
      <w:r>
        <w:rPr>
          <w:rFonts w:ascii="Arial" w:cs="Arial" w:eastAsia="Arial" w:hAnsi="Arial"/>
          <w:sz w:val="16"/>
          <w:szCs w:val="16"/>
          <w:i w:val="1"/>
          <w:iCs w:val="1"/>
          <w:color w:val="auto"/>
        </w:rPr>
        <w:t xml:space="preserve"> </w:t>
      </w:r>
      <w:r>
        <w:rPr>
          <w:rFonts w:ascii="Arial" w:cs="Arial" w:eastAsia="Arial" w:hAnsi="Arial"/>
          <w:sz w:val="16"/>
          <w:szCs w:val="16"/>
          <w:color w:val="auto"/>
        </w:rPr>
        <w:t>related to intra-period tax allocation, interim period accounting for enacted changes in tax law, and the year-to-date loss limitation in interim period tax accounting. ASU 2019-12 also amends other aspects of the guidance to reduce complexity in certain areas. ASU 2019-12 was effective for the Company on January 1, 2021. The adoption of this accounting guidance did not have a material impact on the Company’s consolidated financial statements.</w:t>
      </w:r>
    </w:p>
    <w:p>
      <w:pPr>
        <w:spacing w:after="0" w:line="161" w:lineRule="exact"/>
        <w:rPr>
          <w:sz w:val="20"/>
          <w:szCs w:val="20"/>
          <w:color w:val="auto"/>
        </w:rPr>
      </w:pPr>
    </w:p>
    <w:p>
      <w:pPr>
        <w:ind w:left="660"/>
        <w:spacing w:after="0"/>
        <w:rPr>
          <w:sz w:val="20"/>
          <w:szCs w:val="20"/>
          <w:color w:val="auto"/>
        </w:rPr>
      </w:pPr>
      <w:r>
        <w:rPr>
          <w:rFonts w:ascii="Arial" w:cs="Arial" w:eastAsia="Arial" w:hAnsi="Arial"/>
          <w:sz w:val="18"/>
          <w:szCs w:val="18"/>
          <w:i w:val="1"/>
          <w:iCs w:val="1"/>
          <w:color w:val="auto"/>
        </w:rPr>
        <w:t>Accounting Pronouncements to be Adopted</w:t>
      </w:r>
    </w:p>
    <w:p>
      <w:pPr>
        <w:spacing w:after="0" w:line="225" w:lineRule="exact"/>
        <w:rPr>
          <w:sz w:val="20"/>
          <w:szCs w:val="20"/>
          <w:color w:val="auto"/>
        </w:rPr>
      </w:pPr>
    </w:p>
    <w:p>
      <w:pPr>
        <w:jc w:val="both"/>
        <w:ind w:firstLine="648"/>
        <w:spacing w:after="0" w:line="293" w:lineRule="auto"/>
        <w:rPr>
          <w:sz w:val="20"/>
          <w:szCs w:val="20"/>
          <w:color w:val="auto"/>
        </w:rPr>
      </w:pPr>
      <w:r>
        <w:rPr>
          <w:rFonts w:ascii="Arial" w:cs="Arial" w:eastAsia="Arial" w:hAnsi="Arial"/>
          <w:sz w:val="16"/>
          <w:szCs w:val="16"/>
          <w:color w:val="auto"/>
        </w:rPr>
        <w:t>In November 2021, the FASB issued ASU 2021-10</w:t>
      </w:r>
      <w:r>
        <w:rPr>
          <w:rFonts w:ascii="Arial" w:cs="Arial" w:eastAsia="Arial" w:hAnsi="Arial"/>
          <w:sz w:val="16"/>
          <w:szCs w:val="16"/>
          <w:i w:val="1"/>
          <w:iCs w:val="1"/>
          <w:color w:val="auto"/>
        </w:rPr>
        <w:t>, Government Assistance (Topic 832), Disclosures by Business Entities About Government</w:t>
      </w:r>
      <w:r>
        <w:rPr>
          <w:rFonts w:ascii="Arial" w:cs="Arial" w:eastAsia="Arial" w:hAnsi="Arial"/>
          <w:sz w:val="16"/>
          <w:szCs w:val="16"/>
          <w:color w:val="auto"/>
        </w:rPr>
        <w:t xml:space="preserve"> </w:t>
      </w:r>
      <w:r>
        <w:rPr>
          <w:rFonts w:ascii="Arial" w:cs="Arial" w:eastAsia="Arial" w:hAnsi="Arial"/>
          <w:sz w:val="16"/>
          <w:szCs w:val="16"/>
          <w:i w:val="1"/>
          <w:iCs w:val="1"/>
          <w:color w:val="auto"/>
        </w:rPr>
        <w:t xml:space="preserve">Assistance </w:t>
      </w:r>
      <w:r>
        <w:rPr>
          <w:rFonts w:ascii="Arial" w:cs="Arial" w:eastAsia="Arial" w:hAnsi="Arial"/>
          <w:sz w:val="16"/>
          <w:szCs w:val="16"/>
          <w:color w:val="auto"/>
        </w:rPr>
        <w:t>(ASU 2021-10), which requires entities to provide disclosures on material government assistance transactions for annual reporting periods. The</w:t>
      </w:r>
      <w:r>
        <w:rPr>
          <w:rFonts w:ascii="Arial" w:cs="Arial" w:eastAsia="Arial" w:hAnsi="Arial"/>
          <w:sz w:val="16"/>
          <w:szCs w:val="16"/>
          <w:i w:val="1"/>
          <w:iCs w:val="1"/>
          <w:color w:val="auto"/>
        </w:rPr>
        <w:t xml:space="preserve"> </w:t>
      </w:r>
      <w:r>
        <w:rPr>
          <w:rFonts w:ascii="Arial" w:cs="Arial" w:eastAsia="Arial" w:hAnsi="Arial"/>
          <w:sz w:val="16"/>
          <w:szCs w:val="16"/>
          <w:color w:val="auto"/>
        </w:rPr>
        <w:t>disclosures include information around the nature of the assistance, the related accounting policies used to account for government assistance, the effect of government assistance on the entity’s financial statements, and any significant terms and conditions of the agreements, including commitments and contingencies. The new standard impacts footnote disclosures and is effective for the Company’s December 31, 2022 annual financial statements. The Company is currently evaluating the potential impact of adopting ASU 2021-10 will have on its consolidated financial statements.</w:t>
      </w:r>
    </w:p>
    <w:p>
      <w:pPr>
        <w:spacing w:after="0" w:line="164" w:lineRule="exact"/>
        <w:rPr>
          <w:sz w:val="20"/>
          <w:szCs w:val="20"/>
          <w:color w:val="auto"/>
        </w:rPr>
      </w:pPr>
    </w:p>
    <w:p>
      <w:pPr>
        <w:jc w:val="both"/>
        <w:ind w:firstLine="648"/>
        <w:spacing w:after="0" w:line="254" w:lineRule="auto"/>
        <w:rPr>
          <w:sz w:val="20"/>
          <w:szCs w:val="20"/>
          <w:color w:val="auto"/>
        </w:rPr>
      </w:pPr>
      <w:r>
        <w:rPr>
          <w:rFonts w:ascii="Arial" w:cs="Arial" w:eastAsia="Arial" w:hAnsi="Arial"/>
          <w:sz w:val="18"/>
          <w:szCs w:val="18"/>
          <w:color w:val="auto"/>
        </w:rPr>
        <w:t xml:space="preserve">In January 2017, the FASB issued ASU 2017-04, </w:t>
      </w:r>
      <w:r>
        <w:rPr>
          <w:rFonts w:ascii="Arial" w:cs="Arial" w:eastAsia="Arial" w:hAnsi="Arial"/>
          <w:sz w:val="18"/>
          <w:szCs w:val="18"/>
          <w:i w:val="1"/>
          <w:iCs w:val="1"/>
          <w:color w:val="auto"/>
        </w:rPr>
        <w:t>Intangibles</w:t>
      </w:r>
      <w:r>
        <w:rPr>
          <w:rFonts w:ascii="Arial" w:cs="Arial" w:eastAsia="Arial" w:hAnsi="Arial"/>
          <w:sz w:val="18"/>
          <w:szCs w:val="18"/>
          <w:color w:val="auto"/>
        </w:rPr>
        <w:t>—</w:t>
      </w:r>
      <w:r>
        <w:rPr>
          <w:rFonts w:ascii="Arial" w:cs="Arial" w:eastAsia="Arial" w:hAnsi="Arial"/>
          <w:sz w:val="18"/>
          <w:szCs w:val="18"/>
          <w:i w:val="1"/>
          <w:iCs w:val="1"/>
          <w:color w:val="auto"/>
        </w:rPr>
        <w:t>Goodwill and Other (Topic 350): Simplifying the Test for Goodwill Impairment</w:t>
      </w:r>
      <w:r>
        <w:rPr>
          <w:rFonts w:ascii="Arial" w:cs="Arial" w:eastAsia="Arial" w:hAnsi="Arial"/>
          <w:sz w:val="18"/>
          <w:szCs w:val="18"/>
          <w:color w:val="auto"/>
        </w:rPr>
        <w:t xml:space="preserve"> (ASU 2017-04), which eliminates the performance of Step 2 from the goodwill impairment test. In performing its annual or interim impairment testing, an entity will instead compare the fair value of the reporting unit with its carrying amount and recognize any impairment charge for the amount by which the carrying amount exceeds the reporting unit’s fair value. Additionally, an entity should consider income tax effects from any tax-deductible goodwill on the carrying amount of the reporting unit when measuring the goodwill impairment loss. ASU 2017-04 is effective for the Company for fiscal years beginning after December 15, 2022. The Company is currently evaluating the potential impact of adopting ASU 2017-04 will have on its consolidated financial statements.</w:t>
      </w:r>
    </w:p>
    <w:p>
      <w:pPr>
        <w:spacing w:after="0" w:line="195" w:lineRule="exact"/>
        <w:rPr>
          <w:sz w:val="20"/>
          <w:szCs w:val="20"/>
          <w:color w:val="auto"/>
        </w:rPr>
      </w:pPr>
    </w:p>
    <w:p>
      <w:pPr>
        <w:jc w:val="both"/>
        <w:ind w:firstLine="648"/>
        <w:spacing w:after="0" w:line="254" w:lineRule="auto"/>
        <w:rPr>
          <w:sz w:val="20"/>
          <w:szCs w:val="20"/>
          <w:color w:val="auto"/>
        </w:rPr>
      </w:pPr>
      <w:r>
        <w:rPr>
          <w:rFonts w:ascii="Arial" w:cs="Arial" w:eastAsia="Arial" w:hAnsi="Arial"/>
          <w:sz w:val="18"/>
          <w:szCs w:val="18"/>
          <w:color w:val="auto"/>
        </w:rPr>
        <w:t xml:space="preserve">In September 2016, the FASB issued ASU No. 2016-13, </w:t>
      </w:r>
      <w:r>
        <w:rPr>
          <w:rFonts w:ascii="Arial" w:cs="Arial" w:eastAsia="Arial" w:hAnsi="Arial"/>
          <w:sz w:val="18"/>
          <w:szCs w:val="18"/>
          <w:i w:val="1"/>
          <w:iCs w:val="1"/>
          <w:color w:val="auto"/>
        </w:rPr>
        <w:t>Financial Instruments</w:t>
      </w:r>
      <w:r>
        <w:rPr>
          <w:rFonts w:ascii="Arial" w:cs="Arial" w:eastAsia="Arial" w:hAnsi="Arial"/>
          <w:sz w:val="18"/>
          <w:szCs w:val="18"/>
          <w:color w:val="auto"/>
        </w:rPr>
        <w:t>—</w:t>
      </w:r>
      <w:r>
        <w:rPr>
          <w:rFonts w:ascii="Arial" w:cs="Arial" w:eastAsia="Arial" w:hAnsi="Arial"/>
          <w:sz w:val="18"/>
          <w:szCs w:val="18"/>
          <w:i w:val="1"/>
          <w:iCs w:val="1"/>
          <w:color w:val="auto"/>
        </w:rPr>
        <w:t>Credit Losses (Topic 326): Measurement of Credit Losses on</w:t>
      </w:r>
      <w:r>
        <w:rPr>
          <w:rFonts w:ascii="Arial" w:cs="Arial" w:eastAsia="Arial" w:hAnsi="Arial"/>
          <w:sz w:val="18"/>
          <w:szCs w:val="18"/>
          <w:color w:val="auto"/>
        </w:rPr>
        <w:t xml:space="preserve"> </w:t>
      </w:r>
      <w:r>
        <w:rPr>
          <w:rFonts w:ascii="Arial" w:cs="Arial" w:eastAsia="Arial" w:hAnsi="Arial"/>
          <w:sz w:val="18"/>
          <w:szCs w:val="18"/>
          <w:i w:val="1"/>
          <w:iCs w:val="1"/>
          <w:color w:val="auto"/>
        </w:rPr>
        <w:t xml:space="preserve">Financial Instruments (ASU 2016-13), </w:t>
      </w:r>
      <w:r>
        <w:rPr>
          <w:rFonts w:ascii="Arial" w:cs="Arial" w:eastAsia="Arial" w:hAnsi="Arial"/>
          <w:sz w:val="18"/>
          <w:szCs w:val="18"/>
          <w:color w:val="auto"/>
        </w:rPr>
        <w:t>which amends the impairment model by requiring entities to use a forward-looking approach based on expected</w:t>
      </w:r>
      <w:r>
        <w:rPr>
          <w:rFonts w:ascii="Arial" w:cs="Arial" w:eastAsia="Arial" w:hAnsi="Arial"/>
          <w:sz w:val="18"/>
          <w:szCs w:val="18"/>
          <w:i w:val="1"/>
          <w:iCs w:val="1"/>
          <w:color w:val="auto"/>
        </w:rPr>
        <w:t xml:space="preserve"> </w:t>
      </w:r>
      <w:r>
        <w:rPr>
          <w:rFonts w:ascii="Arial" w:cs="Arial" w:eastAsia="Arial" w:hAnsi="Arial"/>
          <w:sz w:val="18"/>
          <w:szCs w:val="18"/>
          <w:color w:val="auto"/>
        </w:rPr>
        <w:t>losses rather than incurred losses to estimate credit losses on certain types of financial instruments, including trade receivables. This may result in the earlier recognition of allowances for losses. The FASB issued several ASUs after ASU 2016-13 to clarify implementation guidance and to provide transition relief for certain entities. ASU 2016-13 is effective for the Company for fiscal years beginning after December 15, 2022, with early adoption permitted. The Company is currently evaluating the impact that adopting ASU 2016-13 and related amendments will have on its consolidated financial position, results of operations and cash flows.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5"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F- 14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75565</wp:posOffset>
            </wp:positionV>
            <wp:extent cx="7132320" cy="1714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43" w:name="page44"/>
    <w:bookmarkEnd w:id="43"/>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91" w:lineRule="exact"/>
        <w:rPr>
          <w:sz w:val="20"/>
          <w:szCs w:val="20"/>
          <w:color w:val="auto"/>
        </w:rPr>
      </w:pPr>
    </w:p>
    <w:p>
      <w:pPr>
        <w:ind w:left="1300" w:hanging="644"/>
        <w:spacing w:after="0"/>
        <w:tabs>
          <w:tab w:leader="none" w:pos="1300" w:val="left"/>
        </w:tabs>
        <w:numPr>
          <w:ilvl w:val="0"/>
          <w:numId w:val="17"/>
        </w:numPr>
        <w:rPr>
          <w:rFonts w:ascii="Arial" w:cs="Arial" w:eastAsia="Arial" w:hAnsi="Arial"/>
          <w:sz w:val="18"/>
          <w:szCs w:val="18"/>
          <w:b w:val="1"/>
          <w:bCs w:val="1"/>
          <w:color w:val="auto"/>
        </w:rPr>
      </w:pPr>
      <w:r>
        <w:rPr>
          <w:rFonts w:ascii="Arial" w:cs="Arial" w:eastAsia="Arial" w:hAnsi="Arial"/>
          <w:sz w:val="18"/>
          <w:szCs w:val="18"/>
          <w:b w:val="1"/>
          <w:bCs w:val="1"/>
          <w:color w:val="auto"/>
        </w:rPr>
        <w:t>Accumulated Other Comprehensive Loss</w:t>
      </w:r>
    </w:p>
    <w:p>
      <w:pPr>
        <w:spacing w:after="0" w:line="256" w:lineRule="exact"/>
        <w:rPr>
          <w:sz w:val="20"/>
          <w:szCs w:val="20"/>
          <w:color w:val="auto"/>
        </w:rPr>
      </w:pPr>
    </w:p>
    <w:p>
      <w:pPr>
        <w:ind w:right="80" w:firstLine="648"/>
        <w:spacing w:after="0" w:line="277" w:lineRule="auto"/>
        <w:rPr>
          <w:sz w:val="20"/>
          <w:szCs w:val="20"/>
          <w:color w:val="auto"/>
        </w:rPr>
      </w:pPr>
      <w:r>
        <w:rPr>
          <w:rFonts w:ascii="Arial" w:cs="Arial" w:eastAsia="Arial" w:hAnsi="Arial"/>
          <w:sz w:val="18"/>
          <w:szCs w:val="18"/>
          <w:color w:val="auto"/>
        </w:rPr>
        <w:t>Changes in the components of accumulated other comprehensive loss, net of tax, for the years ended December 31, 2021 and 2020, respectively, are as follows:</w:t>
      </w:r>
    </w:p>
    <w:p>
      <w:pPr>
        <w:spacing w:after="0" w:line="166" w:lineRule="exact"/>
        <w:rPr>
          <w:sz w:val="20"/>
          <w:szCs w:val="20"/>
          <w:color w:val="auto"/>
        </w:rPr>
      </w:pPr>
    </w:p>
    <w:tbl>
      <w:tblPr>
        <w:tblLayout w:type="fixed"/>
        <w:tblInd w:w="660" w:type="dxa"/>
        <w:tblCellMar>
          <w:top w:w="0" w:type="dxa"/>
          <w:left w:w="0" w:type="dxa"/>
          <w:bottom w:w="0" w:type="dxa"/>
          <w:right w:w="0" w:type="dxa"/>
        </w:tblCellMar>
      </w:tblPr>
      <w:tr>
        <w:trPr>
          <w:trHeight w:val="216"/>
        </w:trPr>
        <w:tc>
          <w:tcPr>
            <w:tcW w:w="5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80" w:type="dxa"/>
            <w:vAlign w:val="bottom"/>
          </w:tcPr>
          <w:p>
            <w:pPr>
              <w:jc w:val="center"/>
              <w:ind w:right="130"/>
              <w:spacing w:after="0"/>
              <w:rPr>
                <w:sz w:val="20"/>
                <w:szCs w:val="20"/>
                <w:color w:val="auto"/>
              </w:rPr>
            </w:pPr>
            <w:r>
              <w:rPr>
                <w:rFonts w:ascii="Arial" w:cs="Arial" w:eastAsia="Arial" w:hAnsi="Arial"/>
                <w:sz w:val="18"/>
                <w:szCs w:val="18"/>
                <w:b w:val="1"/>
                <w:bCs w:val="1"/>
                <w:color w:val="auto"/>
                <w:w w:val="90"/>
              </w:rPr>
              <w:t>Foreign</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20" w:type="dxa"/>
            <w:vAlign w:val="bottom"/>
          </w:tcPr>
          <w:p>
            <w:pPr>
              <w:spacing w:after="0"/>
              <w:rPr>
                <w:sz w:val="18"/>
                <w:szCs w:val="18"/>
                <w:color w:val="auto"/>
              </w:rPr>
            </w:pPr>
          </w:p>
        </w:tc>
      </w:tr>
      <w:tr>
        <w:trPr>
          <w:trHeight w:val="216"/>
        </w:trPr>
        <w:tc>
          <w:tcPr>
            <w:tcW w:w="5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80" w:type="dxa"/>
            <w:vAlign w:val="bottom"/>
          </w:tcPr>
          <w:p>
            <w:pPr>
              <w:jc w:val="center"/>
              <w:ind w:right="110"/>
              <w:spacing w:after="0"/>
              <w:rPr>
                <w:sz w:val="20"/>
                <w:szCs w:val="20"/>
                <w:color w:val="auto"/>
              </w:rPr>
            </w:pPr>
            <w:r>
              <w:rPr>
                <w:rFonts w:ascii="Arial" w:cs="Arial" w:eastAsia="Arial" w:hAnsi="Arial"/>
                <w:sz w:val="18"/>
                <w:szCs w:val="18"/>
                <w:b w:val="1"/>
                <w:bCs w:val="1"/>
                <w:color w:val="auto"/>
                <w:w w:val="92"/>
              </w:rPr>
              <w:t>currency</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0" w:type="dxa"/>
            <w:vAlign w:val="bottom"/>
          </w:tcPr>
          <w:p>
            <w:pPr>
              <w:jc w:val="center"/>
              <w:ind w:right="130"/>
              <w:spacing w:after="0"/>
              <w:rPr>
                <w:sz w:val="20"/>
                <w:szCs w:val="20"/>
                <w:color w:val="auto"/>
              </w:rPr>
            </w:pPr>
            <w:r>
              <w:rPr>
                <w:rFonts w:ascii="Arial" w:cs="Arial" w:eastAsia="Arial" w:hAnsi="Arial"/>
                <w:sz w:val="18"/>
                <w:szCs w:val="18"/>
                <w:b w:val="1"/>
                <w:bCs w:val="1"/>
                <w:color w:val="auto"/>
                <w:w w:val="89"/>
              </w:rPr>
              <w:t>Derivatives</w:t>
            </w:r>
          </w:p>
        </w:tc>
        <w:tc>
          <w:tcPr>
            <w:tcW w:w="10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20" w:type="dxa"/>
            <w:vAlign w:val="bottom"/>
          </w:tcPr>
          <w:p>
            <w:pPr>
              <w:spacing w:after="0"/>
              <w:rPr>
                <w:sz w:val="18"/>
                <w:szCs w:val="18"/>
                <w:color w:val="auto"/>
              </w:rPr>
            </w:pPr>
          </w:p>
        </w:tc>
      </w:tr>
      <w:tr>
        <w:trPr>
          <w:trHeight w:val="216"/>
        </w:trPr>
        <w:tc>
          <w:tcPr>
            <w:tcW w:w="5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80" w:type="dxa"/>
            <w:vAlign w:val="bottom"/>
          </w:tcPr>
          <w:p>
            <w:pPr>
              <w:jc w:val="center"/>
              <w:ind w:right="130"/>
              <w:spacing w:after="0"/>
              <w:rPr>
                <w:sz w:val="20"/>
                <w:szCs w:val="20"/>
                <w:color w:val="auto"/>
              </w:rPr>
            </w:pPr>
            <w:r>
              <w:rPr>
                <w:rFonts w:ascii="Arial" w:cs="Arial" w:eastAsia="Arial" w:hAnsi="Arial"/>
                <w:sz w:val="18"/>
                <w:szCs w:val="18"/>
                <w:b w:val="1"/>
                <w:bCs w:val="1"/>
                <w:color w:val="auto"/>
                <w:w w:val="91"/>
              </w:rPr>
              <w:t>translation</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0" w:type="dxa"/>
            <w:vAlign w:val="bottom"/>
          </w:tcPr>
          <w:p>
            <w:pPr>
              <w:jc w:val="center"/>
              <w:ind w:right="130"/>
              <w:spacing w:after="0"/>
              <w:rPr>
                <w:sz w:val="20"/>
                <w:szCs w:val="20"/>
                <w:color w:val="auto"/>
              </w:rPr>
            </w:pPr>
            <w:r>
              <w:rPr>
                <w:rFonts w:ascii="Arial" w:cs="Arial" w:eastAsia="Arial" w:hAnsi="Arial"/>
                <w:sz w:val="18"/>
                <w:szCs w:val="18"/>
                <w:b w:val="1"/>
                <w:bCs w:val="1"/>
                <w:color w:val="auto"/>
                <w:w w:val="89"/>
              </w:rPr>
              <w:t>qualifying as</w:t>
            </w:r>
          </w:p>
        </w:tc>
        <w:tc>
          <w:tcPr>
            <w:tcW w:w="100" w:type="dxa"/>
            <w:vAlign w:val="bottom"/>
          </w:tcPr>
          <w:p>
            <w:pPr>
              <w:spacing w:after="0"/>
              <w:rPr>
                <w:sz w:val="18"/>
                <w:szCs w:val="18"/>
                <w:color w:val="auto"/>
              </w:rPr>
            </w:pPr>
          </w:p>
        </w:tc>
        <w:tc>
          <w:tcPr>
            <w:tcW w:w="1280" w:type="dxa"/>
            <w:vAlign w:val="bottom"/>
            <w:gridSpan w:val="2"/>
          </w:tcPr>
          <w:p>
            <w:pPr>
              <w:spacing w:after="0"/>
              <w:rPr>
                <w:sz w:val="20"/>
                <w:szCs w:val="20"/>
                <w:color w:val="auto"/>
              </w:rPr>
            </w:pPr>
            <w:r>
              <w:rPr>
                <w:rFonts w:ascii="Arial" w:cs="Arial" w:eastAsia="Arial" w:hAnsi="Arial"/>
                <w:sz w:val="18"/>
                <w:szCs w:val="18"/>
                <w:b w:val="1"/>
                <w:bCs w:val="1"/>
                <w:color w:val="auto"/>
                <w:w w:val="96"/>
              </w:rPr>
              <w:t>Defined benefit</w:t>
            </w:r>
          </w:p>
        </w:tc>
        <w:tc>
          <w:tcPr>
            <w:tcW w:w="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20" w:type="dxa"/>
            <w:vAlign w:val="bottom"/>
          </w:tcPr>
          <w:p>
            <w:pPr>
              <w:spacing w:after="0"/>
              <w:rPr>
                <w:sz w:val="18"/>
                <w:szCs w:val="18"/>
                <w:color w:val="auto"/>
              </w:rPr>
            </w:pPr>
          </w:p>
        </w:tc>
      </w:tr>
      <w:tr>
        <w:trPr>
          <w:trHeight w:val="234"/>
        </w:trPr>
        <w:tc>
          <w:tcPr>
            <w:tcW w:w="5240" w:type="dxa"/>
            <w:vAlign w:val="bottom"/>
          </w:tcPr>
          <w:p>
            <w:pPr>
              <w:spacing w:after="0"/>
              <w:rPr>
                <w:sz w:val="20"/>
                <w:szCs w:val="20"/>
                <w:color w:val="auto"/>
              </w:rPr>
            </w:pPr>
            <w:r>
              <w:rPr>
                <w:rFonts w:ascii="Arial" w:cs="Arial" w:eastAsia="Arial" w:hAnsi="Arial"/>
                <w:sz w:val="18"/>
                <w:szCs w:val="18"/>
                <w:color w:val="auto"/>
              </w:rPr>
              <w:t>(in thousands)</w:t>
            </w:r>
          </w:p>
        </w:tc>
        <w:tc>
          <w:tcPr>
            <w:tcW w:w="100" w:type="dxa"/>
            <w:vAlign w:val="bottom"/>
            <w:tcBorders>
              <w:bottom w:val="single" w:sz="8" w:color="auto"/>
            </w:tcBorders>
          </w:tcPr>
          <w:p>
            <w:pPr>
              <w:spacing w:after="0"/>
              <w:rPr>
                <w:sz w:val="20"/>
                <w:szCs w:val="20"/>
                <w:color w:val="auto"/>
              </w:rPr>
            </w:pPr>
          </w:p>
        </w:tc>
        <w:tc>
          <w:tcPr>
            <w:tcW w:w="1180" w:type="dxa"/>
            <w:vAlign w:val="bottom"/>
            <w:tcBorders>
              <w:bottom w:val="single" w:sz="8" w:color="auto"/>
            </w:tcBorders>
          </w:tcPr>
          <w:p>
            <w:pPr>
              <w:jc w:val="center"/>
              <w:ind w:right="110"/>
              <w:spacing w:after="0"/>
              <w:rPr>
                <w:sz w:val="20"/>
                <w:szCs w:val="20"/>
                <w:color w:val="auto"/>
              </w:rPr>
            </w:pPr>
            <w:r>
              <w:rPr>
                <w:rFonts w:ascii="Arial" w:cs="Arial" w:eastAsia="Arial" w:hAnsi="Arial"/>
                <w:sz w:val="18"/>
                <w:szCs w:val="18"/>
                <w:b w:val="1"/>
                <w:bCs w:val="1"/>
                <w:color w:val="auto"/>
                <w:w w:val="88"/>
              </w:rPr>
              <w:t>adjustments</w:t>
            </w:r>
          </w:p>
        </w:tc>
        <w:tc>
          <w:tcPr>
            <w:tcW w:w="120" w:type="dxa"/>
            <w:vAlign w:val="bottom"/>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1200" w:type="dxa"/>
            <w:vAlign w:val="bottom"/>
            <w:tcBorders>
              <w:bottom w:val="single" w:sz="8" w:color="auto"/>
            </w:tcBorders>
          </w:tcPr>
          <w:p>
            <w:pPr>
              <w:jc w:val="center"/>
              <w:ind w:right="110"/>
              <w:spacing w:after="0"/>
              <w:rPr>
                <w:sz w:val="20"/>
                <w:szCs w:val="20"/>
                <w:color w:val="auto"/>
              </w:rPr>
            </w:pPr>
            <w:r>
              <w:rPr>
                <w:rFonts w:ascii="Arial" w:cs="Arial" w:eastAsia="Arial" w:hAnsi="Arial"/>
                <w:sz w:val="18"/>
                <w:szCs w:val="18"/>
                <w:b w:val="1"/>
                <w:bCs w:val="1"/>
                <w:color w:val="auto"/>
                <w:w w:val="82"/>
              </w:rPr>
              <w:t>hedges</w:t>
            </w:r>
          </w:p>
        </w:tc>
        <w:tc>
          <w:tcPr>
            <w:tcW w:w="100" w:type="dxa"/>
            <w:vAlign w:val="bottom"/>
          </w:tcPr>
          <w:p>
            <w:pPr>
              <w:spacing w:after="0"/>
              <w:rPr>
                <w:sz w:val="20"/>
                <w:szCs w:val="20"/>
                <w:color w:val="auto"/>
              </w:rPr>
            </w:pPr>
          </w:p>
        </w:tc>
        <w:tc>
          <w:tcPr>
            <w:tcW w:w="1280" w:type="dxa"/>
            <w:vAlign w:val="bottom"/>
            <w:tcBorders>
              <w:bottom w:val="single" w:sz="8" w:color="auto"/>
            </w:tcBorders>
            <w:gridSpan w:val="2"/>
          </w:tcPr>
          <w:p>
            <w:pPr>
              <w:jc w:val="right"/>
              <w:ind w:right="70"/>
              <w:spacing w:after="0"/>
              <w:rPr>
                <w:sz w:val="20"/>
                <w:szCs w:val="20"/>
                <w:color w:val="auto"/>
              </w:rPr>
            </w:pPr>
            <w:r>
              <w:rPr>
                <w:rFonts w:ascii="Arial" w:cs="Arial" w:eastAsia="Arial" w:hAnsi="Arial"/>
                <w:sz w:val="18"/>
                <w:szCs w:val="18"/>
                <w:b w:val="1"/>
                <w:bCs w:val="1"/>
                <w:color w:val="auto"/>
                <w:w w:val="90"/>
              </w:rPr>
              <w:t>pension plans</w:t>
            </w:r>
          </w:p>
        </w:tc>
        <w:tc>
          <w:tcPr>
            <w:tcW w:w="80" w:type="dxa"/>
            <w:vAlign w:val="bottom"/>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1020" w:type="dxa"/>
            <w:vAlign w:val="bottom"/>
            <w:tcBorders>
              <w:bottom w:val="single" w:sz="8" w:color="auto"/>
            </w:tcBorders>
          </w:tcPr>
          <w:p>
            <w:pPr>
              <w:jc w:val="right"/>
              <w:ind w:right="390"/>
              <w:spacing w:after="0"/>
              <w:rPr>
                <w:sz w:val="20"/>
                <w:szCs w:val="20"/>
                <w:color w:val="auto"/>
              </w:rPr>
            </w:pPr>
            <w:r>
              <w:rPr>
                <w:rFonts w:ascii="Arial" w:cs="Arial" w:eastAsia="Arial" w:hAnsi="Arial"/>
                <w:sz w:val="18"/>
                <w:szCs w:val="18"/>
                <w:b w:val="1"/>
                <w:bCs w:val="1"/>
                <w:color w:val="auto"/>
              </w:rPr>
              <w:t>Total</w:t>
            </w:r>
          </w:p>
        </w:tc>
      </w:tr>
      <w:tr>
        <w:trPr>
          <w:trHeight w:val="209"/>
        </w:trPr>
        <w:tc>
          <w:tcPr>
            <w:tcW w:w="524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Balance at December 31, 2019</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(13,173)</w:t>
            </w:r>
          </w:p>
        </w:tc>
        <w:tc>
          <w:tcPr>
            <w:tcW w:w="2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(603)</w:t>
            </w:r>
          </w:p>
        </w:tc>
        <w:tc>
          <w:tcPr>
            <w:tcW w:w="500" w:type="dxa"/>
            <w:vAlign w:val="bottom"/>
            <w:gridSpan w:val="2"/>
            <w:shd w:val="clear" w:color="auto" w:fill="CCEEFF"/>
          </w:tcPr>
          <w:p>
            <w:pPr>
              <w:ind w:left="100"/>
              <w:spacing w:after="0"/>
              <w:rPr>
                <w:sz w:val="20"/>
                <w:szCs w:val="20"/>
                <w:color w:val="auto"/>
              </w:rPr>
            </w:pPr>
            <w:r>
              <w:rPr>
                <w:rFonts w:ascii="Arial" w:cs="Arial" w:eastAsia="Arial" w:hAnsi="Arial"/>
                <w:sz w:val="18"/>
                <w:szCs w:val="18"/>
                <w:color w:val="auto"/>
              </w:rPr>
              <w:t>$</w:t>
            </w:r>
          </w:p>
        </w:tc>
        <w:tc>
          <w:tcPr>
            <w:tcW w:w="88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1,087</w:t>
            </w:r>
          </w:p>
        </w:tc>
        <w:tc>
          <w:tcPr>
            <w:tcW w:w="32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(12,689)</w:t>
            </w:r>
          </w:p>
        </w:tc>
      </w:tr>
      <w:tr>
        <w:trPr>
          <w:trHeight w:val="216"/>
        </w:trPr>
        <w:tc>
          <w:tcPr>
            <w:tcW w:w="5240" w:type="dxa"/>
            <w:vAlign w:val="bottom"/>
          </w:tcPr>
          <w:p>
            <w:pPr>
              <w:spacing w:after="0"/>
              <w:rPr>
                <w:sz w:val="20"/>
                <w:szCs w:val="20"/>
                <w:color w:val="auto"/>
              </w:rPr>
            </w:pPr>
            <w:r>
              <w:rPr>
                <w:rFonts w:ascii="Arial" w:cs="Arial" w:eastAsia="Arial" w:hAnsi="Arial"/>
                <w:sz w:val="18"/>
                <w:szCs w:val="18"/>
                <w:color w:val="auto"/>
              </w:rPr>
              <w:t>Other comprehensive income (loss) before reclassifications</w:t>
            </w:r>
          </w:p>
        </w:tc>
        <w:tc>
          <w:tcPr>
            <w:tcW w:w="100" w:type="dxa"/>
            <w:vAlign w:val="bottom"/>
          </w:tcPr>
          <w:p>
            <w:pPr>
              <w:spacing w:after="0"/>
              <w:rPr>
                <w:sz w:val="18"/>
                <w:szCs w:val="18"/>
                <w:color w:val="auto"/>
              </w:rPr>
            </w:pPr>
          </w:p>
        </w:tc>
        <w:tc>
          <w:tcPr>
            <w:tcW w:w="1180" w:type="dxa"/>
            <w:vAlign w:val="bottom"/>
          </w:tcPr>
          <w:p>
            <w:pPr>
              <w:jc w:val="right"/>
              <w:ind w:right="10"/>
              <w:spacing w:after="0"/>
              <w:rPr>
                <w:sz w:val="20"/>
                <w:szCs w:val="20"/>
                <w:color w:val="auto"/>
              </w:rPr>
            </w:pPr>
            <w:r>
              <w:rPr>
                <w:rFonts w:ascii="Arial" w:cs="Arial" w:eastAsia="Arial" w:hAnsi="Arial"/>
                <w:sz w:val="18"/>
                <w:szCs w:val="18"/>
                <w:color w:val="auto"/>
              </w:rPr>
              <w:t>1,700</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(206)</w:t>
            </w:r>
          </w:p>
        </w:tc>
        <w:tc>
          <w:tcPr>
            <w:tcW w:w="10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(2,785)</w:t>
            </w:r>
          </w:p>
        </w:tc>
        <w:tc>
          <w:tcPr>
            <w:tcW w:w="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(1,291)</w:t>
            </w:r>
          </w:p>
        </w:tc>
      </w:tr>
      <w:tr>
        <w:trPr>
          <w:trHeight w:val="216"/>
        </w:trPr>
        <w:tc>
          <w:tcPr>
            <w:tcW w:w="524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Amounts reclassified from AOCI</w:t>
            </w:r>
          </w:p>
        </w:tc>
        <w:tc>
          <w:tcPr>
            <w:tcW w:w="100" w:type="dxa"/>
            <w:vAlign w:val="bottom"/>
            <w:tcBorders>
              <w:bottom w:val="single" w:sz="8" w:color="auto"/>
            </w:tcBorders>
            <w:shd w:val="clear" w:color="auto" w:fill="CCEEFF"/>
          </w:tcPr>
          <w:p>
            <w:pPr>
              <w:spacing w:after="0"/>
              <w:rPr>
                <w:sz w:val="18"/>
                <w:szCs w:val="18"/>
                <w:color w:val="auto"/>
              </w:rPr>
            </w:pPr>
          </w:p>
        </w:tc>
        <w:tc>
          <w:tcPr>
            <w:tcW w:w="118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120" w:type="dxa"/>
            <w:vAlign w:val="bottom"/>
            <w:tcBorders>
              <w:bottom w:val="single" w:sz="8" w:color="CCEEFF"/>
            </w:tcBorders>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120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rPr>
              <w:t>809</w:t>
            </w:r>
          </w:p>
        </w:tc>
        <w:tc>
          <w:tcPr>
            <w:tcW w:w="100" w:type="dxa"/>
            <w:vAlign w:val="bottom"/>
            <w:tcBorders>
              <w:bottom w:val="single" w:sz="8" w:color="CCEEFF"/>
            </w:tcBorders>
            <w:shd w:val="clear" w:color="auto" w:fill="CCEEFF"/>
          </w:tcPr>
          <w:p>
            <w:pPr>
              <w:spacing w:after="0"/>
              <w:rPr>
                <w:sz w:val="18"/>
                <w:szCs w:val="18"/>
                <w:color w:val="auto"/>
              </w:rPr>
            </w:pPr>
          </w:p>
        </w:tc>
        <w:tc>
          <w:tcPr>
            <w:tcW w:w="400" w:type="dxa"/>
            <w:vAlign w:val="bottom"/>
            <w:tcBorders>
              <w:bottom w:val="single" w:sz="8" w:color="auto"/>
            </w:tcBorders>
            <w:shd w:val="clear" w:color="auto" w:fill="CCEEFF"/>
          </w:tcPr>
          <w:p>
            <w:pPr>
              <w:spacing w:after="0"/>
              <w:rPr>
                <w:sz w:val="18"/>
                <w:szCs w:val="18"/>
                <w:color w:val="auto"/>
              </w:rPr>
            </w:pPr>
          </w:p>
        </w:tc>
        <w:tc>
          <w:tcPr>
            <w:tcW w:w="88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105</w:t>
            </w:r>
          </w:p>
        </w:tc>
        <w:tc>
          <w:tcPr>
            <w:tcW w:w="80" w:type="dxa"/>
            <w:vAlign w:val="bottom"/>
            <w:tcBorders>
              <w:bottom w:val="single" w:sz="8" w:color="CCEEFF"/>
            </w:tcBorders>
            <w:shd w:val="clear" w:color="auto" w:fill="CCEEFF"/>
          </w:tcPr>
          <w:p>
            <w:pPr>
              <w:spacing w:after="0"/>
              <w:rPr>
                <w:sz w:val="18"/>
                <w:szCs w:val="18"/>
                <w:color w:val="auto"/>
              </w:rPr>
            </w:pPr>
          </w:p>
        </w:tc>
        <w:tc>
          <w:tcPr>
            <w:tcW w:w="240" w:type="dxa"/>
            <w:vAlign w:val="bottom"/>
            <w:tcBorders>
              <w:bottom w:val="single" w:sz="8" w:color="auto"/>
            </w:tcBorders>
            <w:shd w:val="clear" w:color="auto" w:fill="CCEEFF"/>
          </w:tcPr>
          <w:p>
            <w:pPr>
              <w:spacing w:after="0"/>
              <w:rPr>
                <w:sz w:val="18"/>
                <w:szCs w:val="18"/>
                <w:color w:val="auto"/>
              </w:rPr>
            </w:pPr>
          </w:p>
        </w:tc>
        <w:tc>
          <w:tcPr>
            <w:tcW w:w="102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914</w:t>
            </w:r>
          </w:p>
        </w:tc>
      </w:tr>
      <w:tr>
        <w:trPr>
          <w:trHeight w:val="209"/>
        </w:trPr>
        <w:tc>
          <w:tcPr>
            <w:tcW w:w="5240" w:type="dxa"/>
            <w:vAlign w:val="bottom"/>
          </w:tcPr>
          <w:p>
            <w:pPr>
              <w:spacing w:after="0"/>
              <w:rPr>
                <w:sz w:val="20"/>
                <w:szCs w:val="20"/>
                <w:color w:val="auto"/>
              </w:rPr>
            </w:pPr>
            <w:r>
              <w:rPr>
                <w:rFonts w:ascii="Arial" w:cs="Arial" w:eastAsia="Arial" w:hAnsi="Arial"/>
                <w:sz w:val="18"/>
                <w:szCs w:val="18"/>
                <w:color w:val="auto"/>
              </w:rPr>
              <w:t>Net other comprehensive (loss) income</w:t>
            </w:r>
          </w:p>
        </w:tc>
        <w:tc>
          <w:tcPr>
            <w:tcW w:w="100" w:type="dxa"/>
            <w:vAlign w:val="bottom"/>
            <w:tcBorders>
              <w:bottom w:val="single" w:sz="8" w:color="auto"/>
            </w:tcBorders>
          </w:tcPr>
          <w:p>
            <w:pPr>
              <w:spacing w:after="0"/>
              <w:rPr>
                <w:sz w:val="18"/>
                <w:szCs w:val="18"/>
                <w:color w:val="auto"/>
              </w:rPr>
            </w:pPr>
          </w:p>
        </w:tc>
        <w:tc>
          <w:tcPr>
            <w:tcW w:w="118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1,700</w:t>
            </w:r>
          </w:p>
        </w:tc>
        <w:tc>
          <w:tcPr>
            <w:tcW w:w="120" w:type="dxa"/>
            <w:vAlign w:val="bottom"/>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120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603</w:t>
            </w:r>
          </w:p>
        </w:tc>
        <w:tc>
          <w:tcPr>
            <w:tcW w:w="100" w:type="dxa"/>
            <w:vAlign w:val="bottom"/>
          </w:tcPr>
          <w:p>
            <w:pPr>
              <w:spacing w:after="0"/>
              <w:rPr>
                <w:sz w:val="18"/>
                <w:szCs w:val="18"/>
                <w:color w:val="auto"/>
              </w:rPr>
            </w:pPr>
          </w:p>
        </w:tc>
        <w:tc>
          <w:tcPr>
            <w:tcW w:w="400" w:type="dxa"/>
            <w:vAlign w:val="bottom"/>
            <w:tcBorders>
              <w:bottom w:val="single" w:sz="8" w:color="auto"/>
            </w:tcBorders>
          </w:tcPr>
          <w:p>
            <w:pPr>
              <w:spacing w:after="0"/>
              <w:rPr>
                <w:sz w:val="18"/>
                <w:szCs w:val="18"/>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(2,680)</w:t>
            </w:r>
          </w:p>
        </w:tc>
        <w:tc>
          <w:tcPr>
            <w:tcW w:w="80" w:type="dxa"/>
            <w:vAlign w:val="bottom"/>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(377)</w:t>
            </w:r>
          </w:p>
        </w:tc>
      </w:tr>
      <w:tr>
        <w:trPr>
          <w:trHeight w:val="209"/>
        </w:trPr>
        <w:tc>
          <w:tcPr>
            <w:tcW w:w="524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Balance at December 31, 2020</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(11,473)</w:t>
            </w:r>
          </w:p>
        </w:tc>
        <w:tc>
          <w:tcPr>
            <w:tcW w:w="2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120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w:t>
            </w:r>
          </w:p>
        </w:tc>
        <w:tc>
          <w:tcPr>
            <w:tcW w:w="500" w:type="dxa"/>
            <w:vAlign w:val="bottom"/>
            <w:gridSpan w:val="2"/>
            <w:shd w:val="clear" w:color="auto" w:fill="CCEEFF"/>
          </w:tcPr>
          <w:p>
            <w:pPr>
              <w:ind w:left="100"/>
              <w:spacing w:after="0"/>
              <w:rPr>
                <w:sz w:val="20"/>
                <w:szCs w:val="20"/>
                <w:color w:val="auto"/>
              </w:rPr>
            </w:pPr>
            <w:r>
              <w:rPr>
                <w:rFonts w:ascii="Arial" w:cs="Arial" w:eastAsia="Arial" w:hAnsi="Arial"/>
                <w:sz w:val="18"/>
                <w:szCs w:val="18"/>
                <w:color w:val="auto"/>
              </w:rPr>
              <w:t>$</w:t>
            </w: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(1,593)</w:t>
            </w:r>
          </w:p>
        </w:tc>
        <w:tc>
          <w:tcPr>
            <w:tcW w:w="32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(13,066)</w:t>
            </w:r>
          </w:p>
        </w:tc>
      </w:tr>
      <w:tr>
        <w:trPr>
          <w:trHeight w:val="210"/>
        </w:trPr>
        <w:tc>
          <w:tcPr>
            <w:tcW w:w="5240" w:type="dxa"/>
            <w:vAlign w:val="bottom"/>
            <w:tcBorders>
              <w:top w:val="single" w:sz="8" w:color="CCEEFF"/>
            </w:tcBorders>
          </w:tcPr>
          <w:p>
            <w:pPr>
              <w:spacing w:after="0"/>
              <w:rPr>
                <w:sz w:val="20"/>
                <w:szCs w:val="20"/>
                <w:color w:val="auto"/>
              </w:rPr>
            </w:pPr>
            <w:r>
              <w:rPr>
                <w:rFonts w:ascii="Arial" w:cs="Arial" w:eastAsia="Arial" w:hAnsi="Arial"/>
                <w:sz w:val="18"/>
                <w:szCs w:val="18"/>
                <w:color w:val="auto"/>
              </w:rPr>
              <w:t>Other comprehensive income (loss) before reclassifications</w:t>
            </w:r>
          </w:p>
        </w:tc>
        <w:tc>
          <w:tcPr>
            <w:tcW w:w="100" w:type="dxa"/>
            <w:vAlign w:val="bottom"/>
            <w:tcBorders>
              <w:top w:val="single" w:sz="8" w:color="auto"/>
            </w:tcBorders>
          </w:tcPr>
          <w:p>
            <w:pPr>
              <w:spacing w:after="0"/>
              <w:rPr>
                <w:sz w:val="18"/>
                <w:szCs w:val="18"/>
                <w:color w:val="auto"/>
              </w:rPr>
            </w:pPr>
          </w:p>
        </w:tc>
        <w:tc>
          <w:tcPr>
            <w:tcW w:w="11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(2,353)</w:t>
            </w:r>
          </w:p>
        </w:tc>
        <w:tc>
          <w:tcPr>
            <w:tcW w:w="120" w:type="dxa"/>
            <w:vAlign w:val="bottom"/>
            <w:tcBorders>
              <w:top w:val="single" w:sz="8" w:color="CCEEFF"/>
            </w:tcBorders>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1200" w:type="dxa"/>
            <w:vAlign w:val="bottom"/>
            <w:tcBorders>
              <w:top w:val="single" w:sz="8" w:color="auto"/>
            </w:tcBorders>
          </w:tcPr>
          <w:p>
            <w:pPr>
              <w:jc w:val="right"/>
              <w:ind w:right="30"/>
              <w:spacing w:after="0"/>
              <w:rPr>
                <w:sz w:val="20"/>
                <w:szCs w:val="20"/>
                <w:color w:val="auto"/>
              </w:rPr>
            </w:pPr>
            <w:r>
              <w:rPr>
                <w:rFonts w:ascii="Arial" w:cs="Arial" w:eastAsia="Arial" w:hAnsi="Arial"/>
                <w:sz w:val="18"/>
                <w:szCs w:val="18"/>
                <w:color w:val="auto"/>
              </w:rPr>
              <w:t>-</w:t>
            </w:r>
          </w:p>
        </w:tc>
        <w:tc>
          <w:tcPr>
            <w:tcW w:w="100" w:type="dxa"/>
            <w:vAlign w:val="bottom"/>
            <w:tcBorders>
              <w:top w:val="single" w:sz="8" w:color="CCEEFF"/>
            </w:tcBorders>
          </w:tcPr>
          <w:p>
            <w:pPr>
              <w:spacing w:after="0"/>
              <w:rPr>
                <w:sz w:val="18"/>
                <w:szCs w:val="18"/>
                <w:color w:val="auto"/>
              </w:rPr>
            </w:pPr>
          </w:p>
        </w:tc>
        <w:tc>
          <w:tcPr>
            <w:tcW w:w="400" w:type="dxa"/>
            <w:vAlign w:val="bottom"/>
            <w:tcBorders>
              <w:top w:val="single" w:sz="8" w:color="auto"/>
            </w:tcBorders>
          </w:tcPr>
          <w:p>
            <w:pPr>
              <w:spacing w:after="0"/>
              <w:rPr>
                <w:sz w:val="18"/>
                <w:szCs w:val="18"/>
                <w:color w:val="auto"/>
              </w:rPr>
            </w:pPr>
          </w:p>
        </w:tc>
        <w:tc>
          <w:tcPr>
            <w:tcW w:w="88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4,946</w:t>
            </w:r>
          </w:p>
        </w:tc>
        <w:tc>
          <w:tcPr>
            <w:tcW w:w="80" w:type="dxa"/>
            <w:vAlign w:val="bottom"/>
            <w:tcBorders>
              <w:top w:val="single" w:sz="8" w:color="CCEEFF"/>
            </w:tcBorders>
          </w:tcPr>
          <w:p>
            <w:pPr>
              <w:spacing w:after="0"/>
              <w:rPr>
                <w:sz w:val="18"/>
                <w:szCs w:val="18"/>
                <w:color w:val="auto"/>
              </w:rPr>
            </w:pPr>
          </w:p>
        </w:tc>
        <w:tc>
          <w:tcPr>
            <w:tcW w:w="240" w:type="dxa"/>
            <w:vAlign w:val="bottom"/>
            <w:tcBorders>
              <w:top w:val="single" w:sz="8" w:color="auto"/>
            </w:tcBorders>
          </w:tcPr>
          <w:p>
            <w:pPr>
              <w:spacing w:after="0"/>
              <w:rPr>
                <w:sz w:val="18"/>
                <w:szCs w:val="18"/>
                <w:color w:val="auto"/>
              </w:rPr>
            </w:pPr>
          </w:p>
        </w:tc>
        <w:tc>
          <w:tcPr>
            <w:tcW w:w="102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2,593</w:t>
            </w:r>
          </w:p>
        </w:tc>
      </w:tr>
      <w:tr>
        <w:trPr>
          <w:trHeight w:val="216"/>
        </w:trPr>
        <w:tc>
          <w:tcPr>
            <w:tcW w:w="524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Amounts reclassified from AOCI</w:t>
            </w:r>
          </w:p>
        </w:tc>
        <w:tc>
          <w:tcPr>
            <w:tcW w:w="100" w:type="dxa"/>
            <w:vAlign w:val="bottom"/>
            <w:tcBorders>
              <w:bottom w:val="single" w:sz="8" w:color="auto"/>
            </w:tcBorders>
            <w:shd w:val="clear" w:color="auto" w:fill="CCEEFF"/>
          </w:tcPr>
          <w:p>
            <w:pPr>
              <w:spacing w:after="0"/>
              <w:rPr>
                <w:sz w:val="18"/>
                <w:szCs w:val="18"/>
                <w:color w:val="auto"/>
              </w:rPr>
            </w:pPr>
          </w:p>
        </w:tc>
        <w:tc>
          <w:tcPr>
            <w:tcW w:w="118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120" w:type="dxa"/>
            <w:vAlign w:val="bottom"/>
            <w:tcBorders>
              <w:bottom w:val="single" w:sz="8" w:color="CCEEFF"/>
            </w:tcBorders>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120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rPr>
              <w:t>-</w:t>
            </w:r>
          </w:p>
        </w:tc>
        <w:tc>
          <w:tcPr>
            <w:tcW w:w="100" w:type="dxa"/>
            <w:vAlign w:val="bottom"/>
            <w:tcBorders>
              <w:bottom w:val="single" w:sz="8" w:color="CCEEFF"/>
            </w:tcBorders>
            <w:shd w:val="clear" w:color="auto" w:fill="CCEEFF"/>
          </w:tcPr>
          <w:p>
            <w:pPr>
              <w:spacing w:after="0"/>
              <w:rPr>
                <w:sz w:val="18"/>
                <w:szCs w:val="18"/>
                <w:color w:val="auto"/>
              </w:rPr>
            </w:pPr>
          </w:p>
        </w:tc>
        <w:tc>
          <w:tcPr>
            <w:tcW w:w="400" w:type="dxa"/>
            <w:vAlign w:val="bottom"/>
            <w:tcBorders>
              <w:bottom w:val="single" w:sz="8" w:color="auto"/>
            </w:tcBorders>
            <w:shd w:val="clear" w:color="auto" w:fill="CCEEFF"/>
          </w:tcPr>
          <w:p>
            <w:pPr>
              <w:spacing w:after="0"/>
              <w:rPr>
                <w:sz w:val="18"/>
                <w:szCs w:val="18"/>
                <w:color w:val="auto"/>
              </w:rPr>
            </w:pPr>
          </w:p>
        </w:tc>
        <w:tc>
          <w:tcPr>
            <w:tcW w:w="88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446</w:t>
            </w:r>
          </w:p>
        </w:tc>
        <w:tc>
          <w:tcPr>
            <w:tcW w:w="80" w:type="dxa"/>
            <w:vAlign w:val="bottom"/>
            <w:tcBorders>
              <w:bottom w:val="single" w:sz="8" w:color="CCEEFF"/>
            </w:tcBorders>
            <w:shd w:val="clear" w:color="auto" w:fill="CCEEFF"/>
          </w:tcPr>
          <w:p>
            <w:pPr>
              <w:spacing w:after="0"/>
              <w:rPr>
                <w:sz w:val="18"/>
                <w:szCs w:val="18"/>
                <w:color w:val="auto"/>
              </w:rPr>
            </w:pPr>
          </w:p>
        </w:tc>
        <w:tc>
          <w:tcPr>
            <w:tcW w:w="240" w:type="dxa"/>
            <w:vAlign w:val="bottom"/>
            <w:tcBorders>
              <w:bottom w:val="single" w:sz="8" w:color="auto"/>
            </w:tcBorders>
            <w:shd w:val="clear" w:color="auto" w:fill="CCEEFF"/>
          </w:tcPr>
          <w:p>
            <w:pPr>
              <w:spacing w:after="0"/>
              <w:rPr>
                <w:sz w:val="18"/>
                <w:szCs w:val="18"/>
                <w:color w:val="auto"/>
              </w:rPr>
            </w:pPr>
          </w:p>
        </w:tc>
        <w:tc>
          <w:tcPr>
            <w:tcW w:w="102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446</w:t>
            </w:r>
          </w:p>
        </w:tc>
      </w:tr>
      <w:tr>
        <w:trPr>
          <w:trHeight w:val="209"/>
        </w:trPr>
        <w:tc>
          <w:tcPr>
            <w:tcW w:w="5240" w:type="dxa"/>
            <w:vAlign w:val="bottom"/>
          </w:tcPr>
          <w:p>
            <w:pPr>
              <w:spacing w:after="0"/>
              <w:rPr>
                <w:sz w:val="20"/>
                <w:szCs w:val="20"/>
                <w:color w:val="auto"/>
              </w:rPr>
            </w:pPr>
            <w:r>
              <w:rPr>
                <w:rFonts w:ascii="Arial" w:cs="Arial" w:eastAsia="Arial" w:hAnsi="Arial"/>
                <w:sz w:val="18"/>
                <w:szCs w:val="18"/>
                <w:color w:val="auto"/>
              </w:rPr>
              <w:t>Net other comprehensive (loss) income</w:t>
            </w:r>
          </w:p>
        </w:tc>
        <w:tc>
          <w:tcPr>
            <w:tcW w:w="100" w:type="dxa"/>
            <w:vAlign w:val="bottom"/>
            <w:tcBorders>
              <w:bottom w:val="single" w:sz="8" w:color="auto"/>
            </w:tcBorders>
          </w:tcPr>
          <w:p>
            <w:pPr>
              <w:spacing w:after="0"/>
              <w:rPr>
                <w:sz w:val="18"/>
                <w:szCs w:val="18"/>
                <w:color w:val="auto"/>
              </w:rPr>
            </w:pP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(2,353)</w:t>
            </w:r>
          </w:p>
        </w:tc>
        <w:tc>
          <w:tcPr>
            <w:tcW w:w="120" w:type="dxa"/>
            <w:vAlign w:val="bottom"/>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120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400" w:type="dxa"/>
            <w:vAlign w:val="bottom"/>
            <w:tcBorders>
              <w:bottom w:val="single" w:sz="8" w:color="auto"/>
            </w:tcBorders>
          </w:tcPr>
          <w:p>
            <w:pPr>
              <w:spacing w:after="0"/>
              <w:rPr>
                <w:sz w:val="18"/>
                <w:szCs w:val="18"/>
                <w:color w:val="auto"/>
              </w:rPr>
            </w:pPr>
          </w:p>
        </w:tc>
        <w:tc>
          <w:tcPr>
            <w:tcW w:w="88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5,392</w:t>
            </w:r>
          </w:p>
        </w:tc>
        <w:tc>
          <w:tcPr>
            <w:tcW w:w="80" w:type="dxa"/>
            <w:vAlign w:val="bottom"/>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102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3,039</w:t>
            </w:r>
          </w:p>
        </w:tc>
      </w:tr>
      <w:tr>
        <w:trPr>
          <w:trHeight w:val="230"/>
        </w:trPr>
        <w:tc>
          <w:tcPr>
            <w:tcW w:w="524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Balance at December 31, 2021</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(13,826)</w:t>
            </w:r>
          </w:p>
        </w:tc>
        <w:tc>
          <w:tcPr>
            <w:tcW w:w="2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120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w:t>
            </w:r>
          </w:p>
        </w:tc>
        <w:tc>
          <w:tcPr>
            <w:tcW w:w="500" w:type="dxa"/>
            <w:vAlign w:val="bottom"/>
            <w:gridSpan w:val="2"/>
            <w:shd w:val="clear" w:color="auto" w:fill="CCEEFF"/>
          </w:tcPr>
          <w:p>
            <w:pPr>
              <w:ind w:left="100"/>
              <w:spacing w:after="0"/>
              <w:rPr>
                <w:sz w:val="20"/>
                <w:szCs w:val="20"/>
                <w:color w:val="auto"/>
              </w:rPr>
            </w:pPr>
            <w:r>
              <w:rPr>
                <w:rFonts w:ascii="Arial" w:cs="Arial" w:eastAsia="Arial" w:hAnsi="Arial"/>
                <w:sz w:val="18"/>
                <w:szCs w:val="18"/>
                <w:color w:val="auto"/>
              </w:rPr>
              <w:t>$</w:t>
            </w:r>
          </w:p>
        </w:tc>
        <w:tc>
          <w:tcPr>
            <w:tcW w:w="88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3,799</w:t>
            </w:r>
          </w:p>
        </w:tc>
        <w:tc>
          <w:tcPr>
            <w:tcW w:w="32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(10,027)</w:t>
            </w:r>
          </w:p>
        </w:tc>
      </w:tr>
      <w:tr>
        <w:trPr>
          <w:trHeight w:val="20"/>
        </w:trPr>
        <w:tc>
          <w:tcPr>
            <w:tcW w:w="524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auto"/>
            </w:tcBorders>
            <w:shd w:val="clear" w:color="auto" w:fill="000000"/>
          </w:tcPr>
          <w:p>
            <w:pPr>
              <w:spacing w:after="0" w:line="20" w:lineRule="exact"/>
              <w:rPr>
                <w:sz w:val="1"/>
                <w:szCs w:val="1"/>
                <w:color w:val="auto"/>
              </w:rPr>
            </w:pPr>
          </w:p>
        </w:tc>
        <w:tc>
          <w:tcPr>
            <w:tcW w:w="1180" w:type="dxa"/>
            <w:vAlign w:val="bottom"/>
            <w:tcBorders>
              <w:top w:val="single" w:sz="8" w:color="auto"/>
            </w:tcBorders>
            <w:shd w:val="clear" w:color="auto" w:fill="000000"/>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auto"/>
            </w:tcBorders>
            <w:shd w:val="clear" w:color="auto" w:fill="000000"/>
          </w:tcPr>
          <w:p>
            <w:pPr>
              <w:spacing w:after="0" w:line="20" w:lineRule="exact"/>
              <w:rPr>
                <w:sz w:val="1"/>
                <w:szCs w:val="1"/>
                <w:color w:val="auto"/>
              </w:rPr>
            </w:pPr>
          </w:p>
        </w:tc>
        <w:tc>
          <w:tcPr>
            <w:tcW w:w="120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400" w:type="dxa"/>
            <w:vAlign w:val="bottom"/>
            <w:tcBorders>
              <w:top w:val="single" w:sz="8" w:color="auto"/>
            </w:tcBorders>
            <w:shd w:val="clear" w:color="auto" w:fill="000000"/>
          </w:tcPr>
          <w:p>
            <w:pPr>
              <w:spacing w:after="0" w:line="20" w:lineRule="exact"/>
              <w:rPr>
                <w:sz w:val="1"/>
                <w:szCs w:val="1"/>
                <w:color w:val="auto"/>
              </w:rPr>
            </w:pPr>
          </w:p>
        </w:tc>
        <w:tc>
          <w:tcPr>
            <w:tcW w:w="880" w:type="dxa"/>
            <w:vAlign w:val="bottom"/>
            <w:tcBorders>
              <w:top w:val="single" w:sz="8" w:color="auto"/>
            </w:tcBorders>
            <w:shd w:val="clear" w:color="auto" w:fill="000000"/>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240" w:type="dxa"/>
            <w:vAlign w:val="bottom"/>
            <w:tcBorders>
              <w:top w:val="single" w:sz="8" w:color="auto"/>
            </w:tcBorders>
            <w:shd w:val="clear" w:color="auto" w:fill="000000"/>
          </w:tcPr>
          <w:p>
            <w:pPr>
              <w:spacing w:after="0" w:line="20" w:lineRule="exact"/>
              <w:rPr>
                <w:sz w:val="1"/>
                <w:szCs w:val="1"/>
                <w:color w:val="auto"/>
              </w:rPr>
            </w:pPr>
          </w:p>
        </w:tc>
        <w:tc>
          <w:tcPr>
            <w:tcW w:w="1020" w:type="dxa"/>
            <w:vAlign w:val="bottom"/>
            <w:tcBorders>
              <w:top w:val="single" w:sz="8" w:color="auto"/>
            </w:tcBorders>
            <w:shd w:val="clear" w:color="auto" w:fill="000000"/>
          </w:tcPr>
          <w:p>
            <w:pPr>
              <w:spacing w:after="0" w:line="20" w:lineRule="exact"/>
              <w:rPr>
                <w:sz w:val="1"/>
                <w:szCs w:val="1"/>
                <w:color w:val="auto"/>
              </w:rPr>
            </w:pPr>
          </w:p>
        </w:tc>
      </w:tr>
    </w:tbl>
    <w:p>
      <w:pPr>
        <w:spacing w:after="0" w:line="200" w:lineRule="exact"/>
        <w:rPr>
          <w:sz w:val="20"/>
          <w:szCs w:val="20"/>
          <w:color w:val="auto"/>
        </w:rPr>
      </w:pPr>
    </w:p>
    <w:p>
      <w:pPr>
        <w:spacing w:after="0" w:line="241" w:lineRule="exact"/>
        <w:rPr>
          <w:sz w:val="20"/>
          <w:szCs w:val="20"/>
          <w:color w:val="auto"/>
        </w:rPr>
      </w:pPr>
    </w:p>
    <w:p>
      <w:pPr>
        <w:ind w:left="1300" w:hanging="644"/>
        <w:spacing w:after="0"/>
        <w:tabs>
          <w:tab w:leader="none" w:pos="1300" w:val="left"/>
        </w:tabs>
        <w:numPr>
          <w:ilvl w:val="0"/>
          <w:numId w:val="18"/>
        </w:numPr>
        <w:rPr>
          <w:rFonts w:ascii="Arial" w:cs="Arial" w:eastAsia="Arial" w:hAnsi="Arial"/>
          <w:sz w:val="18"/>
          <w:szCs w:val="18"/>
          <w:b w:val="1"/>
          <w:bCs w:val="1"/>
          <w:color w:val="auto"/>
        </w:rPr>
      </w:pPr>
      <w:r>
        <w:rPr>
          <w:rFonts w:ascii="Arial" w:cs="Arial" w:eastAsia="Arial" w:hAnsi="Arial"/>
          <w:sz w:val="18"/>
          <w:szCs w:val="18"/>
          <w:b w:val="1"/>
          <w:bCs w:val="1"/>
          <w:color w:val="auto"/>
        </w:rPr>
        <w:t>Goodwill and Intangible Assets</w:t>
      </w:r>
    </w:p>
    <w:p>
      <w:pPr>
        <w:spacing w:after="0" w:line="256"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The change in the carrying amount of goodwill for the year ended December 31, 2021 and 2020 are as follows:</w:t>
      </w:r>
    </w:p>
    <w:p>
      <w:pPr>
        <w:spacing w:after="0" w:line="221" w:lineRule="exact"/>
        <w:rPr>
          <w:sz w:val="20"/>
          <w:szCs w:val="20"/>
          <w:color w:val="auto"/>
        </w:rPr>
      </w:pPr>
    </w:p>
    <w:tbl>
      <w:tblPr>
        <w:tblLayout w:type="fixed"/>
        <w:tblInd w:w="660" w:type="dxa"/>
        <w:tblCellMar>
          <w:top w:w="0" w:type="dxa"/>
          <w:left w:w="0" w:type="dxa"/>
          <w:bottom w:w="0" w:type="dxa"/>
          <w:right w:w="0" w:type="dxa"/>
        </w:tblCellMar>
      </w:tblPr>
      <w:tr>
        <w:trPr>
          <w:trHeight w:val="234"/>
        </w:trPr>
        <w:tc>
          <w:tcPr>
            <w:tcW w:w="2560" w:type="dxa"/>
            <w:vAlign w:val="bottom"/>
          </w:tcPr>
          <w:p>
            <w:pPr>
              <w:spacing w:after="0"/>
              <w:rPr>
                <w:sz w:val="20"/>
                <w:szCs w:val="20"/>
                <w:color w:val="auto"/>
              </w:rPr>
            </w:pPr>
          </w:p>
        </w:tc>
        <w:tc>
          <w:tcPr>
            <w:tcW w:w="10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86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840" w:type="dxa"/>
            <w:vAlign w:val="bottom"/>
            <w:tcBorders>
              <w:bottom w:val="single" w:sz="8" w:color="auto"/>
            </w:tcBorders>
          </w:tcPr>
          <w:p>
            <w:pPr>
              <w:spacing w:after="0"/>
              <w:rPr>
                <w:sz w:val="20"/>
                <w:szCs w:val="20"/>
                <w:color w:val="auto"/>
              </w:rPr>
            </w:pPr>
          </w:p>
        </w:tc>
        <w:tc>
          <w:tcPr>
            <w:tcW w:w="1160" w:type="dxa"/>
            <w:vAlign w:val="bottom"/>
            <w:tcBorders>
              <w:bottom w:val="single" w:sz="8" w:color="auto"/>
            </w:tcBorders>
            <w:gridSpan w:val="5"/>
          </w:tcPr>
          <w:p>
            <w:pPr>
              <w:jc w:val="right"/>
              <w:ind w:right="20"/>
              <w:spacing w:after="0"/>
              <w:rPr>
                <w:sz w:val="20"/>
                <w:szCs w:val="20"/>
                <w:color w:val="auto"/>
              </w:rPr>
            </w:pPr>
            <w:r>
              <w:rPr>
                <w:rFonts w:ascii="Arial" w:cs="Arial" w:eastAsia="Arial" w:hAnsi="Arial"/>
                <w:sz w:val="18"/>
                <w:szCs w:val="18"/>
                <w:b w:val="1"/>
                <w:bCs w:val="1"/>
                <w:color w:val="auto"/>
                <w:w w:val="95"/>
              </w:rPr>
              <w:t>December 31,</w:t>
            </w:r>
          </w:p>
        </w:tc>
        <w:tc>
          <w:tcPr>
            <w:tcW w:w="100" w:type="dxa"/>
            <w:vAlign w:val="bottom"/>
            <w:tcBorders>
              <w:bottom w:val="single" w:sz="8" w:color="auto"/>
            </w:tcBorders>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820" w:type="dxa"/>
            <w:vAlign w:val="bottom"/>
            <w:tcBorders>
              <w:bottom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210"/>
        </w:trPr>
        <w:tc>
          <w:tcPr>
            <w:tcW w:w="2560" w:type="dxa"/>
            <w:vAlign w:val="bottom"/>
          </w:tcPr>
          <w:p>
            <w:pPr>
              <w:spacing w:after="0"/>
              <w:rPr>
                <w:sz w:val="20"/>
                <w:szCs w:val="20"/>
                <w:color w:val="auto"/>
              </w:rPr>
            </w:pPr>
            <w:r>
              <w:rPr>
                <w:rFonts w:ascii="Arial" w:cs="Arial" w:eastAsia="Arial" w:hAnsi="Arial"/>
                <w:sz w:val="18"/>
                <w:szCs w:val="18"/>
                <w:color w:val="auto"/>
              </w:rPr>
              <w:t>(in thousands)</w:t>
            </w:r>
          </w:p>
        </w:tc>
        <w:tc>
          <w:tcPr>
            <w:tcW w:w="10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2021</w:t>
            </w:r>
          </w:p>
        </w:tc>
        <w:tc>
          <w:tcPr>
            <w:tcW w:w="100" w:type="dxa"/>
            <w:vAlign w:val="bottom"/>
            <w:tcBorders>
              <w:bottom w:val="single" w:sz="8" w:color="auto"/>
            </w:tcBorders>
          </w:tcPr>
          <w:p>
            <w:pPr>
              <w:spacing w:after="0"/>
              <w:rPr>
                <w:sz w:val="18"/>
                <w:szCs w:val="18"/>
                <w:color w:val="auto"/>
              </w:rPr>
            </w:pPr>
          </w:p>
        </w:tc>
        <w:tc>
          <w:tcPr>
            <w:tcW w:w="420" w:type="dxa"/>
            <w:vAlign w:val="bottom"/>
            <w:tcBorders>
              <w:bottom w:val="single" w:sz="8" w:color="auto"/>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440" w:type="dxa"/>
            <w:vAlign w:val="bottom"/>
            <w:tcBorders>
              <w:bottom w:val="single" w:sz="8" w:color="auto"/>
            </w:tcBorders>
          </w:tcPr>
          <w:p>
            <w:pPr>
              <w:spacing w:after="0"/>
              <w:rPr>
                <w:sz w:val="18"/>
                <w:szCs w:val="18"/>
                <w:color w:val="auto"/>
              </w:rPr>
            </w:pPr>
          </w:p>
        </w:tc>
        <w:tc>
          <w:tcPr>
            <w:tcW w:w="1140" w:type="dxa"/>
            <w:vAlign w:val="bottom"/>
            <w:tcBorders>
              <w:bottom w:val="single" w:sz="8" w:color="auto"/>
            </w:tcBorders>
            <w:gridSpan w:val="3"/>
          </w:tcPr>
          <w:p>
            <w:pPr>
              <w:jc w:val="right"/>
              <w:ind w:right="570"/>
              <w:spacing w:after="0"/>
              <w:rPr>
                <w:sz w:val="20"/>
                <w:szCs w:val="20"/>
                <w:color w:val="auto"/>
              </w:rPr>
            </w:pPr>
            <w:r>
              <w:rPr>
                <w:rFonts w:ascii="Arial" w:cs="Arial" w:eastAsia="Arial" w:hAnsi="Arial"/>
                <w:sz w:val="18"/>
                <w:szCs w:val="18"/>
                <w:b w:val="1"/>
                <w:bCs w:val="1"/>
                <w:color w:val="auto"/>
              </w:rPr>
              <w:t>2020</w:t>
            </w:r>
          </w:p>
        </w:tc>
        <w:tc>
          <w:tcPr>
            <w:tcW w:w="0" w:type="dxa"/>
            <w:vAlign w:val="bottom"/>
          </w:tcPr>
          <w:p>
            <w:pPr>
              <w:spacing w:after="0"/>
              <w:rPr>
                <w:sz w:val="1"/>
                <w:szCs w:val="1"/>
                <w:color w:val="auto"/>
              </w:rPr>
            </w:pPr>
          </w:p>
        </w:tc>
      </w:tr>
      <w:tr>
        <w:trPr>
          <w:trHeight w:val="210"/>
        </w:trPr>
        <w:tc>
          <w:tcPr>
            <w:tcW w:w="2560" w:type="dxa"/>
            <w:vAlign w:val="bottom"/>
            <w:shd w:val="clear" w:color="auto" w:fill="CCEEFF"/>
          </w:tcPr>
          <w:p>
            <w:pPr>
              <w:spacing w:after="0"/>
              <w:rPr>
                <w:sz w:val="20"/>
                <w:szCs w:val="20"/>
                <w:color w:val="auto"/>
              </w:rPr>
            </w:pPr>
            <w:r>
              <w:rPr>
                <w:rFonts w:ascii="Arial" w:cs="Arial" w:eastAsia="Arial" w:hAnsi="Arial"/>
                <w:sz w:val="18"/>
                <w:szCs w:val="18"/>
                <w:color w:val="auto"/>
              </w:rPr>
              <w:t>Balance beginning of year</w:t>
            </w:r>
          </w:p>
        </w:tc>
        <w:tc>
          <w:tcPr>
            <w:tcW w:w="10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280" w:type="dxa"/>
            <w:vAlign w:val="bottom"/>
            <w:gridSpan w:val="3"/>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840" w:type="dxa"/>
            <w:vAlign w:val="bottom"/>
            <w:shd w:val="clear" w:color="auto" w:fill="CCEEFF"/>
          </w:tcPr>
          <w:p>
            <w:pPr>
              <w:spacing w:after="0"/>
              <w:rPr>
                <w:sz w:val="18"/>
                <w:szCs w:val="18"/>
                <w:color w:val="auto"/>
              </w:rPr>
            </w:pPr>
          </w:p>
        </w:tc>
        <w:tc>
          <w:tcPr>
            <w:tcW w:w="5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w w:val="87"/>
              </w:rPr>
              <w:t>58,590</w:t>
            </w:r>
          </w:p>
        </w:tc>
        <w:tc>
          <w:tcPr>
            <w:tcW w:w="640" w:type="dxa"/>
            <w:vAlign w:val="bottom"/>
            <w:gridSpan w:val="3"/>
            <w:shd w:val="clear" w:color="auto" w:fill="CCEEFF"/>
          </w:tcPr>
          <w:p>
            <w:pPr>
              <w:jc w:val="right"/>
              <w:ind w:right="34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2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57,381</w:t>
            </w:r>
          </w:p>
        </w:tc>
        <w:tc>
          <w:tcPr>
            <w:tcW w:w="0" w:type="dxa"/>
            <w:vAlign w:val="bottom"/>
          </w:tcPr>
          <w:p>
            <w:pPr>
              <w:spacing w:after="0"/>
              <w:rPr>
                <w:sz w:val="1"/>
                <w:szCs w:val="1"/>
                <w:color w:val="auto"/>
              </w:rPr>
            </w:pPr>
          </w:p>
        </w:tc>
      </w:tr>
      <w:tr>
        <w:trPr>
          <w:trHeight w:val="216"/>
        </w:trPr>
        <w:tc>
          <w:tcPr>
            <w:tcW w:w="3740" w:type="dxa"/>
            <w:vAlign w:val="bottom"/>
            <w:gridSpan w:val="3"/>
          </w:tcPr>
          <w:p>
            <w:pPr>
              <w:spacing w:after="0"/>
              <w:rPr>
                <w:sz w:val="20"/>
                <w:szCs w:val="20"/>
                <w:color w:val="auto"/>
              </w:rPr>
            </w:pPr>
            <w:r>
              <w:rPr>
                <w:rFonts w:ascii="Arial" w:cs="Arial" w:eastAsia="Arial" w:hAnsi="Arial"/>
                <w:sz w:val="18"/>
                <w:szCs w:val="18"/>
                <w:color w:val="auto"/>
              </w:rPr>
              <w:t>Effect of change in currency translation</w:t>
            </w:r>
          </w:p>
        </w:tc>
        <w:tc>
          <w:tcPr>
            <w:tcW w:w="20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840" w:type="dxa"/>
            <w:vAlign w:val="bottom"/>
            <w:tcBorders>
              <w:bottom w:val="single" w:sz="8" w:color="auto"/>
            </w:tcBorders>
          </w:tcPr>
          <w:p>
            <w:pPr>
              <w:spacing w:after="0"/>
              <w:rPr>
                <w:sz w:val="18"/>
                <w:szCs w:val="18"/>
                <w:color w:val="auto"/>
              </w:rPr>
            </w:pPr>
          </w:p>
        </w:tc>
        <w:tc>
          <w:tcPr>
            <w:tcW w:w="620" w:type="dxa"/>
            <w:vAlign w:val="bottom"/>
            <w:tcBorders>
              <w:bottom w:val="single" w:sz="8" w:color="auto"/>
            </w:tcBorders>
            <w:gridSpan w:val="3"/>
          </w:tcPr>
          <w:p>
            <w:pPr>
              <w:jc w:val="right"/>
              <w:spacing w:after="0"/>
              <w:rPr>
                <w:sz w:val="20"/>
                <w:szCs w:val="20"/>
                <w:color w:val="auto"/>
              </w:rPr>
            </w:pPr>
            <w:r>
              <w:rPr>
                <w:rFonts w:ascii="Arial" w:cs="Arial" w:eastAsia="Arial" w:hAnsi="Arial"/>
                <w:sz w:val="18"/>
                <w:szCs w:val="18"/>
                <w:color w:val="auto"/>
              </w:rPr>
              <w:t>(901)</w:t>
            </w:r>
          </w:p>
        </w:tc>
        <w:tc>
          <w:tcPr>
            <w:tcW w:w="100" w:type="dxa"/>
            <w:vAlign w:val="bottom"/>
          </w:tcPr>
          <w:p>
            <w:pPr>
              <w:spacing w:after="0"/>
              <w:rPr>
                <w:sz w:val="18"/>
                <w:szCs w:val="18"/>
                <w:color w:val="auto"/>
              </w:rPr>
            </w:pPr>
          </w:p>
        </w:tc>
        <w:tc>
          <w:tcPr>
            <w:tcW w:w="440" w:type="dxa"/>
            <w:vAlign w:val="bottom"/>
            <w:tcBorders>
              <w:bottom w:val="single" w:sz="8" w:color="auto"/>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82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1,209</w:t>
            </w:r>
          </w:p>
        </w:tc>
        <w:tc>
          <w:tcPr>
            <w:tcW w:w="0" w:type="dxa"/>
            <w:vAlign w:val="bottom"/>
          </w:tcPr>
          <w:p>
            <w:pPr>
              <w:spacing w:after="0"/>
              <w:rPr>
                <w:sz w:val="1"/>
                <w:szCs w:val="1"/>
                <w:color w:val="auto"/>
              </w:rPr>
            </w:pPr>
          </w:p>
        </w:tc>
      </w:tr>
      <w:tr>
        <w:trPr>
          <w:trHeight w:val="250"/>
        </w:trPr>
        <w:tc>
          <w:tcPr>
            <w:tcW w:w="2560" w:type="dxa"/>
            <w:vAlign w:val="bottom"/>
            <w:shd w:val="clear" w:color="auto" w:fill="CCEEFF"/>
          </w:tcPr>
          <w:p>
            <w:pPr>
              <w:spacing w:after="0"/>
              <w:rPr>
                <w:sz w:val="20"/>
                <w:szCs w:val="20"/>
                <w:color w:val="auto"/>
              </w:rPr>
            </w:pPr>
            <w:r>
              <w:rPr>
                <w:rFonts w:ascii="Arial" w:cs="Arial" w:eastAsia="Arial" w:hAnsi="Arial"/>
                <w:sz w:val="18"/>
                <w:szCs w:val="18"/>
                <w:color w:val="auto"/>
              </w:rPr>
              <w:t>Balance at end of year</w:t>
            </w:r>
          </w:p>
        </w:tc>
        <w:tc>
          <w:tcPr>
            <w:tcW w:w="108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200" w:type="dxa"/>
            <w:vAlign w:val="bottom"/>
            <w:shd w:val="clear" w:color="auto" w:fill="CCEEFF"/>
          </w:tcPr>
          <w:p>
            <w:pPr>
              <w:spacing w:after="0"/>
              <w:rPr>
                <w:sz w:val="21"/>
                <w:szCs w:val="21"/>
                <w:color w:val="auto"/>
              </w:rPr>
            </w:pPr>
          </w:p>
        </w:tc>
        <w:tc>
          <w:tcPr>
            <w:tcW w:w="88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200" w:type="dxa"/>
            <w:vAlign w:val="bottom"/>
            <w:shd w:val="clear" w:color="auto" w:fill="CCEEFF"/>
          </w:tcPr>
          <w:p>
            <w:pPr>
              <w:spacing w:after="0"/>
              <w:rPr>
                <w:sz w:val="21"/>
                <w:szCs w:val="21"/>
                <w:color w:val="auto"/>
              </w:rPr>
            </w:pPr>
          </w:p>
        </w:tc>
        <w:tc>
          <w:tcPr>
            <w:tcW w:w="90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220" w:type="dxa"/>
            <w:vAlign w:val="bottom"/>
            <w:shd w:val="clear" w:color="auto" w:fill="CCEEFF"/>
          </w:tcPr>
          <w:p>
            <w:pPr>
              <w:spacing w:after="0"/>
              <w:rPr>
                <w:sz w:val="21"/>
                <w:szCs w:val="21"/>
                <w:color w:val="auto"/>
              </w:rPr>
            </w:pPr>
          </w:p>
        </w:tc>
        <w:tc>
          <w:tcPr>
            <w:tcW w:w="860" w:type="dxa"/>
            <w:vAlign w:val="bottom"/>
            <w:shd w:val="clear" w:color="auto" w:fill="CCEEFF"/>
          </w:tcPr>
          <w:p>
            <w:pPr>
              <w:spacing w:after="0"/>
              <w:rPr>
                <w:sz w:val="21"/>
                <w:szCs w:val="21"/>
                <w:color w:val="auto"/>
              </w:rPr>
            </w:pPr>
          </w:p>
        </w:tc>
        <w:tc>
          <w:tcPr>
            <w:tcW w:w="280" w:type="dxa"/>
            <w:vAlign w:val="bottom"/>
            <w:gridSpan w:val="3"/>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840" w:type="dxa"/>
            <w:vAlign w:val="bottom"/>
            <w:shd w:val="clear" w:color="auto" w:fill="CCEEFF"/>
          </w:tcPr>
          <w:p>
            <w:pPr>
              <w:spacing w:after="0"/>
              <w:rPr>
                <w:sz w:val="21"/>
                <w:szCs w:val="21"/>
                <w:color w:val="auto"/>
              </w:rPr>
            </w:pPr>
          </w:p>
        </w:tc>
        <w:tc>
          <w:tcPr>
            <w:tcW w:w="5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w w:val="87"/>
              </w:rPr>
              <w:t>57,689</w:t>
            </w:r>
          </w:p>
        </w:tc>
        <w:tc>
          <w:tcPr>
            <w:tcW w:w="640" w:type="dxa"/>
            <w:vAlign w:val="bottom"/>
            <w:gridSpan w:val="3"/>
            <w:shd w:val="clear" w:color="auto" w:fill="CCEEFF"/>
          </w:tcPr>
          <w:p>
            <w:pPr>
              <w:jc w:val="right"/>
              <w:ind w:right="34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21"/>
                <w:szCs w:val="21"/>
                <w:color w:val="auto"/>
              </w:rPr>
            </w:pPr>
          </w:p>
        </w:tc>
        <w:tc>
          <w:tcPr>
            <w:tcW w:w="220" w:type="dxa"/>
            <w:vAlign w:val="bottom"/>
            <w:shd w:val="clear" w:color="auto" w:fill="CCEEFF"/>
          </w:tcPr>
          <w:p>
            <w:pPr>
              <w:spacing w:after="0"/>
              <w:rPr>
                <w:sz w:val="21"/>
                <w:szCs w:val="21"/>
                <w:color w:val="auto"/>
              </w:rPr>
            </w:pPr>
          </w:p>
        </w:tc>
        <w:tc>
          <w:tcPr>
            <w:tcW w:w="82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58,590</w:t>
            </w:r>
          </w:p>
        </w:tc>
        <w:tc>
          <w:tcPr>
            <w:tcW w:w="0" w:type="dxa"/>
            <w:vAlign w:val="bottom"/>
          </w:tcPr>
          <w:p>
            <w:pPr>
              <w:spacing w:after="0"/>
              <w:rPr>
                <w:sz w:val="1"/>
                <w:szCs w:val="1"/>
                <w:color w:val="auto"/>
              </w:rPr>
            </w:pPr>
          </w:p>
        </w:tc>
      </w:tr>
      <w:tr>
        <w:trPr>
          <w:trHeight w:val="413"/>
        </w:trPr>
        <w:tc>
          <w:tcPr>
            <w:tcW w:w="6380" w:type="dxa"/>
            <w:vAlign w:val="bottom"/>
            <w:tcBorders>
              <w:top w:val="single" w:sz="8" w:color="CCEEFF"/>
            </w:tcBorders>
            <w:gridSpan w:val="10"/>
          </w:tcPr>
          <w:p>
            <w:pPr>
              <w:spacing w:after="0"/>
              <w:rPr>
                <w:sz w:val="20"/>
                <w:szCs w:val="20"/>
                <w:color w:val="auto"/>
              </w:rPr>
            </w:pPr>
            <w:r>
              <w:rPr>
                <w:rFonts w:ascii="Arial" w:cs="Arial" w:eastAsia="Arial" w:hAnsi="Arial"/>
                <w:sz w:val="18"/>
                <w:szCs w:val="18"/>
                <w:color w:val="auto"/>
                <w:w w:val="93"/>
              </w:rPr>
              <w:t>Identifiable intangible assets at December 31, 2021 and 2020 consist of the following:</w:t>
            </w:r>
          </w:p>
        </w:tc>
        <w:tc>
          <w:tcPr>
            <w:tcW w:w="860" w:type="dxa"/>
            <w:vAlign w:val="bottom"/>
            <w:tcBorders>
              <w:top w:val="single" w:sz="8" w:color="CCEEFF"/>
            </w:tcBorders>
          </w:tcPr>
          <w:p>
            <w:pPr>
              <w:spacing w:after="0"/>
              <w:rPr>
                <w:sz w:val="24"/>
                <w:szCs w:val="24"/>
                <w:color w:val="auto"/>
              </w:rPr>
            </w:pPr>
          </w:p>
        </w:tc>
        <w:tc>
          <w:tcPr>
            <w:tcW w:w="80" w:type="dxa"/>
            <w:vAlign w:val="bottom"/>
            <w:tcBorders>
              <w:top w:val="single" w:sz="8" w:color="CCEEFF"/>
            </w:tcBorders>
          </w:tcPr>
          <w:p>
            <w:pPr>
              <w:spacing w:after="0"/>
              <w:rPr>
                <w:sz w:val="24"/>
                <w:szCs w:val="24"/>
                <w:color w:val="auto"/>
              </w:rPr>
            </w:pPr>
          </w:p>
        </w:tc>
        <w:tc>
          <w:tcPr>
            <w:tcW w:w="40" w:type="dxa"/>
            <w:vAlign w:val="bottom"/>
            <w:tcBorders>
              <w:top w:val="single" w:sz="8" w:color="CCEEFF"/>
            </w:tcBorders>
          </w:tcPr>
          <w:p>
            <w:pPr>
              <w:spacing w:after="0"/>
              <w:rPr>
                <w:sz w:val="24"/>
                <w:szCs w:val="24"/>
                <w:color w:val="auto"/>
              </w:rPr>
            </w:pPr>
          </w:p>
        </w:tc>
        <w:tc>
          <w:tcPr>
            <w:tcW w:w="160" w:type="dxa"/>
            <w:vAlign w:val="bottom"/>
            <w:tcBorders>
              <w:top w:val="single" w:sz="8" w:color="auto"/>
            </w:tcBorders>
          </w:tcPr>
          <w:p>
            <w:pPr>
              <w:spacing w:after="0"/>
              <w:rPr>
                <w:sz w:val="24"/>
                <w:szCs w:val="24"/>
                <w:color w:val="auto"/>
              </w:rPr>
            </w:pPr>
          </w:p>
        </w:tc>
        <w:tc>
          <w:tcPr>
            <w:tcW w:w="840" w:type="dxa"/>
            <w:vAlign w:val="bottom"/>
            <w:tcBorders>
              <w:top w:val="single" w:sz="8" w:color="auto"/>
            </w:tcBorders>
          </w:tcPr>
          <w:p>
            <w:pPr>
              <w:spacing w:after="0"/>
              <w:rPr>
                <w:sz w:val="24"/>
                <w:szCs w:val="24"/>
                <w:color w:val="auto"/>
              </w:rPr>
            </w:pPr>
          </w:p>
        </w:tc>
        <w:tc>
          <w:tcPr>
            <w:tcW w:w="100" w:type="dxa"/>
            <w:vAlign w:val="bottom"/>
            <w:tcBorders>
              <w:top w:val="single" w:sz="8" w:color="auto"/>
            </w:tcBorders>
          </w:tcPr>
          <w:p>
            <w:pPr>
              <w:spacing w:after="0"/>
              <w:rPr>
                <w:sz w:val="24"/>
                <w:szCs w:val="24"/>
                <w:color w:val="auto"/>
              </w:rPr>
            </w:pPr>
          </w:p>
        </w:tc>
        <w:tc>
          <w:tcPr>
            <w:tcW w:w="420" w:type="dxa"/>
            <w:vAlign w:val="bottom"/>
            <w:tcBorders>
              <w:top w:val="single" w:sz="8" w:color="auto"/>
            </w:tcBorders>
          </w:tcPr>
          <w:p>
            <w:pPr>
              <w:spacing w:after="0"/>
              <w:rPr>
                <w:sz w:val="24"/>
                <w:szCs w:val="24"/>
                <w:color w:val="auto"/>
              </w:rPr>
            </w:pPr>
          </w:p>
        </w:tc>
        <w:tc>
          <w:tcPr>
            <w:tcW w:w="100" w:type="dxa"/>
            <w:vAlign w:val="bottom"/>
            <w:tcBorders>
              <w:top w:val="single" w:sz="8" w:color="auto"/>
            </w:tcBorders>
          </w:tcPr>
          <w:p>
            <w:pPr>
              <w:spacing w:after="0"/>
              <w:rPr>
                <w:sz w:val="24"/>
                <w:szCs w:val="24"/>
                <w:color w:val="auto"/>
              </w:rPr>
            </w:pPr>
          </w:p>
        </w:tc>
        <w:tc>
          <w:tcPr>
            <w:tcW w:w="100" w:type="dxa"/>
            <w:vAlign w:val="bottom"/>
            <w:tcBorders>
              <w:top w:val="single" w:sz="8" w:color="CCEEFF"/>
            </w:tcBorders>
          </w:tcPr>
          <w:p>
            <w:pPr>
              <w:spacing w:after="0"/>
              <w:rPr>
                <w:sz w:val="24"/>
                <w:szCs w:val="24"/>
                <w:color w:val="auto"/>
              </w:rPr>
            </w:pPr>
          </w:p>
        </w:tc>
        <w:tc>
          <w:tcPr>
            <w:tcW w:w="440" w:type="dxa"/>
            <w:vAlign w:val="bottom"/>
            <w:tcBorders>
              <w:top w:val="single" w:sz="8" w:color="auto"/>
            </w:tcBorders>
          </w:tcPr>
          <w:p>
            <w:pPr>
              <w:spacing w:after="0"/>
              <w:rPr>
                <w:sz w:val="24"/>
                <w:szCs w:val="24"/>
                <w:color w:val="auto"/>
              </w:rPr>
            </w:pPr>
          </w:p>
        </w:tc>
        <w:tc>
          <w:tcPr>
            <w:tcW w:w="100" w:type="dxa"/>
            <w:vAlign w:val="bottom"/>
            <w:tcBorders>
              <w:top w:val="single" w:sz="8" w:color="auto"/>
            </w:tcBorders>
          </w:tcPr>
          <w:p>
            <w:pPr>
              <w:spacing w:after="0"/>
              <w:rPr>
                <w:sz w:val="24"/>
                <w:szCs w:val="24"/>
                <w:color w:val="auto"/>
              </w:rPr>
            </w:pPr>
          </w:p>
        </w:tc>
        <w:tc>
          <w:tcPr>
            <w:tcW w:w="220" w:type="dxa"/>
            <w:vAlign w:val="bottom"/>
            <w:tcBorders>
              <w:top w:val="single" w:sz="8" w:color="auto"/>
            </w:tcBorders>
          </w:tcPr>
          <w:p>
            <w:pPr>
              <w:spacing w:after="0"/>
              <w:rPr>
                <w:sz w:val="24"/>
                <w:szCs w:val="24"/>
                <w:color w:val="auto"/>
              </w:rPr>
            </w:pPr>
          </w:p>
        </w:tc>
        <w:tc>
          <w:tcPr>
            <w:tcW w:w="820" w:type="dxa"/>
            <w:vAlign w:val="bottom"/>
            <w:tcBorders>
              <w:top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432"/>
        </w:trPr>
        <w:tc>
          <w:tcPr>
            <w:tcW w:w="256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88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90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1980" w:type="dxa"/>
            <w:vAlign w:val="bottom"/>
            <w:tcBorders>
              <w:bottom w:val="single" w:sz="8" w:color="auto"/>
            </w:tcBorders>
            <w:gridSpan w:val="5"/>
          </w:tcPr>
          <w:p>
            <w:pPr>
              <w:jc w:val="right"/>
              <w:ind w:right="590"/>
              <w:spacing w:after="0"/>
              <w:rPr>
                <w:sz w:val="20"/>
                <w:szCs w:val="20"/>
                <w:color w:val="auto"/>
              </w:rPr>
            </w:pPr>
            <w:r>
              <w:rPr>
                <w:rFonts w:ascii="Arial" w:cs="Arial" w:eastAsia="Arial" w:hAnsi="Arial"/>
                <w:sz w:val="18"/>
                <w:szCs w:val="18"/>
                <w:b w:val="1"/>
                <w:bCs w:val="1"/>
                <w:color w:val="auto"/>
              </w:rPr>
              <w:t>December 31,</w:t>
            </w:r>
          </w:p>
        </w:tc>
        <w:tc>
          <w:tcPr>
            <w:tcW w:w="100" w:type="dxa"/>
            <w:vAlign w:val="bottom"/>
            <w:tcBorders>
              <w:bottom w:val="single" w:sz="8" w:color="auto"/>
            </w:tcBorders>
          </w:tcPr>
          <w:p>
            <w:pPr>
              <w:spacing w:after="0"/>
              <w:rPr>
                <w:sz w:val="24"/>
                <w:szCs w:val="24"/>
                <w:color w:val="auto"/>
              </w:rPr>
            </w:pPr>
          </w:p>
        </w:tc>
        <w:tc>
          <w:tcPr>
            <w:tcW w:w="42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44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82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10"/>
        </w:trPr>
        <w:tc>
          <w:tcPr>
            <w:tcW w:w="2560" w:type="dxa"/>
            <w:vAlign w:val="bottom"/>
            <w:vMerge w:val="restart"/>
          </w:tcPr>
          <w:p>
            <w:pPr>
              <w:spacing w:after="0"/>
              <w:rPr>
                <w:sz w:val="20"/>
                <w:szCs w:val="20"/>
                <w:color w:val="auto"/>
              </w:rPr>
            </w:pPr>
            <w:r>
              <w:rPr>
                <w:rFonts w:ascii="Arial" w:cs="Arial" w:eastAsia="Arial" w:hAnsi="Arial"/>
                <w:sz w:val="18"/>
                <w:szCs w:val="18"/>
                <w:color w:val="auto"/>
              </w:rPr>
              <w:t>(in thousands)</w:t>
            </w:r>
          </w:p>
        </w:tc>
        <w:tc>
          <w:tcPr>
            <w:tcW w:w="1180" w:type="dxa"/>
            <w:vAlign w:val="bottom"/>
            <w:gridSpan w:val="2"/>
            <w:vMerge w:val="restart"/>
          </w:tcPr>
          <w:p>
            <w:pPr>
              <w:jc w:val="center"/>
              <w:ind w:right="220"/>
              <w:spacing w:after="0"/>
              <w:rPr>
                <w:sz w:val="20"/>
                <w:szCs w:val="20"/>
                <w:color w:val="auto"/>
              </w:rPr>
            </w:pPr>
            <w:r>
              <w:rPr>
                <w:rFonts w:ascii="Arial" w:cs="Arial" w:eastAsia="Arial" w:hAnsi="Arial"/>
                <w:sz w:val="18"/>
                <w:szCs w:val="18"/>
                <w:color w:val="auto"/>
                <w:w w:val="89"/>
              </w:rPr>
              <w:t>Average</w:t>
            </w:r>
          </w:p>
        </w:tc>
        <w:tc>
          <w:tcPr>
            <w:tcW w:w="200" w:type="dxa"/>
            <w:vAlign w:val="bottom"/>
            <w:tcBorders>
              <w:bottom w:val="single" w:sz="8" w:color="auto"/>
            </w:tcBorders>
          </w:tcPr>
          <w:p>
            <w:pPr>
              <w:spacing w:after="0"/>
              <w:rPr>
                <w:sz w:val="18"/>
                <w:szCs w:val="18"/>
                <w:color w:val="auto"/>
              </w:rPr>
            </w:pPr>
          </w:p>
        </w:tc>
        <w:tc>
          <w:tcPr>
            <w:tcW w:w="880" w:type="dxa"/>
            <w:vAlign w:val="bottom"/>
            <w:tcBorders>
              <w:bottom w:val="single" w:sz="8" w:color="auto"/>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900" w:type="dxa"/>
            <w:vAlign w:val="bottom"/>
            <w:tcBorders>
              <w:bottom w:val="single" w:sz="8" w:color="auto"/>
            </w:tcBorders>
          </w:tcPr>
          <w:p>
            <w:pPr>
              <w:jc w:val="right"/>
              <w:ind w:right="330"/>
              <w:spacing w:after="0"/>
              <w:rPr>
                <w:sz w:val="20"/>
                <w:szCs w:val="20"/>
                <w:color w:val="auto"/>
              </w:rPr>
            </w:pPr>
            <w:r>
              <w:rPr>
                <w:rFonts w:ascii="Arial" w:cs="Arial" w:eastAsia="Arial" w:hAnsi="Arial"/>
                <w:sz w:val="18"/>
                <w:szCs w:val="18"/>
                <w:b w:val="1"/>
                <w:bCs w:val="1"/>
                <w:color w:val="auto"/>
              </w:rPr>
              <w:t>2021</w:t>
            </w:r>
          </w:p>
        </w:tc>
        <w:tc>
          <w:tcPr>
            <w:tcW w:w="120" w:type="dxa"/>
            <w:vAlign w:val="bottom"/>
            <w:tcBorders>
              <w:bottom w:val="single" w:sz="8" w:color="auto"/>
            </w:tcBorders>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860" w:type="dxa"/>
            <w:vAlign w:val="bottom"/>
            <w:tcBorders>
              <w:bottom w:val="single" w:sz="8" w:color="auto"/>
            </w:tcBorders>
          </w:tcPr>
          <w:p>
            <w:pPr>
              <w:spacing w:after="0"/>
              <w:rPr>
                <w:sz w:val="18"/>
                <w:szCs w:val="18"/>
                <w:color w:val="auto"/>
              </w:rPr>
            </w:pPr>
          </w:p>
        </w:tc>
        <w:tc>
          <w:tcPr>
            <w:tcW w:w="80" w:type="dxa"/>
            <w:vAlign w:val="bottom"/>
          </w:tcPr>
          <w:p>
            <w:pPr>
              <w:spacing w:after="0"/>
              <w:rPr>
                <w:sz w:val="18"/>
                <w:szCs w:val="18"/>
                <w:color w:val="auto"/>
              </w:rPr>
            </w:pPr>
          </w:p>
        </w:tc>
        <w:tc>
          <w:tcPr>
            <w:tcW w:w="40" w:type="dxa"/>
            <w:vAlign w:val="bottom"/>
            <w:tcBorders>
              <w:bottom w:val="single" w:sz="8" w:color="auto"/>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840" w:type="dxa"/>
            <w:vAlign w:val="bottom"/>
            <w:tcBorders>
              <w:bottom w:val="single" w:sz="8" w:color="auto"/>
            </w:tcBorders>
          </w:tcPr>
          <w:p>
            <w:pPr>
              <w:spacing w:after="0"/>
              <w:rPr>
                <w:sz w:val="18"/>
                <w:szCs w:val="18"/>
                <w:color w:val="auto"/>
              </w:rPr>
            </w:pPr>
          </w:p>
        </w:tc>
        <w:tc>
          <w:tcPr>
            <w:tcW w:w="1160" w:type="dxa"/>
            <w:vAlign w:val="bottom"/>
            <w:tcBorders>
              <w:bottom w:val="single" w:sz="8" w:color="auto"/>
            </w:tcBorders>
            <w:gridSpan w:val="5"/>
          </w:tcPr>
          <w:p>
            <w:pPr>
              <w:jc w:val="right"/>
              <w:ind w:right="400"/>
              <w:spacing w:after="0"/>
              <w:rPr>
                <w:sz w:val="20"/>
                <w:szCs w:val="20"/>
                <w:color w:val="auto"/>
              </w:rPr>
            </w:pPr>
            <w:r>
              <w:rPr>
                <w:rFonts w:ascii="Arial" w:cs="Arial" w:eastAsia="Arial" w:hAnsi="Arial"/>
                <w:sz w:val="18"/>
                <w:szCs w:val="18"/>
                <w:b w:val="1"/>
                <w:bCs w:val="1"/>
                <w:color w:val="auto"/>
              </w:rPr>
              <w:t>2020</w:t>
            </w:r>
          </w:p>
        </w:tc>
        <w:tc>
          <w:tcPr>
            <w:tcW w:w="100" w:type="dxa"/>
            <w:vAlign w:val="bottom"/>
            <w:tcBorders>
              <w:bottom w:val="single" w:sz="8" w:color="auto"/>
            </w:tcBorders>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820" w:type="dxa"/>
            <w:vAlign w:val="bottom"/>
            <w:tcBorders>
              <w:bottom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195"/>
        </w:trPr>
        <w:tc>
          <w:tcPr>
            <w:tcW w:w="2560" w:type="dxa"/>
            <w:vAlign w:val="bottom"/>
            <w:vMerge w:val="continue"/>
          </w:tcPr>
          <w:p>
            <w:pPr>
              <w:spacing w:after="0"/>
              <w:rPr>
                <w:sz w:val="16"/>
                <w:szCs w:val="16"/>
                <w:color w:val="auto"/>
              </w:rPr>
            </w:pPr>
          </w:p>
        </w:tc>
        <w:tc>
          <w:tcPr>
            <w:tcW w:w="1180" w:type="dxa"/>
            <w:vAlign w:val="bottom"/>
            <w:gridSpan w:val="2"/>
            <w:vMerge w:val="continue"/>
          </w:tcPr>
          <w:p>
            <w:pPr>
              <w:spacing w:after="0"/>
              <w:rPr>
                <w:sz w:val="16"/>
                <w:szCs w:val="16"/>
                <w:color w:val="auto"/>
              </w:rPr>
            </w:pPr>
          </w:p>
        </w:tc>
        <w:tc>
          <w:tcPr>
            <w:tcW w:w="20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100" w:type="dxa"/>
            <w:vAlign w:val="bottom"/>
            <w:gridSpan w:val="2"/>
          </w:tcPr>
          <w:p>
            <w:pPr>
              <w:ind w:left="20"/>
              <w:spacing w:after="0" w:line="195" w:lineRule="exact"/>
              <w:rPr>
                <w:sz w:val="20"/>
                <w:szCs w:val="20"/>
                <w:color w:val="auto"/>
              </w:rPr>
            </w:pPr>
            <w:r>
              <w:rPr>
                <w:rFonts w:ascii="Arial" w:cs="Arial" w:eastAsia="Arial" w:hAnsi="Arial"/>
                <w:sz w:val="18"/>
                <w:szCs w:val="18"/>
                <w:color w:val="auto"/>
              </w:rPr>
              <w:t>Accumulated</w:t>
            </w:r>
          </w:p>
        </w:tc>
        <w:tc>
          <w:tcPr>
            <w:tcW w:w="1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60" w:type="dxa"/>
            <w:vAlign w:val="bottom"/>
            <w:gridSpan w:val="4"/>
          </w:tcPr>
          <w:p>
            <w:pPr>
              <w:spacing w:after="0" w:line="195" w:lineRule="exact"/>
              <w:rPr>
                <w:sz w:val="20"/>
                <w:szCs w:val="20"/>
                <w:color w:val="auto"/>
              </w:rPr>
            </w:pPr>
            <w:r>
              <w:rPr>
                <w:rFonts w:ascii="Arial" w:cs="Arial" w:eastAsia="Arial" w:hAnsi="Arial"/>
                <w:sz w:val="18"/>
                <w:szCs w:val="18"/>
                <w:color w:val="auto"/>
                <w:w w:val="99"/>
              </w:rPr>
              <w:t>Accumulated</w:t>
            </w:r>
          </w:p>
        </w:tc>
        <w:tc>
          <w:tcPr>
            <w:tcW w:w="1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0"/>
        </w:trPr>
        <w:tc>
          <w:tcPr>
            <w:tcW w:w="2560" w:type="dxa"/>
            <w:vAlign w:val="bottom"/>
          </w:tcPr>
          <w:p>
            <w:pPr>
              <w:spacing w:after="0"/>
              <w:rPr>
                <w:sz w:val="20"/>
                <w:szCs w:val="20"/>
                <w:color w:val="auto"/>
              </w:rPr>
            </w:pPr>
            <w:r>
              <w:rPr>
                <w:rFonts w:ascii="Arial" w:cs="Arial" w:eastAsia="Arial" w:hAnsi="Arial"/>
                <w:sz w:val="18"/>
                <w:szCs w:val="18"/>
                <w:color w:val="auto"/>
              </w:rPr>
              <w:t>Amortizable intangible assets:</w:t>
            </w:r>
          </w:p>
        </w:tc>
        <w:tc>
          <w:tcPr>
            <w:tcW w:w="1180" w:type="dxa"/>
            <w:vAlign w:val="bottom"/>
            <w:gridSpan w:val="2"/>
          </w:tcPr>
          <w:p>
            <w:pPr>
              <w:jc w:val="center"/>
              <w:ind w:right="200"/>
              <w:spacing w:after="0"/>
              <w:rPr>
                <w:sz w:val="20"/>
                <w:szCs w:val="20"/>
                <w:color w:val="auto"/>
              </w:rPr>
            </w:pPr>
            <w:r>
              <w:rPr>
                <w:rFonts w:ascii="Arial" w:cs="Arial" w:eastAsia="Arial" w:hAnsi="Arial"/>
                <w:sz w:val="18"/>
                <w:szCs w:val="18"/>
                <w:color w:val="auto"/>
              </w:rPr>
              <w:t>Life*</w:t>
            </w:r>
          </w:p>
        </w:tc>
        <w:tc>
          <w:tcPr>
            <w:tcW w:w="200" w:type="dxa"/>
            <w:vAlign w:val="bottom"/>
          </w:tcPr>
          <w:p>
            <w:pPr>
              <w:spacing w:after="0"/>
              <w:rPr>
                <w:sz w:val="20"/>
                <w:szCs w:val="20"/>
                <w:color w:val="auto"/>
              </w:rPr>
            </w:pPr>
          </w:p>
        </w:tc>
        <w:tc>
          <w:tcPr>
            <w:tcW w:w="880" w:type="dxa"/>
            <w:vAlign w:val="bottom"/>
          </w:tcPr>
          <w:p>
            <w:pPr>
              <w:jc w:val="right"/>
              <w:ind w:right="290"/>
              <w:spacing w:after="0"/>
              <w:rPr>
                <w:sz w:val="20"/>
                <w:szCs w:val="20"/>
                <w:color w:val="auto"/>
              </w:rPr>
            </w:pPr>
            <w:r>
              <w:rPr>
                <w:rFonts w:ascii="Arial" w:cs="Arial" w:eastAsia="Arial" w:hAnsi="Arial"/>
                <w:sz w:val="18"/>
                <w:szCs w:val="18"/>
                <w:color w:val="auto"/>
                <w:w w:val="99"/>
              </w:rPr>
              <w:t>Gross</w:t>
            </w:r>
          </w:p>
        </w:tc>
        <w:tc>
          <w:tcPr>
            <w:tcW w:w="120" w:type="dxa"/>
            <w:vAlign w:val="bottom"/>
          </w:tcPr>
          <w:p>
            <w:pPr>
              <w:spacing w:after="0"/>
              <w:rPr>
                <w:sz w:val="20"/>
                <w:szCs w:val="20"/>
                <w:color w:val="auto"/>
              </w:rPr>
            </w:pPr>
          </w:p>
        </w:tc>
        <w:tc>
          <w:tcPr>
            <w:tcW w:w="1100" w:type="dxa"/>
            <w:vAlign w:val="bottom"/>
            <w:gridSpan w:val="2"/>
          </w:tcPr>
          <w:p>
            <w:pPr>
              <w:ind w:left="20"/>
              <w:spacing w:after="0"/>
              <w:rPr>
                <w:sz w:val="20"/>
                <w:szCs w:val="20"/>
                <w:color w:val="auto"/>
              </w:rPr>
            </w:pPr>
            <w:r>
              <w:rPr>
                <w:rFonts w:ascii="Arial" w:cs="Arial" w:eastAsia="Arial" w:hAnsi="Arial"/>
                <w:sz w:val="18"/>
                <w:szCs w:val="18"/>
                <w:color w:val="auto"/>
              </w:rPr>
              <w:t>Amortization</w:t>
            </w:r>
          </w:p>
        </w:tc>
        <w:tc>
          <w:tcPr>
            <w:tcW w:w="1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860" w:type="dxa"/>
            <w:vAlign w:val="bottom"/>
          </w:tcPr>
          <w:p>
            <w:pPr>
              <w:jc w:val="right"/>
              <w:ind w:right="390"/>
              <w:spacing w:after="0"/>
              <w:rPr>
                <w:sz w:val="20"/>
                <w:szCs w:val="20"/>
                <w:color w:val="auto"/>
              </w:rPr>
            </w:pPr>
            <w:r>
              <w:rPr>
                <w:rFonts w:ascii="Arial" w:cs="Arial" w:eastAsia="Arial" w:hAnsi="Arial"/>
                <w:sz w:val="18"/>
                <w:szCs w:val="18"/>
                <w:color w:val="auto"/>
              </w:rPr>
              <w:t>Net</w:t>
            </w:r>
          </w:p>
        </w:tc>
        <w:tc>
          <w:tcPr>
            <w:tcW w:w="8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840" w:type="dxa"/>
            <w:vAlign w:val="bottom"/>
          </w:tcPr>
          <w:p>
            <w:pPr>
              <w:jc w:val="right"/>
              <w:ind w:right="270"/>
              <w:spacing w:after="0"/>
              <w:rPr>
                <w:sz w:val="20"/>
                <w:szCs w:val="20"/>
                <w:color w:val="auto"/>
              </w:rPr>
            </w:pPr>
            <w:r>
              <w:rPr>
                <w:rFonts w:ascii="Arial" w:cs="Arial" w:eastAsia="Arial" w:hAnsi="Arial"/>
                <w:sz w:val="18"/>
                <w:szCs w:val="18"/>
                <w:color w:val="auto"/>
                <w:w w:val="95"/>
              </w:rPr>
              <w:t>Gross</w:t>
            </w:r>
          </w:p>
        </w:tc>
        <w:tc>
          <w:tcPr>
            <w:tcW w:w="100" w:type="dxa"/>
            <w:vAlign w:val="bottom"/>
          </w:tcPr>
          <w:p>
            <w:pPr>
              <w:spacing w:after="0"/>
              <w:rPr>
                <w:sz w:val="20"/>
                <w:szCs w:val="20"/>
                <w:color w:val="auto"/>
              </w:rPr>
            </w:pPr>
          </w:p>
        </w:tc>
        <w:tc>
          <w:tcPr>
            <w:tcW w:w="1060" w:type="dxa"/>
            <w:vAlign w:val="bottom"/>
            <w:gridSpan w:val="4"/>
          </w:tcPr>
          <w:p>
            <w:pPr>
              <w:spacing w:after="0"/>
              <w:rPr>
                <w:sz w:val="20"/>
                <w:szCs w:val="20"/>
                <w:color w:val="auto"/>
              </w:rPr>
            </w:pPr>
            <w:r>
              <w:rPr>
                <w:rFonts w:ascii="Arial" w:cs="Arial" w:eastAsia="Arial" w:hAnsi="Arial"/>
                <w:sz w:val="18"/>
                <w:szCs w:val="18"/>
                <w:color w:val="auto"/>
              </w:rPr>
              <w:t>Amortization</w:t>
            </w:r>
          </w:p>
        </w:tc>
        <w:tc>
          <w:tcPr>
            <w:tcW w:w="1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820" w:type="dxa"/>
            <w:vAlign w:val="bottom"/>
          </w:tcPr>
          <w:p>
            <w:pPr>
              <w:jc w:val="right"/>
              <w:ind w:right="350"/>
              <w:spacing w:after="0"/>
              <w:rPr>
                <w:sz w:val="20"/>
                <w:szCs w:val="20"/>
                <w:color w:val="auto"/>
              </w:rPr>
            </w:pPr>
            <w:r>
              <w:rPr>
                <w:rFonts w:ascii="Arial" w:cs="Arial" w:eastAsia="Arial" w:hAnsi="Arial"/>
                <w:sz w:val="18"/>
                <w:szCs w:val="18"/>
                <w:color w:val="auto"/>
              </w:rPr>
              <w:t>Net</w:t>
            </w:r>
          </w:p>
        </w:tc>
        <w:tc>
          <w:tcPr>
            <w:tcW w:w="0" w:type="dxa"/>
            <w:vAlign w:val="bottom"/>
          </w:tcPr>
          <w:p>
            <w:pPr>
              <w:spacing w:after="0"/>
              <w:rPr>
                <w:sz w:val="1"/>
                <w:szCs w:val="1"/>
                <w:color w:val="auto"/>
              </w:rPr>
            </w:pPr>
          </w:p>
        </w:tc>
      </w:tr>
      <w:tr>
        <w:trPr>
          <w:trHeight w:val="195"/>
        </w:trPr>
        <w:tc>
          <w:tcPr>
            <w:tcW w:w="2560" w:type="dxa"/>
            <w:vAlign w:val="bottom"/>
            <w:shd w:val="clear" w:color="auto" w:fill="CCEEFF"/>
          </w:tcPr>
          <w:p>
            <w:pPr>
              <w:spacing w:after="0" w:line="195" w:lineRule="exact"/>
              <w:rPr>
                <w:sz w:val="20"/>
                <w:szCs w:val="20"/>
                <w:color w:val="auto"/>
              </w:rPr>
            </w:pPr>
            <w:r>
              <w:rPr>
                <w:rFonts w:ascii="Arial" w:cs="Arial" w:eastAsia="Arial" w:hAnsi="Arial"/>
                <w:sz w:val="18"/>
                <w:szCs w:val="18"/>
                <w:color w:val="auto"/>
                <w:w w:val="94"/>
              </w:rPr>
              <w:t>Distribution agreements/customer</w:t>
            </w:r>
          </w:p>
        </w:tc>
        <w:tc>
          <w:tcPr>
            <w:tcW w:w="1080" w:type="dxa"/>
            <w:vAlign w:val="bottom"/>
            <w:tcBorders>
              <w:top w:val="single" w:sz="8" w:color="auto"/>
            </w:tcBorders>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200" w:type="dxa"/>
            <w:vAlign w:val="bottom"/>
            <w:tcBorders>
              <w:top w:val="single" w:sz="8" w:color="auto"/>
            </w:tcBorders>
            <w:shd w:val="clear" w:color="auto" w:fill="CCEEFF"/>
          </w:tcPr>
          <w:p>
            <w:pPr>
              <w:spacing w:after="0"/>
              <w:rPr>
                <w:sz w:val="16"/>
                <w:szCs w:val="16"/>
                <w:color w:val="auto"/>
              </w:rPr>
            </w:pPr>
          </w:p>
        </w:tc>
        <w:tc>
          <w:tcPr>
            <w:tcW w:w="880" w:type="dxa"/>
            <w:vAlign w:val="bottom"/>
            <w:tcBorders>
              <w:top w:val="single" w:sz="8" w:color="auto"/>
            </w:tcBorders>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200" w:type="dxa"/>
            <w:vAlign w:val="bottom"/>
            <w:tcBorders>
              <w:top w:val="single" w:sz="8" w:color="auto"/>
            </w:tcBorders>
            <w:shd w:val="clear" w:color="auto" w:fill="CCEEFF"/>
          </w:tcPr>
          <w:p>
            <w:pPr>
              <w:spacing w:after="0"/>
              <w:rPr>
                <w:sz w:val="16"/>
                <w:szCs w:val="16"/>
                <w:color w:val="auto"/>
              </w:rPr>
            </w:pPr>
          </w:p>
        </w:tc>
        <w:tc>
          <w:tcPr>
            <w:tcW w:w="900" w:type="dxa"/>
            <w:vAlign w:val="bottom"/>
            <w:tcBorders>
              <w:top w:val="single" w:sz="8" w:color="auto"/>
            </w:tcBorders>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220" w:type="dxa"/>
            <w:vAlign w:val="bottom"/>
            <w:tcBorders>
              <w:top w:val="single" w:sz="8" w:color="auto"/>
            </w:tcBorders>
            <w:shd w:val="clear" w:color="auto" w:fill="CCEEFF"/>
          </w:tcPr>
          <w:p>
            <w:pPr>
              <w:spacing w:after="0"/>
              <w:rPr>
                <w:sz w:val="16"/>
                <w:szCs w:val="16"/>
                <w:color w:val="auto"/>
              </w:rPr>
            </w:pPr>
          </w:p>
        </w:tc>
        <w:tc>
          <w:tcPr>
            <w:tcW w:w="860" w:type="dxa"/>
            <w:vAlign w:val="bottom"/>
            <w:tcBorders>
              <w:top w:val="single" w:sz="8" w:color="auto"/>
            </w:tcBorders>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40" w:type="dxa"/>
            <w:vAlign w:val="bottom"/>
            <w:tcBorders>
              <w:top w:val="single" w:sz="8" w:color="auto"/>
            </w:tcBorders>
            <w:shd w:val="clear" w:color="auto" w:fill="CCEEFF"/>
          </w:tcPr>
          <w:p>
            <w:pPr>
              <w:spacing w:after="0"/>
              <w:rPr>
                <w:sz w:val="16"/>
                <w:szCs w:val="16"/>
                <w:color w:val="auto"/>
              </w:rPr>
            </w:pPr>
          </w:p>
        </w:tc>
        <w:tc>
          <w:tcPr>
            <w:tcW w:w="160" w:type="dxa"/>
            <w:vAlign w:val="bottom"/>
            <w:tcBorders>
              <w:top w:val="single" w:sz="8" w:color="auto"/>
            </w:tcBorders>
            <w:shd w:val="clear" w:color="auto" w:fill="CCEEFF"/>
          </w:tcPr>
          <w:p>
            <w:pPr>
              <w:spacing w:after="0"/>
              <w:rPr>
                <w:sz w:val="16"/>
                <w:szCs w:val="16"/>
                <w:color w:val="auto"/>
              </w:rPr>
            </w:pPr>
          </w:p>
        </w:tc>
        <w:tc>
          <w:tcPr>
            <w:tcW w:w="840" w:type="dxa"/>
            <w:vAlign w:val="bottom"/>
            <w:tcBorders>
              <w:top w:val="single" w:sz="8" w:color="auto"/>
            </w:tcBorders>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420" w:type="dxa"/>
            <w:vAlign w:val="bottom"/>
            <w:tcBorders>
              <w:top w:val="single" w:sz="8" w:color="auto"/>
            </w:tcBorders>
            <w:shd w:val="clear" w:color="auto" w:fill="CCEEFF"/>
          </w:tcPr>
          <w:p>
            <w:pPr>
              <w:spacing w:after="0"/>
              <w:rPr>
                <w:sz w:val="16"/>
                <w:szCs w:val="16"/>
                <w:color w:val="auto"/>
              </w:rPr>
            </w:pPr>
          </w:p>
        </w:tc>
        <w:tc>
          <w:tcPr>
            <w:tcW w:w="100" w:type="dxa"/>
            <w:vAlign w:val="bottom"/>
            <w:tcBorders>
              <w:top w:val="single" w:sz="8" w:color="auto"/>
            </w:tcBorders>
            <w:shd w:val="clear" w:color="auto" w:fill="CCEEFF"/>
          </w:tcPr>
          <w:p>
            <w:pPr>
              <w:spacing w:after="0"/>
              <w:rPr>
                <w:sz w:val="16"/>
                <w:szCs w:val="16"/>
                <w:color w:val="auto"/>
              </w:rPr>
            </w:pPr>
          </w:p>
        </w:tc>
        <w:tc>
          <w:tcPr>
            <w:tcW w:w="100" w:type="dxa"/>
            <w:vAlign w:val="bottom"/>
            <w:tcBorders>
              <w:top w:val="single" w:sz="8" w:color="auto"/>
            </w:tcBorders>
            <w:shd w:val="clear" w:color="auto" w:fill="CCEEFF"/>
          </w:tcPr>
          <w:p>
            <w:pPr>
              <w:spacing w:after="0"/>
              <w:rPr>
                <w:sz w:val="16"/>
                <w:szCs w:val="16"/>
                <w:color w:val="auto"/>
              </w:rPr>
            </w:pPr>
          </w:p>
        </w:tc>
        <w:tc>
          <w:tcPr>
            <w:tcW w:w="440" w:type="dxa"/>
            <w:vAlign w:val="bottom"/>
            <w:tcBorders>
              <w:top w:val="single" w:sz="8" w:color="auto"/>
            </w:tcBorders>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220" w:type="dxa"/>
            <w:vAlign w:val="bottom"/>
            <w:tcBorders>
              <w:top w:val="single" w:sz="8" w:color="auto"/>
            </w:tcBorders>
            <w:shd w:val="clear" w:color="auto" w:fill="CCEEFF"/>
          </w:tcPr>
          <w:p>
            <w:pPr>
              <w:spacing w:after="0"/>
              <w:rPr>
                <w:sz w:val="16"/>
                <w:szCs w:val="16"/>
                <w:color w:val="auto"/>
              </w:rPr>
            </w:pPr>
          </w:p>
        </w:tc>
        <w:tc>
          <w:tcPr>
            <w:tcW w:w="820" w:type="dxa"/>
            <w:vAlign w:val="bottom"/>
            <w:tcBorders>
              <w:top w:val="single" w:sz="8" w:color="auto"/>
            </w:tcBorders>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30"/>
        </w:trPr>
        <w:tc>
          <w:tcPr>
            <w:tcW w:w="2560" w:type="dxa"/>
            <w:vAlign w:val="bottom"/>
            <w:shd w:val="clear" w:color="auto" w:fill="CCEEFF"/>
          </w:tcPr>
          <w:p>
            <w:pPr>
              <w:spacing w:after="0"/>
              <w:rPr>
                <w:sz w:val="20"/>
                <w:szCs w:val="20"/>
                <w:color w:val="auto"/>
              </w:rPr>
            </w:pPr>
            <w:r>
              <w:rPr>
                <w:rFonts w:ascii="Arial" w:cs="Arial" w:eastAsia="Arial" w:hAnsi="Arial"/>
                <w:sz w:val="18"/>
                <w:szCs w:val="18"/>
                <w:color w:val="auto"/>
              </w:rPr>
              <w:t>relationships</w:t>
            </w:r>
          </w:p>
        </w:tc>
        <w:tc>
          <w:tcPr>
            <w:tcW w:w="1080" w:type="dxa"/>
            <w:vAlign w:val="bottom"/>
            <w:shd w:val="clear" w:color="auto" w:fill="CCEEFF"/>
          </w:tcPr>
          <w:p>
            <w:pPr>
              <w:jc w:val="right"/>
              <w:ind w:right="330"/>
              <w:spacing w:after="0"/>
              <w:rPr>
                <w:sz w:val="20"/>
                <w:szCs w:val="20"/>
                <w:color w:val="auto"/>
              </w:rPr>
            </w:pPr>
            <w:r>
              <w:rPr>
                <w:rFonts w:ascii="Arial" w:cs="Arial" w:eastAsia="Arial" w:hAnsi="Arial"/>
                <w:sz w:val="18"/>
                <w:szCs w:val="18"/>
                <w:color w:val="auto"/>
              </w:rPr>
              <w:t>7.9</w:t>
            </w:r>
          </w:p>
        </w:tc>
        <w:tc>
          <w:tcPr>
            <w:tcW w:w="100" w:type="dxa"/>
            <w:vAlign w:val="bottom"/>
            <w:shd w:val="clear" w:color="auto" w:fill="CCEEFF"/>
          </w:tcPr>
          <w:p>
            <w:pPr>
              <w:spacing w:after="0"/>
              <w:rPr>
                <w:sz w:val="20"/>
                <w:szCs w:val="20"/>
                <w:color w:val="auto"/>
              </w:rPr>
            </w:pPr>
          </w:p>
        </w:tc>
        <w:tc>
          <w:tcPr>
            <w:tcW w:w="20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88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17,689</w:t>
            </w:r>
          </w:p>
        </w:tc>
        <w:tc>
          <w:tcPr>
            <w:tcW w:w="320" w:type="dxa"/>
            <w:vAlign w:val="bottom"/>
            <w:gridSpan w:val="2"/>
            <w:shd w:val="clear" w:color="auto" w:fill="CCEEFF"/>
          </w:tcPr>
          <w:p>
            <w:pPr>
              <w:ind w:left="120"/>
              <w:spacing w:after="0"/>
              <w:rPr>
                <w:sz w:val="20"/>
                <w:szCs w:val="20"/>
                <w:color w:val="auto"/>
              </w:rPr>
            </w:pPr>
            <w:r>
              <w:rPr>
                <w:rFonts w:ascii="Arial" w:cs="Arial" w:eastAsia="Arial" w:hAnsi="Arial"/>
                <w:sz w:val="18"/>
                <w:szCs w:val="18"/>
                <w:color w:val="auto"/>
              </w:rPr>
              <w:t>$</w:t>
            </w: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(8,675)</w:t>
            </w:r>
          </w:p>
        </w:tc>
        <w:tc>
          <w:tcPr>
            <w:tcW w:w="34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86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9,014</w:t>
            </w:r>
          </w:p>
        </w:tc>
        <w:tc>
          <w:tcPr>
            <w:tcW w:w="28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18,237</w:t>
            </w:r>
          </w:p>
        </w:tc>
        <w:tc>
          <w:tcPr>
            <w:tcW w:w="520" w:type="dxa"/>
            <w:vAlign w:val="bottom"/>
            <w:gridSpan w:val="2"/>
            <w:shd w:val="clear" w:color="auto" w:fill="CCEEFF"/>
          </w:tcPr>
          <w:p>
            <w:pPr>
              <w:ind w:left="100"/>
              <w:spacing w:after="0"/>
              <w:rPr>
                <w:sz w:val="20"/>
                <w:szCs w:val="20"/>
                <w:color w:val="auto"/>
              </w:rPr>
            </w:pPr>
            <w:r>
              <w:rPr>
                <w:rFonts w:ascii="Arial" w:cs="Arial" w:eastAsia="Arial" w:hAnsi="Arial"/>
                <w:sz w:val="18"/>
                <w:szCs w:val="18"/>
                <w:color w:val="auto"/>
              </w:rPr>
              <w:t>$</w:t>
            </w:r>
          </w:p>
        </w:tc>
        <w:tc>
          <w:tcPr>
            <w:tcW w:w="640" w:type="dxa"/>
            <w:vAlign w:val="bottom"/>
            <w:gridSpan w:val="3"/>
            <w:shd w:val="clear" w:color="auto" w:fill="CCEEFF"/>
          </w:tcPr>
          <w:p>
            <w:pPr>
              <w:jc w:val="right"/>
              <w:ind w:right="20"/>
              <w:spacing w:after="0"/>
              <w:rPr>
                <w:sz w:val="20"/>
                <w:szCs w:val="20"/>
                <w:color w:val="auto"/>
              </w:rPr>
            </w:pPr>
            <w:r>
              <w:rPr>
                <w:rFonts w:ascii="Arial" w:cs="Arial" w:eastAsia="Arial" w:hAnsi="Arial"/>
                <w:sz w:val="18"/>
                <w:szCs w:val="18"/>
                <w:color w:val="auto"/>
              </w:rPr>
              <w:t>(7,746)</w:t>
            </w:r>
          </w:p>
        </w:tc>
        <w:tc>
          <w:tcPr>
            <w:tcW w:w="3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82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10,491</w:t>
            </w:r>
          </w:p>
        </w:tc>
        <w:tc>
          <w:tcPr>
            <w:tcW w:w="0" w:type="dxa"/>
            <w:vAlign w:val="bottom"/>
          </w:tcPr>
          <w:p>
            <w:pPr>
              <w:spacing w:after="0"/>
              <w:rPr>
                <w:sz w:val="1"/>
                <w:szCs w:val="1"/>
                <w:color w:val="auto"/>
              </w:rPr>
            </w:pPr>
          </w:p>
        </w:tc>
      </w:tr>
      <w:tr>
        <w:trPr>
          <w:trHeight w:val="216"/>
        </w:trPr>
        <w:tc>
          <w:tcPr>
            <w:tcW w:w="2560" w:type="dxa"/>
            <w:vAlign w:val="bottom"/>
          </w:tcPr>
          <w:p>
            <w:pPr>
              <w:spacing w:after="0"/>
              <w:rPr>
                <w:sz w:val="20"/>
                <w:szCs w:val="20"/>
                <w:color w:val="auto"/>
              </w:rPr>
            </w:pPr>
            <w:r>
              <w:rPr>
                <w:rFonts w:ascii="Arial" w:cs="Arial" w:eastAsia="Arial" w:hAnsi="Arial"/>
                <w:sz w:val="18"/>
                <w:szCs w:val="18"/>
                <w:color w:val="auto"/>
              </w:rPr>
              <w:t>Existing technology</w:t>
            </w:r>
          </w:p>
        </w:tc>
        <w:tc>
          <w:tcPr>
            <w:tcW w:w="1080" w:type="dxa"/>
            <w:vAlign w:val="bottom"/>
          </w:tcPr>
          <w:p>
            <w:pPr>
              <w:jc w:val="right"/>
              <w:ind w:right="330"/>
              <w:spacing w:after="0"/>
              <w:rPr>
                <w:sz w:val="20"/>
                <w:szCs w:val="20"/>
                <w:color w:val="auto"/>
              </w:rPr>
            </w:pPr>
            <w:r>
              <w:rPr>
                <w:rFonts w:ascii="Arial" w:cs="Arial" w:eastAsia="Arial" w:hAnsi="Arial"/>
                <w:sz w:val="18"/>
                <w:szCs w:val="18"/>
                <w:color w:val="auto"/>
              </w:rPr>
              <w:t>4.2</w:t>
            </w: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80" w:type="dxa"/>
            <w:vAlign w:val="bottom"/>
          </w:tcPr>
          <w:p>
            <w:pPr>
              <w:jc w:val="right"/>
              <w:ind w:right="10"/>
              <w:spacing w:after="0"/>
              <w:rPr>
                <w:sz w:val="20"/>
                <w:szCs w:val="20"/>
                <w:color w:val="auto"/>
              </w:rPr>
            </w:pPr>
            <w:r>
              <w:rPr>
                <w:rFonts w:ascii="Arial" w:cs="Arial" w:eastAsia="Arial" w:hAnsi="Arial"/>
                <w:sz w:val="18"/>
                <w:szCs w:val="18"/>
                <w:color w:val="auto"/>
              </w:rPr>
              <w:t>38,707</w:t>
            </w: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(23,962)</w:t>
            </w:r>
          </w:p>
        </w:tc>
        <w:tc>
          <w:tcPr>
            <w:tcW w:w="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60" w:type="dxa"/>
            <w:vAlign w:val="bottom"/>
          </w:tcPr>
          <w:p>
            <w:pPr>
              <w:jc w:val="right"/>
              <w:ind w:right="30"/>
              <w:spacing w:after="0"/>
              <w:rPr>
                <w:sz w:val="20"/>
                <w:szCs w:val="20"/>
                <w:color w:val="auto"/>
              </w:rPr>
            </w:pPr>
            <w:r>
              <w:rPr>
                <w:rFonts w:ascii="Arial" w:cs="Arial" w:eastAsia="Arial" w:hAnsi="Arial"/>
                <w:sz w:val="18"/>
                <w:szCs w:val="18"/>
                <w:color w:val="auto"/>
              </w:rPr>
              <w:t>14,745</w:t>
            </w:r>
          </w:p>
        </w:tc>
        <w:tc>
          <w:tcPr>
            <w:tcW w:w="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38,761</w:t>
            </w:r>
          </w:p>
        </w:tc>
        <w:tc>
          <w:tcPr>
            <w:tcW w:w="10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640" w:type="dxa"/>
            <w:vAlign w:val="bottom"/>
            <w:gridSpan w:val="3"/>
          </w:tcPr>
          <w:p>
            <w:pPr>
              <w:jc w:val="right"/>
              <w:ind w:right="20"/>
              <w:spacing w:after="0"/>
              <w:rPr>
                <w:sz w:val="20"/>
                <w:szCs w:val="20"/>
                <w:color w:val="auto"/>
              </w:rPr>
            </w:pPr>
            <w:r>
              <w:rPr>
                <w:rFonts w:ascii="Arial" w:cs="Arial" w:eastAsia="Arial" w:hAnsi="Arial"/>
                <w:sz w:val="18"/>
                <w:szCs w:val="18"/>
                <w:color w:val="auto"/>
                <w:w w:val="89"/>
              </w:rPr>
              <w:t>(20,674)</w:t>
            </w: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20" w:type="dxa"/>
            <w:vAlign w:val="bottom"/>
          </w:tcPr>
          <w:p>
            <w:pPr>
              <w:jc w:val="right"/>
              <w:ind w:right="10"/>
              <w:spacing w:after="0"/>
              <w:rPr>
                <w:sz w:val="20"/>
                <w:szCs w:val="20"/>
                <w:color w:val="auto"/>
              </w:rPr>
            </w:pPr>
            <w:r>
              <w:rPr>
                <w:rFonts w:ascii="Arial" w:cs="Arial" w:eastAsia="Arial" w:hAnsi="Arial"/>
                <w:sz w:val="18"/>
                <w:szCs w:val="18"/>
                <w:color w:val="auto"/>
              </w:rPr>
              <w:t>18,087</w:t>
            </w:r>
          </w:p>
        </w:tc>
        <w:tc>
          <w:tcPr>
            <w:tcW w:w="0" w:type="dxa"/>
            <w:vAlign w:val="bottom"/>
          </w:tcPr>
          <w:p>
            <w:pPr>
              <w:spacing w:after="0"/>
              <w:rPr>
                <w:sz w:val="1"/>
                <w:szCs w:val="1"/>
                <w:color w:val="auto"/>
              </w:rPr>
            </w:pPr>
          </w:p>
        </w:tc>
      </w:tr>
      <w:tr>
        <w:trPr>
          <w:trHeight w:val="216"/>
        </w:trPr>
        <w:tc>
          <w:tcPr>
            <w:tcW w:w="256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Trade names and patents</w:t>
            </w:r>
          </w:p>
        </w:tc>
        <w:tc>
          <w:tcPr>
            <w:tcW w:w="1080" w:type="dxa"/>
            <w:vAlign w:val="bottom"/>
            <w:tcBorders>
              <w:bottom w:val="single" w:sz="8" w:color="CCEEFF"/>
            </w:tcBorders>
            <w:shd w:val="clear" w:color="auto" w:fill="CCEEFF"/>
          </w:tcPr>
          <w:p>
            <w:pPr>
              <w:jc w:val="right"/>
              <w:ind w:right="330"/>
              <w:spacing w:after="0"/>
              <w:rPr>
                <w:sz w:val="20"/>
                <w:szCs w:val="20"/>
                <w:color w:val="auto"/>
              </w:rPr>
            </w:pPr>
            <w:r>
              <w:rPr>
                <w:rFonts w:ascii="Arial" w:cs="Arial" w:eastAsia="Arial" w:hAnsi="Arial"/>
                <w:sz w:val="18"/>
                <w:szCs w:val="18"/>
                <w:color w:val="auto"/>
              </w:rPr>
              <w:t>4.5</w:t>
            </w:r>
          </w:p>
        </w:tc>
        <w:tc>
          <w:tcPr>
            <w:tcW w:w="100" w:type="dxa"/>
            <w:vAlign w:val="bottom"/>
            <w:tcBorders>
              <w:bottom w:val="single" w:sz="8" w:color="CCEEFF"/>
            </w:tcBorders>
            <w:shd w:val="clear" w:color="auto" w:fill="CCEEFF"/>
          </w:tcPr>
          <w:p>
            <w:pPr>
              <w:spacing w:after="0"/>
              <w:rPr>
                <w:sz w:val="18"/>
                <w:szCs w:val="18"/>
                <w:color w:val="auto"/>
              </w:rPr>
            </w:pPr>
          </w:p>
        </w:tc>
        <w:tc>
          <w:tcPr>
            <w:tcW w:w="200" w:type="dxa"/>
            <w:vAlign w:val="bottom"/>
            <w:tcBorders>
              <w:bottom w:val="single" w:sz="8" w:color="auto"/>
            </w:tcBorders>
            <w:shd w:val="clear" w:color="auto" w:fill="CCEEFF"/>
          </w:tcPr>
          <w:p>
            <w:pPr>
              <w:spacing w:after="0"/>
              <w:rPr>
                <w:sz w:val="18"/>
                <w:szCs w:val="18"/>
                <w:color w:val="auto"/>
              </w:rPr>
            </w:pPr>
          </w:p>
        </w:tc>
        <w:tc>
          <w:tcPr>
            <w:tcW w:w="88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8,496</w:t>
            </w:r>
          </w:p>
        </w:tc>
        <w:tc>
          <w:tcPr>
            <w:tcW w:w="120" w:type="dxa"/>
            <w:vAlign w:val="bottom"/>
            <w:tcBorders>
              <w:bottom w:val="single" w:sz="8" w:color="CCEEFF"/>
            </w:tcBorders>
            <w:shd w:val="clear" w:color="auto" w:fill="CCEEFF"/>
          </w:tcPr>
          <w:p>
            <w:pPr>
              <w:spacing w:after="0"/>
              <w:rPr>
                <w:sz w:val="18"/>
                <w:szCs w:val="18"/>
                <w:color w:val="auto"/>
              </w:rPr>
            </w:pPr>
          </w:p>
        </w:tc>
        <w:tc>
          <w:tcPr>
            <w:tcW w:w="200" w:type="dxa"/>
            <w:vAlign w:val="bottom"/>
            <w:tcBorders>
              <w:bottom w:val="single" w:sz="8" w:color="auto"/>
            </w:tcBorders>
            <w:shd w:val="clear" w:color="auto" w:fill="CCEEFF"/>
          </w:tcPr>
          <w:p>
            <w:pPr>
              <w:spacing w:after="0"/>
              <w:rPr>
                <w:sz w:val="18"/>
                <w:szCs w:val="18"/>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(5,108)</w:t>
            </w:r>
          </w:p>
        </w:tc>
        <w:tc>
          <w:tcPr>
            <w:tcW w:w="120" w:type="dxa"/>
            <w:vAlign w:val="bottom"/>
            <w:tcBorders>
              <w:bottom w:val="single" w:sz="8" w:color="CCEEFF"/>
            </w:tcBorders>
            <w:shd w:val="clear" w:color="auto" w:fill="CCEEFF"/>
          </w:tcPr>
          <w:p>
            <w:pPr>
              <w:spacing w:after="0"/>
              <w:rPr>
                <w:sz w:val="18"/>
                <w:szCs w:val="18"/>
                <w:color w:val="auto"/>
              </w:rPr>
            </w:pPr>
          </w:p>
        </w:tc>
        <w:tc>
          <w:tcPr>
            <w:tcW w:w="220" w:type="dxa"/>
            <w:vAlign w:val="bottom"/>
            <w:tcBorders>
              <w:bottom w:val="single" w:sz="8" w:color="auto"/>
            </w:tcBorders>
            <w:shd w:val="clear" w:color="auto" w:fill="CCEEFF"/>
          </w:tcPr>
          <w:p>
            <w:pPr>
              <w:spacing w:after="0"/>
              <w:rPr>
                <w:sz w:val="18"/>
                <w:szCs w:val="18"/>
                <w:color w:val="auto"/>
              </w:rPr>
            </w:pPr>
          </w:p>
        </w:tc>
        <w:tc>
          <w:tcPr>
            <w:tcW w:w="86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rPr>
              <w:t>3,388</w:t>
            </w:r>
          </w:p>
        </w:tc>
        <w:tc>
          <w:tcPr>
            <w:tcW w:w="80" w:type="dxa"/>
            <w:vAlign w:val="bottom"/>
            <w:tcBorders>
              <w:bottom w:val="single" w:sz="8" w:color="CCEEFF"/>
            </w:tcBorders>
            <w:shd w:val="clear" w:color="auto" w:fill="CCEEFF"/>
          </w:tcPr>
          <w:p>
            <w:pPr>
              <w:spacing w:after="0"/>
              <w:rPr>
                <w:sz w:val="18"/>
                <w:szCs w:val="18"/>
                <w:color w:val="auto"/>
              </w:rPr>
            </w:pPr>
          </w:p>
        </w:tc>
        <w:tc>
          <w:tcPr>
            <w:tcW w:w="40" w:type="dxa"/>
            <w:vAlign w:val="bottom"/>
            <w:tcBorders>
              <w:bottom w:val="single" w:sz="8" w:color="auto"/>
            </w:tcBorders>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spacing w:after="0"/>
              <w:rPr>
                <w:sz w:val="18"/>
                <w:szCs w:val="18"/>
                <w:color w:val="auto"/>
              </w:rPr>
            </w:pPr>
          </w:p>
        </w:tc>
        <w:tc>
          <w:tcPr>
            <w:tcW w:w="8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8,681</w:t>
            </w:r>
          </w:p>
        </w:tc>
        <w:tc>
          <w:tcPr>
            <w:tcW w:w="100" w:type="dxa"/>
            <w:vAlign w:val="bottom"/>
            <w:tcBorders>
              <w:bottom w:val="single" w:sz="8" w:color="CCEEFF"/>
            </w:tcBorders>
            <w:shd w:val="clear" w:color="auto" w:fill="CCEEFF"/>
          </w:tcPr>
          <w:p>
            <w:pPr>
              <w:spacing w:after="0"/>
              <w:rPr>
                <w:sz w:val="18"/>
                <w:szCs w:val="18"/>
                <w:color w:val="auto"/>
              </w:rPr>
            </w:pPr>
          </w:p>
        </w:tc>
        <w:tc>
          <w:tcPr>
            <w:tcW w:w="420" w:type="dxa"/>
            <w:vAlign w:val="bottom"/>
            <w:tcBorders>
              <w:bottom w:val="single" w:sz="8" w:color="auto"/>
            </w:tcBorders>
            <w:shd w:val="clear" w:color="auto" w:fill="CCEEFF"/>
          </w:tcPr>
          <w:p>
            <w:pPr>
              <w:spacing w:after="0"/>
              <w:rPr>
                <w:sz w:val="18"/>
                <w:szCs w:val="18"/>
                <w:color w:val="auto"/>
              </w:rPr>
            </w:pPr>
          </w:p>
        </w:tc>
        <w:tc>
          <w:tcPr>
            <w:tcW w:w="640" w:type="dxa"/>
            <w:vAlign w:val="bottom"/>
            <w:tcBorders>
              <w:bottom w:val="single" w:sz="8" w:color="auto"/>
            </w:tcBorders>
            <w:gridSpan w:val="3"/>
            <w:shd w:val="clear" w:color="auto" w:fill="CCEEFF"/>
          </w:tcPr>
          <w:p>
            <w:pPr>
              <w:jc w:val="right"/>
              <w:ind w:right="20"/>
              <w:spacing w:after="0"/>
              <w:rPr>
                <w:sz w:val="20"/>
                <w:szCs w:val="20"/>
                <w:color w:val="auto"/>
              </w:rPr>
            </w:pPr>
            <w:r>
              <w:rPr>
                <w:rFonts w:ascii="Arial" w:cs="Arial" w:eastAsia="Arial" w:hAnsi="Arial"/>
                <w:sz w:val="18"/>
                <w:szCs w:val="18"/>
                <w:color w:val="auto"/>
              </w:rPr>
              <w:t>(4,362)</w:t>
            </w:r>
          </w:p>
        </w:tc>
        <w:tc>
          <w:tcPr>
            <w:tcW w:w="100" w:type="dxa"/>
            <w:vAlign w:val="bottom"/>
            <w:tcBorders>
              <w:bottom w:val="single" w:sz="8" w:color="CCEEFF"/>
            </w:tcBorders>
            <w:shd w:val="clear" w:color="auto" w:fill="CCEEFF"/>
          </w:tcPr>
          <w:p>
            <w:pPr>
              <w:spacing w:after="0"/>
              <w:rPr>
                <w:sz w:val="18"/>
                <w:szCs w:val="18"/>
                <w:color w:val="auto"/>
              </w:rPr>
            </w:pPr>
          </w:p>
        </w:tc>
        <w:tc>
          <w:tcPr>
            <w:tcW w:w="220" w:type="dxa"/>
            <w:vAlign w:val="bottom"/>
            <w:tcBorders>
              <w:bottom w:val="single" w:sz="8" w:color="auto"/>
            </w:tcBorders>
            <w:shd w:val="clear" w:color="auto" w:fill="CCEEFF"/>
          </w:tcPr>
          <w:p>
            <w:pPr>
              <w:spacing w:after="0"/>
              <w:rPr>
                <w:sz w:val="18"/>
                <w:szCs w:val="18"/>
                <w:color w:val="auto"/>
              </w:rPr>
            </w:pPr>
          </w:p>
        </w:tc>
        <w:tc>
          <w:tcPr>
            <w:tcW w:w="82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4,319</w:t>
            </w:r>
          </w:p>
        </w:tc>
        <w:tc>
          <w:tcPr>
            <w:tcW w:w="0" w:type="dxa"/>
            <w:vAlign w:val="bottom"/>
          </w:tcPr>
          <w:p>
            <w:pPr>
              <w:spacing w:after="0"/>
              <w:rPr>
                <w:sz w:val="1"/>
                <w:szCs w:val="1"/>
                <w:color w:val="auto"/>
              </w:rPr>
            </w:pPr>
          </w:p>
        </w:tc>
      </w:tr>
      <w:tr>
        <w:trPr>
          <w:trHeight w:val="195"/>
        </w:trPr>
        <w:tc>
          <w:tcPr>
            <w:tcW w:w="2560" w:type="dxa"/>
            <w:vAlign w:val="bottom"/>
          </w:tcPr>
          <w:p>
            <w:pPr>
              <w:spacing w:after="0" w:line="195" w:lineRule="exact"/>
              <w:rPr>
                <w:sz w:val="20"/>
                <w:szCs w:val="20"/>
                <w:color w:val="auto"/>
              </w:rPr>
            </w:pPr>
            <w:r>
              <w:rPr>
                <w:rFonts w:ascii="Arial" w:cs="Arial" w:eastAsia="Arial" w:hAnsi="Arial"/>
                <w:sz w:val="18"/>
                <w:szCs w:val="18"/>
                <w:color w:val="auto"/>
              </w:rPr>
              <w:t>Total amortizable intangible</w:t>
            </w:r>
          </w:p>
        </w:tc>
        <w:tc>
          <w:tcPr>
            <w:tcW w:w="10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00" w:type="dxa"/>
            <w:vAlign w:val="bottom"/>
            <w:vMerge w:val="restart"/>
          </w:tcPr>
          <w:p>
            <w:pPr>
              <w:jc w:val="right"/>
              <w:ind w:right="10"/>
              <w:spacing w:after="0"/>
              <w:rPr>
                <w:sz w:val="20"/>
                <w:szCs w:val="20"/>
                <w:color w:val="auto"/>
              </w:rPr>
            </w:pPr>
            <w:r>
              <w:rPr>
                <w:rFonts w:ascii="Arial" w:cs="Arial" w:eastAsia="Arial" w:hAnsi="Arial"/>
                <w:sz w:val="18"/>
                <w:szCs w:val="18"/>
                <w:color w:val="auto"/>
                <w:w w:val="79"/>
              </w:rPr>
              <w:t>$</w:t>
            </w:r>
          </w:p>
        </w:tc>
        <w:tc>
          <w:tcPr>
            <w:tcW w:w="880" w:type="dxa"/>
            <w:vAlign w:val="bottom"/>
            <w:vMerge w:val="restart"/>
          </w:tcPr>
          <w:p>
            <w:pPr>
              <w:jc w:val="right"/>
              <w:ind w:right="10"/>
              <w:spacing w:after="0"/>
              <w:rPr>
                <w:sz w:val="20"/>
                <w:szCs w:val="20"/>
                <w:color w:val="auto"/>
              </w:rPr>
            </w:pPr>
            <w:r>
              <w:rPr>
                <w:rFonts w:ascii="Arial" w:cs="Arial" w:eastAsia="Arial" w:hAnsi="Arial"/>
                <w:sz w:val="18"/>
                <w:szCs w:val="18"/>
                <w:color w:val="auto"/>
              </w:rPr>
              <w:t>64,892</w:t>
            </w:r>
          </w:p>
        </w:tc>
        <w:tc>
          <w:tcPr>
            <w:tcW w:w="320" w:type="dxa"/>
            <w:vAlign w:val="bottom"/>
            <w:gridSpan w:val="2"/>
            <w:vMerge w:val="restart"/>
          </w:tcPr>
          <w:p>
            <w:pPr>
              <w:ind w:left="120"/>
              <w:spacing w:after="0"/>
              <w:rPr>
                <w:sz w:val="20"/>
                <w:szCs w:val="20"/>
                <w:color w:val="auto"/>
              </w:rPr>
            </w:pPr>
            <w:r>
              <w:rPr>
                <w:rFonts w:ascii="Arial" w:cs="Arial" w:eastAsia="Arial" w:hAnsi="Arial"/>
                <w:sz w:val="18"/>
                <w:szCs w:val="18"/>
                <w:color w:val="auto"/>
              </w:rPr>
              <w:t>$</w:t>
            </w:r>
          </w:p>
        </w:tc>
        <w:tc>
          <w:tcPr>
            <w:tcW w:w="900" w:type="dxa"/>
            <w:vAlign w:val="bottom"/>
            <w:vMerge w:val="restart"/>
          </w:tcPr>
          <w:p>
            <w:pPr>
              <w:jc w:val="right"/>
              <w:spacing w:after="0"/>
              <w:rPr>
                <w:sz w:val="20"/>
                <w:szCs w:val="20"/>
                <w:color w:val="auto"/>
              </w:rPr>
            </w:pPr>
            <w:r>
              <w:rPr>
                <w:rFonts w:ascii="Arial" w:cs="Arial" w:eastAsia="Arial" w:hAnsi="Arial"/>
                <w:sz w:val="18"/>
                <w:szCs w:val="18"/>
                <w:color w:val="auto"/>
              </w:rPr>
              <w:t>(37,745)</w:t>
            </w:r>
          </w:p>
        </w:tc>
        <w:tc>
          <w:tcPr>
            <w:tcW w:w="340" w:type="dxa"/>
            <w:vAlign w:val="bottom"/>
            <w:gridSpan w:val="2"/>
            <w:vMerge w:val="restart"/>
          </w:tcPr>
          <w:p>
            <w:pPr>
              <w:jc w:val="right"/>
              <w:ind w:right="140"/>
              <w:spacing w:after="0"/>
              <w:rPr>
                <w:sz w:val="20"/>
                <w:szCs w:val="20"/>
                <w:color w:val="auto"/>
              </w:rPr>
            </w:pPr>
            <w:r>
              <w:rPr>
                <w:rFonts w:ascii="Arial" w:cs="Arial" w:eastAsia="Arial" w:hAnsi="Arial"/>
                <w:sz w:val="18"/>
                <w:szCs w:val="18"/>
                <w:color w:val="auto"/>
              </w:rPr>
              <w:t>$</w:t>
            </w:r>
          </w:p>
        </w:tc>
        <w:tc>
          <w:tcPr>
            <w:tcW w:w="860" w:type="dxa"/>
            <w:vAlign w:val="bottom"/>
            <w:vMerge w:val="restart"/>
          </w:tcPr>
          <w:p>
            <w:pPr>
              <w:jc w:val="right"/>
              <w:ind w:right="30"/>
              <w:spacing w:after="0"/>
              <w:rPr>
                <w:sz w:val="20"/>
                <w:szCs w:val="20"/>
                <w:color w:val="auto"/>
              </w:rPr>
            </w:pPr>
            <w:r>
              <w:rPr>
                <w:rFonts w:ascii="Arial" w:cs="Arial" w:eastAsia="Arial" w:hAnsi="Arial"/>
                <w:sz w:val="18"/>
                <w:szCs w:val="18"/>
                <w:color w:val="auto"/>
              </w:rPr>
              <w:t>27,147</w:t>
            </w:r>
          </w:p>
        </w:tc>
        <w:tc>
          <w:tcPr>
            <w:tcW w:w="280" w:type="dxa"/>
            <w:vAlign w:val="bottom"/>
            <w:gridSpan w:val="3"/>
            <w:vMerge w:val="restart"/>
          </w:tcPr>
          <w:p>
            <w:pPr>
              <w:jc w:val="right"/>
              <w:ind w:right="100"/>
              <w:spacing w:after="0"/>
              <w:rPr>
                <w:sz w:val="20"/>
                <w:szCs w:val="20"/>
                <w:color w:val="auto"/>
              </w:rPr>
            </w:pPr>
            <w:r>
              <w:rPr>
                <w:rFonts w:ascii="Arial" w:cs="Arial" w:eastAsia="Arial" w:hAnsi="Arial"/>
                <w:sz w:val="18"/>
                <w:szCs w:val="18"/>
                <w:color w:val="auto"/>
              </w:rPr>
              <w:t>$</w:t>
            </w:r>
          </w:p>
        </w:tc>
        <w:tc>
          <w:tcPr>
            <w:tcW w:w="840" w:type="dxa"/>
            <w:vAlign w:val="bottom"/>
            <w:vMerge w:val="restart"/>
          </w:tcPr>
          <w:p>
            <w:pPr>
              <w:jc w:val="right"/>
              <w:spacing w:after="0"/>
              <w:rPr>
                <w:sz w:val="20"/>
                <w:szCs w:val="20"/>
                <w:color w:val="auto"/>
              </w:rPr>
            </w:pPr>
            <w:r>
              <w:rPr>
                <w:rFonts w:ascii="Arial" w:cs="Arial" w:eastAsia="Arial" w:hAnsi="Arial"/>
                <w:sz w:val="18"/>
                <w:szCs w:val="18"/>
                <w:color w:val="auto"/>
              </w:rPr>
              <w:t>65,679</w:t>
            </w:r>
          </w:p>
        </w:tc>
        <w:tc>
          <w:tcPr>
            <w:tcW w:w="520" w:type="dxa"/>
            <w:vAlign w:val="bottom"/>
            <w:gridSpan w:val="2"/>
            <w:vMerge w:val="restart"/>
          </w:tcPr>
          <w:p>
            <w:pPr>
              <w:ind w:left="100"/>
              <w:spacing w:after="0"/>
              <w:rPr>
                <w:sz w:val="20"/>
                <w:szCs w:val="20"/>
                <w:color w:val="auto"/>
              </w:rPr>
            </w:pPr>
            <w:r>
              <w:rPr>
                <w:rFonts w:ascii="Arial" w:cs="Arial" w:eastAsia="Arial" w:hAnsi="Arial"/>
                <w:sz w:val="18"/>
                <w:szCs w:val="18"/>
                <w:color w:val="auto"/>
              </w:rPr>
              <w:t>$</w:t>
            </w:r>
          </w:p>
        </w:tc>
        <w:tc>
          <w:tcPr>
            <w:tcW w:w="640" w:type="dxa"/>
            <w:vAlign w:val="bottom"/>
            <w:gridSpan w:val="3"/>
            <w:vMerge w:val="restart"/>
          </w:tcPr>
          <w:p>
            <w:pPr>
              <w:jc w:val="right"/>
              <w:ind w:right="20"/>
              <w:spacing w:after="0"/>
              <w:rPr>
                <w:sz w:val="20"/>
                <w:szCs w:val="20"/>
                <w:color w:val="auto"/>
              </w:rPr>
            </w:pPr>
            <w:r>
              <w:rPr>
                <w:rFonts w:ascii="Arial" w:cs="Arial" w:eastAsia="Arial" w:hAnsi="Arial"/>
                <w:sz w:val="18"/>
                <w:szCs w:val="18"/>
                <w:color w:val="auto"/>
                <w:w w:val="89"/>
              </w:rPr>
              <w:t>(32,782)</w:t>
            </w:r>
          </w:p>
        </w:tc>
        <w:tc>
          <w:tcPr>
            <w:tcW w:w="320" w:type="dxa"/>
            <w:vAlign w:val="bottom"/>
            <w:gridSpan w:val="2"/>
            <w:vMerge w:val="restart"/>
          </w:tcPr>
          <w:p>
            <w:pPr>
              <w:jc w:val="right"/>
              <w:ind w:right="120"/>
              <w:spacing w:after="0"/>
              <w:rPr>
                <w:sz w:val="20"/>
                <w:szCs w:val="20"/>
                <w:color w:val="auto"/>
              </w:rPr>
            </w:pPr>
            <w:r>
              <w:rPr>
                <w:rFonts w:ascii="Arial" w:cs="Arial" w:eastAsia="Arial" w:hAnsi="Arial"/>
                <w:sz w:val="18"/>
                <w:szCs w:val="18"/>
                <w:color w:val="auto"/>
              </w:rPr>
              <w:t>$</w:t>
            </w:r>
          </w:p>
        </w:tc>
        <w:tc>
          <w:tcPr>
            <w:tcW w:w="820" w:type="dxa"/>
            <w:vAlign w:val="bottom"/>
            <w:vMerge w:val="restart"/>
          </w:tcPr>
          <w:p>
            <w:pPr>
              <w:jc w:val="right"/>
              <w:ind w:right="10"/>
              <w:spacing w:after="0"/>
              <w:rPr>
                <w:sz w:val="20"/>
                <w:szCs w:val="20"/>
                <w:color w:val="auto"/>
              </w:rPr>
            </w:pPr>
            <w:r>
              <w:rPr>
                <w:rFonts w:ascii="Arial" w:cs="Arial" w:eastAsia="Arial" w:hAnsi="Arial"/>
                <w:sz w:val="18"/>
                <w:szCs w:val="18"/>
                <w:color w:val="auto"/>
              </w:rPr>
              <w:t>32,897</w:t>
            </w:r>
          </w:p>
        </w:tc>
        <w:tc>
          <w:tcPr>
            <w:tcW w:w="0" w:type="dxa"/>
            <w:vAlign w:val="bottom"/>
          </w:tcPr>
          <w:p>
            <w:pPr>
              <w:spacing w:after="0"/>
              <w:rPr>
                <w:sz w:val="1"/>
                <w:szCs w:val="1"/>
                <w:color w:val="auto"/>
              </w:rPr>
            </w:pPr>
          </w:p>
        </w:tc>
      </w:tr>
      <w:tr>
        <w:trPr>
          <w:trHeight w:val="190"/>
        </w:trPr>
        <w:tc>
          <w:tcPr>
            <w:tcW w:w="2560" w:type="dxa"/>
            <w:vAlign w:val="bottom"/>
          </w:tcPr>
          <w:p>
            <w:pPr>
              <w:spacing w:after="0" w:line="190" w:lineRule="exact"/>
              <w:rPr>
                <w:sz w:val="20"/>
                <w:szCs w:val="20"/>
                <w:color w:val="auto"/>
              </w:rPr>
            </w:pPr>
            <w:r>
              <w:rPr>
                <w:rFonts w:ascii="Arial" w:cs="Arial" w:eastAsia="Arial" w:hAnsi="Arial"/>
                <w:sz w:val="18"/>
                <w:szCs w:val="18"/>
                <w:color w:val="auto"/>
              </w:rPr>
              <w:t>assets</w:t>
            </w:r>
          </w:p>
        </w:tc>
        <w:tc>
          <w:tcPr>
            <w:tcW w:w="10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00" w:type="dxa"/>
            <w:vAlign w:val="bottom"/>
            <w:vMerge w:val="continue"/>
          </w:tcPr>
          <w:p>
            <w:pPr>
              <w:spacing w:after="0"/>
              <w:rPr>
                <w:sz w:val="16"/>
                <w:szCs w:val="16"/>
                <w:color w:val="auto"/>
              </w:rPr>
            </w:pPr>
          </w:p>
        </w:tc>
        <w:tc>
          <w:tcPr>
            <w:tcW w:w="880" w:type="dxa"/>
            <w:vAlign w:val="bottom"/>
            <w:vMerge w:val="continue"/>
          </w:tcPr>
          <w:p>
            <w:pPr>
              <w:spacing w:after="0"/>
              <w:rPr>
                <w:sz w:val="16"/>
                <w:szCs w:val="16"/>
                <w:color w:val="auto"/>
              </w:rPr>
            </w:pPr>
          </w:p>
        </w:tc>
        <w:tc>
          <w:tcPr>
            <w:tcW w:w="320" w:type="dxa"/>
            <w:vAlign w:val="bottom"/>
            <w:gridSpan w:val="2"/>
            <w:vMerge w:val="continue"/>
          </w:tcPr>
          <w:p>
            <w:pPr>
              <w:spacing w:after="0"/>
              <w:rPr>
                <w:sz w:val="16"/>
                <w:szCs w:val="16"/>
                <w:color w:val="auto"/>
              </w:rPr>
            </w:pPr>
          </w:p>
        </w:tc>
        <w:tc>
          <w:tcPr>
            <w:tcW w:w="900" w:type="dxa"/>
            <w:vAlign w:val="bottom"/>
            <w:vMerge w:val="continue"/>
          </w:tcPr>
          <w:p>
            <w:pPr>
              <w:spacing w:after="0"/>
              <w:rPr>
                <w:sz w:val="16"/>
                <w:szCs w:val="16"/>
                <w:color w:val="auto"/>
              </w:rPr>
            </w:pPr>
          </w:p>
        </w:tc>
        <w:tc>
          <w:tcPr>
            <w:tcW w:w="340" w:type="dxa"/>
            <w:vAlign w:val="bottom"/>
            <w:gridSpan w:val="2"/>
            <w:vMerge w:val="continue"/>
          </w:tcPr>
          <w:p>
            <w:pPr>
              <w:spacing w:after="0"/>
              <w:rPr>
                <w:sz w:val="16"/>
                <w:szCs w:val="16"/>
                <w:color w:val="auto"/>
              </w:rPr>
            </w:pPr>
          </w:p>
        </w:tc>
        <w:tc>
          <w:tcPr>
            <w:tcW w:w="860" w:type="dxa"/>
            <w:vAlign w:val="bottom"/>
            <w:vMerge w:val="continue"/>
          </w:tcPr>
          <w:p>
            <w:pPr>
              <w:spacing w:after="0"/>
              <w:rPr>
                <w:sz w:val="16"/>
                <w:szCs w:val="16"/>
                <w:color w:val="auto"/>
              </w:rPr>
            </w:pPr>
          </w:p>
        </w:tc>
        <w:tc>
          <w:tcPr>
            <w:tcW w:w="280" w:type="dxa"/>
            <w:vAlign w:val="bottom"/>
            <w:gridSpan w:val="3"/>
            <w:vMerge w:val="continue"/>
          </w:tcPr>
          <w:p>
            <w:pPr>
              <w:spacing w:after="0"/>
              <w:rPr>
                <w:sz w:val="16"/>
                <w:szCs w:val="16"/>
                <w:color w:val="auto"/>
              </w:rPr>
            </w:pPr>
          </w:p>
        </w:tc>
        <w:tc>
          <w:tcPr>
            <w:tcW w:w="840" w:type="dxa"/>
            <w:vAlign w:val="bottom"/>
            <w:vMerge w:val="continue"/>
          </w:tcPr>
          <w:p>
            <w:pPr>
              <w:spacing w:after="0"/>
              <w:rPr>
                <w:sz w:val="16"/>
                <w:szCs w:val="16"/>
                <w:color w:val="auto"/>
              </w:rPr>
            </w:pPr>
          </w:p>
        </w:tc>
        <w:tc>
          <w:tcPr>
            <w:tcW w:w="520" w:type="dxa"/>
            <w:vAlign w:val="bottom"/>
            <w:gridSpan w:val="2"/>
            <w:vMerge w:val="continue"/>
          </w:tcPr>
          <w:p>
            <w:pPr>
              <w:spacing w:after="0"/>
              <w:rPr>
                <w:sz w:val="16"/>
                <w:szCs w:val="16"/>
                <w:color w:val="auto"/>
              </w:rPr>
            </w:pPr>
          </w:p>
        </w:tc>
        <w:tc>
          <w:tcPr>
            <w:tcW w:w="640" w:type="dxa"/>
            <w:vAlign w:val="bottom"/>
            <w:gridSpan w:val="3"/>
            <w:vMerge w:val="continue"/>
          </w:tcPr>
          <w:p>
            <w:pPr>
              <w:spacing w:after="0"/>
              <w:rPr>
                <w:sz w:val="16"/>
                <w:szCs w:val="16"/>
                <w:color w:val="auto"/>
              </w:rPr>
            </w:pPr>
          </w:p>
        </w:tc>
        <w:tc>
          <w:tcPr>
            <w:tcW w:w="320" w:type="dxa"/>
            <w:vAlign w:val="bottom"/>
            <w:gridSpan w:val="2"/>
            <w:vMerge w:val="continue"/>
          </w:tcPr>
          <w:p>
            <w:pPr>
              <w:spacing w:after="0"/>
              <w:rPr>
                <w:sz w:val="16"/>
                <w:szCs w:val="16"/>
                <w:color w:val="auto"/>
              </w:rPr>
            </w:pPr>
          </w:p>
        </w:tc>
        <w:tc>
          <w:tcPr>
            <w:tcW w:w="82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0"/>
        </w:trPr>
        <w:tc>
          <w:tcPr>
            <w:tcW w:w="256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4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2560" w:type="dxa"/>
            <w:vAlign w:val="bottom"/>
            <w:tcBorders>
              <w:bottom w:val="single" w:sz="8" w:color="CCEEFF"/>
            </w:tcBorders>
            <w:shd w:val="clear" w:color="auto" w:fill="CCEEFF"/>
          </w:tcPr>
          <w:p>
            <w:pPr>
              <w:spacing w:after="0" w:line="196" w:lineRule="exact"/>
              <w:rPr>
                <w:sz w:val="20"/>
                <w:szCs w:val="20"/>
                <w:color w:val="auto"/>
              </w:rPr>
            </w:pPr>
            <w:r>
              <w:rPr>
                <w:rFonts w:ascii="Arial" w:cs="Arial" w:eastAsia="Arial" w:hAnsi="Arial"/>
                <w:sz w:val="18"/>
                <w:szCs w:val="18"/>
                <w:color w:val="auto"/>
                <w:w w:val="97"/>
              </w:rPr>
              <w:t>Indefinite-lived intangible assets:</w:t>
            </w:r>
          </w:p>
        </w:tc>
        <w:tc>
          <w:tcPr>
            <w:tcW w:w="1080" w:type="dxa"/>
            <w:vAlign w:val="bottom"/>
            <w:tcBorders>
              <w:bottom w:val="single" w:sz="8" w:color="CCEEFF"/>
            </w:tcBorders>
            <w:shd w:val="clear" w:color="auto" w:fill="CCEEFF"/>
          </w:tcPr>
          <w:p>
            <w:pPr>
              <w:spacing w:after="0"/>
              <w:rPr>
                <w:sz w:val="17"/>
                <w:szCs w:val="17"/>
                <w:color w:val="auto"/>
              </w:rPr>
            </w:pPr>
          </w:p>
        </w:tc>
        <w:tc>
          <w:tcPr>
            <w:tcW w:w="100" w:type="dxa"/>
            <w:vAlign w:val="bottom"/>
            <w:tcBorders>
              <w:bottom w:val="single" w:sz="8" w:color="CCEEFF"/>
            </w:tcBorders>
            <w:shd w:val="clear" w:color="auto" w:fill="CCEEFF"/>
          </w:tcPr>
          <w:p>
            <w:pPr>
              <w:spacing w:after="0"/>
              <w:rPr>
                <w:sz w:val="17"/>
                <w:szCs w:val="17"/>
                <w:color w:val="auto"/>
              </w:rPr>
            </w:pPr>
          </w:p>
        </w:tc>
        <w:tc>
          <w:tcPr>
            <w:tcW w:w="200" w:type="dxa"/>
            <w:vAlign w:val="bottom"/>
            <w:tcBorders>
              <w:bottom w:val="single" w:sz="8" w:color="CCEEFF"/>
            </w:tcBorders>
            <w:shd w:val="clear" w:color="auto" w:fill="CCEEFF"/>
          </w:tcPr>
          <w:p>
            <w:pPr>
              <w:spacing w:after="0"/>
              <w:rPr>
                <w:sz w:val="17"/>
                <w:szCs w:val="17"/>
                <w:color w:val="auto"/>
              </w:rPr>
            </w:pPr>
          </w:p>
        </w:tc>
        <w:tc>
          <w:tcPr>
            <w:tcW w:w="880" w:type="dxa"/>
            <w:vAlign w:val="bottom"/>
            <w:tcBorders>
              <w:bottom w:val="single" w:sz="8" w:color="CCEEFF"/>
            </w:tcBorders>
            <w:shd w:val="clear" w:color="auto" w:fill="CCEEFF"/>
          </w:tcPr>
          <w:p>
            <w:pPr>
              <w:spacing w:after="0"/>
              <w:rPr>
                <w:sz w:val="17"/>
                <w:szCs w:val="17"/>
                <w:color w:val="auto"/>
              </w:rPr>
            </w:pPr>
          </w:p>
        </w:tc>
        <w:tc>
          <w:tcPr>
            <w:tcW w:w="120" w:type="dxa"/>
            <w:vAlign w:val="bottom"/>
            <w:tcBorders>
              <w:bottom w:val="single" w:sz="8" w:color="CCEEFF"/>
            </w:tcBorders>
            <w:shd w:val="clear" w:color="auto" w:fill="CCEEFF"/>
          </w:tcPr>
          <w:p>
            <w:pPr>
              <w:spacing w:after="0"/>
              <w:rPr>
                <w:sz w:val="17"/>
                <w:szCs w:val="17"/>
                <w:color w:val="auto"/>
              </w:rPr>
            </w:pPr>
          </w:p>
        </w:tc>
        <w:tc>
          <w:tcPr>
            <w:tcW w:w="200" w:type="dxa"/>
            <w:vAlign w:val="bottom"/>
            <w:tcBorders>
              <w:bottom w:val="single" w:sz="8" w:color="CCEEFF"/>
            </w:tcBorders>
            <w:shd w:val="clear" w:color="auto" w:fill="CCEEFF"/>
          </w:tcPr>
          <w:p>
            <w:pPr>
              <w:spacing w:after="0"/>
              <w:rPr>
                <w:sz w:val="17"/>
                <w:szCs w:val="17"/>
                <w:color w:val="auto"/>
              </w:rPr>
            </w:pPr>
          </w:p>
        </w:tc>
        <w:tc>
          <w:tcPr>
            <w:tcW w:w="900" w:type="dxa"/>
            <w:vAlign w:val="bottom"/>
            <w:tcBorders>
              <w:bottom w:val="single" w:sz="8" w:color="CCEEFF"/>
            </w:tcBorders>
            <w:shd w:val="clear" w:color="auto" w:fill="CCEEFF"/>
          </w:tcPr>
          <w:p>
            <w:pPr>
              <w:spacing w:after="0"/>
              <w:rPr>
                <w:sz w:val="17"/>
                <w:szCs w:val="17"/>
                <w:color w:val="auto"/>
              </w:rPr>
            </w:pPr>
          </w:p>
        </w:tc>
        <w:tc>
          <w:tcPr>
            <w:tcW w:w="120" w:type="dxa"/>
            <w:vAlign w:val="bottom"/>
            <w:tcBorders>
              <w:bottom w:val="single" w:sz="8" w:color="CCEEFF"/>
            </w:tcBorders>
            <w:shd w:val="clear" w:color="auto" w:fill="CCEEFF"/>
          </w:tcPr>
          <w:p>
            <w:pPr>
              <w:spacing w:after="0"/>
              <w:rPr>
                <w:sz w:val="17"/>
                <w:szCs w:val="17"/>
                <w:color w:val="auto"/>
              </w:rPr>
            </w:pPr>
          </w:p>
        </w:tc>
        <w:tc>
          <w:tcPr>
            <w:tcW w:w="220" w:type="dxa"/>
            <w:vAlign w:val="bottom"/>
            <w:tcBorders>
              <w:bottom w:val="single" w:sz="8" w:color="auto"/>
            </w:tcBorders>
            <w:shd w:val="clear" w:color="auto" w:fill="CCEEFF"/>
          </w:tcPr>
          <w:p>
            <w:pPr>
              <w:spacing w:after="0"/>
              <w:rPr>
                <w:sz w:val="17"/>
                <w:szCs w:val="17"/>
                <w:color w:val="auto"/>
              </w:rPr>
            </w:pPr>
          </w:p>
        </w:tc>
        <w:tc>
          <w:tcPr>
            <w:tcW w:w="860" w:type="dxa"/>
            <w:vAlign w:val="bottom"/>
            <w:tcBorders>
              <w:bottom w:val="single" w:sz="8" w:color="auto"/>
            </w:tcBorders>
            <w:shd w:val="clear" w:color="auto" w:fill="CCEEFF"/>
          </w:tcPr>
          <w:p>
            <w:pPr>
              <w:jc w:val="right"/>
              <w:ind w:right="30"/>
              <w:spacing w:after="0" w:line="196" w:lineRule="exact"/>
              <w:rPr>
                <w:sz w:val="20"/>
                <w:szCs w:val="20"/>
                <w:color w:val="auto"/>
              </w:rPr>
            </w:pPr>
            <w:r>
              <w:rPr>
                <w:rFonts w:ascii="Arial" w:cs="Arial" w:eastAsia="Arial" w:hAnsi="Arial"/>
                <w:sz w:val="18"/>
                <w:szCs w:val="18"/>
                <w:color w:val="auto"/>
              </w:rPr>
              <w:t>238</w:t>
            </w:r>
          </w:p>
        </w:tc>
        <w:tc>
          <w:tcPr>
            <w:tcW w:w="80" w:type="dxa"/>
            <w:vAlign w:val="bottom"/>
            <w:tcBorders>
              <w:bottom w:val="single" w:sz="8" w:color="CCEEFF"/>
            </w:tcBorders>
            <w:shd w:val="clear" w:color="auto" w:fill="CCEEFF"/>
          </w:tcPr>
          <w:p>
            <w:pPr>
              <w:spacing w:after="0"/>
              <w:rPr>
                <w:sz w:val="17"/>
                <w:szCs w:val="17"/>
                <w:color w:val="auto"/>
              </w:rPr>
            </w:pPr>
          </w:p>
        </w:tc>
        <w:tc>
          <w:tcPr>
            <w:tcW w:w="40" w:type="dxa"/>
            <w:vAlign w:val="bottom"/>
            <w:tcBorders>
              <w:bottom w:val="single" w:sz="8" w:color="CCEEFF"/>
            </w:tcBorders>
            <w:shd w:val="clear" w:color="auto" w:fill="CCEEFF"/>
          </w:tcPr>
          <w:p>
            <w:pPr>
              <w:spacing w:after="0"/>
              <w:rPr>
                <w:sz w:val="17"/>
                <w:szCs w:val="17"/>
                <w:color w:val="auto"/>
              </w:rPr>
            </w:pPr>
          </w:p>
        </w:tc>
        <w:tc>
          <w:tcPr>
            <w:tcW w:w="160" w:type="dxa"/>
            <w:vAlign w:val="bottom"/>
            <w:tcBorders>
              <w:bottom w:val="single" w:sz="8" w:color="CCEEFF"/>
            </w:tcBorders>
            <w:shd w:val="clear" w:color="auto" w:fill="CCEEFF"/>
          </w:tcPr>
          <w:p>
            <w:pPr>
              <w:spacing w:after="0"/>
              <w:rPr>
                <w:sz w:val="17"/>
                <w:szCs w:val="17"/>
                <w:color w:val="auto"/>
              </w:rPr>
            </w:pPr>
          </w:p>
        </w:tc>
        <w:tc>
          <w:tcPr>
            <w:tcW w:w="840" w:type="dxa"/>
            <w:vAlign w:val="bottom"/>
            <w:tcBorders>
              <w:bottom w:val="single" w:sz="8" w:color="CCEEFF"/>
            </w:tcBorders>
            <w:shd w:val="clear" w:color="auto" w:fill="CCEEFF"/>
          </w:tcPr>
          <w:p>
            <w:pPr>
              <w:spacing w:after="0"/>
              <w:rPr>
                <w:sz w:val="17"/>
                <w:szCs w:val="17"/>
                <w:color w:val="auto"/>
              </w:rPr>
            </w:pPr>
          </w:p>
        </w:tc>
        <w:tc>
          <w:tcPr>
            <w:tcW w:w="100" w:type="dxa"/>
            <w:vAlign w:val="bottom"/>
            <w:tcBorders>
              <w:bottom w:val="single" w:sz="8" w:color="CCEEFF"/>
            </w:tcBorders>
            <w:shd w:val="clear" w:color="auto" w:fill="CCEEFF"/>
          </w:tcPr>
          <w:p>
            <w:pPr>
              <w:spacing w:after="0"/>
              <w:rPr>
                <w:sz w:val="17"/>
                <w:szCs w:val="17"/>
                <w:color w:val="auto"/>
              </w:rPr>
            </w:pPr>
          </w:p>
        </w:tc>
        <w:tc>
          <w:tcPr>
            <w:tcW w:w="420" w:type="dxa"/>
            <w:vAlign w:val="bottom"/>
            <w:tcBorders>
              <w:bottom w:val="single" w:sz="8" w:color="CCEEFF"/>
            </w:tcBorders>
            <w:shd w:val="clear" w:color="auto" w:fill="CCEEFF"/>
          </w:tcPr>
          <w:p>
            <w:pPr>
              <w:spacing w:after="0"/>
              <w:rPr>
                <w:sz w:val="17"/>
                <w:szCs w:val="17"/>
                <w:color w:val="auto"/>
              </w:rPr>
            </w:pPr>
          </w:p>
        </w:tc>
        <w:tc>
          <w:tcPr>
            <w:tcW w:w="100" w:type="dxa"/>
            <w:vAlign w:val="bottom"/>
            <w:tcBorders>
              <w:bottom w:val="single" w:sz="8" w:color="CCEEFF"/>
            </w:tcBorders>
            <w:shd w:val="clear" w:color="auto" w:fill="CCEEFF"/>
          </w:tcPr>
          <w:p>
            <w:pPr>
              <w:spacing w:after="0"/>
              <w:rPr>
                <w:sz w:val="17"/>
                <w:szCs w:val="17"/>
                <w:color w:val="auto"/>
              </w:rPr>
            </w:pPr>
          </w:p>
        </w:tc>
        <w:tc>
          <w:tcPr>
            <w:tcW w:w="100" w:type="dxa"/>
            <w:vAlign w:val="bottom"/>
            <w:tcBorders>
              <w:bottom w:val="single" w:sz="8" w:color="CCEEFF"/>
            </w:tcBorders>
            <w:shd w:val="clear" w:color="auto" w:fill="CCEEFF"/>
          </w:tcPr>
          <w:p>
            <w:pPr>
              <w:spacing w:after="0"/>
              <w:rPr>
                <w:sz w:val="17"/>
                <w:szCs w:val="17"/>
                <w:color w:val="auto"/>
              </w:rPr>
            </w:pPr>
          </w:p>
        </w:tc>
        <w:tc>
          <w:tcPr>
            <w:tcW w:w="440" w:type="dxa"/>
            <w:vAlign w:val="bottom"/>
            <w:tcBorders>
              <w:bottom w:val="single" w:sz="8" w:color="CCEEFF"/>
            </w:tcBorders>
            <w:shd w:val="clear" w:color="auto" w:fill="CCEEFF"/>
          </w:tcPr>
          <w:p>
            <w:pPr>
              <w:spacing w:after="0"/>
              <w:rPr>
                <w:sz w:val="17"/>
                <w:szCs w:val="17"/>
                <w:color w:val="auto"/>
              </w:rPr>
            </w:pPr>
          </w:p>
        </w:tc>
        <w:tc>
          <w:tcPr>
            <w:tcW w:w="100" w:type="dxa"/>
            <w:vAlign w:val="bottom"/>
            <w:tcBorders>
              <w:bottom w:val="single" w:sz="8" w:color="CCEEFF"/>
            </w:tcBorders>
            <w:shd w:val="clear" w:color="auto" w:fill="CCEEFF"/>
          </w:tcPr>
          <w:p>
            <w:pPr>
              <w:spacing w:after="0"/>
              <w:rPr>
                <w:sz w:val="17"/>
                <w:szCs w:val="17"/>
                <w:color w:val="auto"/>
              </w:rPr>
            </w:pPr>
          </w:p>
        </w:tc>
        <w:tc>
          <w:tcPr>
            <w:tcW w:w="220" w:type="dxa"/>
            <w:vAlign w:val="bottom"/>
            <w:tcBorders>
              <w:bottom w:val="single" w:sz="8" w:color="auto"/>
            </w:tcBorders>
            <w:shd w:val="clear" w:color="auto" w:fill="CCEEFF"/>
          </w:tcPr>
          <w:p>
            <w:pPr>
              <w:spacing w:after="0"/>
              <w:rPr>
                <w:sz w:val="17"/>
                <w:szCs w:val="17"/>
                <w:color w:val="auto"/>
              </w:rPr>
            </w:pPr>
          </w:p>
        </w:tc>
        <w:tc>
          <w:tcPr>
            <w:tcW w:w="820" w:type="dxa"/>
            <w:vAlign w:val="bottom"/>
            <w:tcBorders>
              <w:bottom w:val="single" w:sz="8" w:color="auto"/>
            </w:tcBorders>
            <w:shd w:val="clear" w:color="auto" w:fill="CCEEFF"/>
          </w:tcPr>
          <w:p>
            <w:pPr>
              <w:jc w:val="right"/>
              <w:ind w:right="10"/>
              <w:spacing w:after="0" w:line="196" w:lineRule="exact"/>
              <w:rPr>
                <w:sz w:val="20"/>
                <w:szCs w:val="20"/>
                <w:color w:val="auto"/>
              </w:rPr>
            </w:pPr>
            <w:r>
              <w:rPr>
                <w:rFonts w:ascii="Arial" w:cs="Arial" w:eastAsia="Arial" w:hAnsi="Arial"/>
                <w:sz w:val="18"/>
                <w:szCs w:val="18"/>
                <w:color w:val="auto"/>
              </w:rPr>
              <w:t>254</w:t>
            </w:r>
          </w:p>
        </w:tc>
        <w:tc>
          <w:tcPr>
            <w:tcW w:w="0" w:type="dxa"/>
            <w:vAlign w:val="bottom"/>
          </w:tcPr>
          <w:p>
            <w:pPr>
              <w:spacing w:after="0"/>
              <w:rPr>
                <w:sz w:val="1"/>
                <w:szCs w:val="1"/>
                <w:color w:val="auto"/>
              </w:rPr>
            </w:pPr>
          </w:p>
        </w:tc>
      </w:tr>
      <w:tr>
        <w:trPr>
          <w:trHeight w:val="210"/>
        </w:trPr>
        <w:tc>
          <w:tcPr>
            <w:tcW w:w="2560" w:type="dxa"/>
            <w:vAlign w:val="bottom"/>
          </w:tcPr>
          <w:p>
            <w:pPr>
              <w:spacing w:after="0"/>
              <w:rPr>
                <w:sz w:val="20"/>
                <w:szCs w:val="20"/>
                <w:color w:val="auto"/>
              </w:rPr>
            </w:pPr>
            <w:r>
              <w:rPr>
                <w:rFonts w:ascii="Arial" w:cs="Arial" w:eastAsia="Arial" w:hAnsi="Arial"/>
                <w:sz w:val="18"/>
                <w:szCs w:val="18"/>
                <w:color w:val="auto"/>
              </w:rPr>
              <w:t>Total intangible assets</w:t>
            </w:r>
          </w:p>
        </w:tc>
        <w:tc>
          <w:tcPr>
            <w:tcW w:w="10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34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860" w:type="dxa"/>
            <w:vAlign w:val="bottom"/>
          </w:tcPr>
          <w:p>
            <w:pPr>
              <w:jc w:val="right"/>
              <w:ind w:right="30"/>
              <w:spacing w:after="0"/>
              <w:rPr>
                <w:sz w:val="20"/>
                <w:szCs w:val="20"/>
                <w:color w:val="auto"/>
              </w:rPr>
            </w:pPr>
            <w:r>
              <w:rPr>
                <w:rFonts w:ascii="Arial" w:cs="Arial" w:eastAsia="Arial" w:hAnsi="Arial"/>
                <w:sz w:val="18"/>
                <w:szCs w:val="18"/>
                <w:color w:val="auto"/>
              </w:rPr>
              <w:t>27,385</w:t>
            </w:r>
          </w:p>
        </w:tc>
        <w:tc>
          <w:tcPr>
            <w:tcW w:w="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32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820" w:type="dxa"/>
            <w:vAlign w:val="bottom"/>
          </w:tcPr>
          <w:p>
            <w:pPr>
              <w:jc w:val="right"/>
              <w:ind w:right="10"/>
              <w:spacing w:after="0"/>
              <w:rPr>
                <w:sz w:val="20"/>
                <w:szCs w:val="20"/>
                <w:color w:val="auto"/>
              </w:rPr>
            </w:pPr>
            <w:r>
              <w:rPr>
                <w:rFonts w:ascii="Arial" w:cs="Arial" w:eastAsia="Arial" w:hAnsi="Arial"/>
                <w:sz w:val="18"/>
                <w:szCs w:val="18"/>
                <w:color w:val="auto"/>
              </w:rPr>
              <w:t>33,151</w:t>
            </w:r>
          </w:p>
        </w:tc>
        <w:tc>
          <w:tcPr>
            <w:tcW w:w="0" w:type="dxa"/>
            <w:vAlign w:val="bottom"/>
          </w:tcPr>
          <w:p>
            <w:pPr>
              <w:spacing w:after="0"/>
              <w:rPr>
                <w:sz w:val="1"/>
                <w:szCs w:val="1"/>
                <w:color w:val="auto"/>
              </w:rPr>
            </w:pPr>
          </w:p>
        </w:tc>
      </w:tr>
      <w:tr>
        <w:trPr>
          <w:trHeight w:val="20"/>
        </w:trPr>
        <w:tc>
          <w:tcPr>
            <w:tcW w:w="256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ind w:left="660"/>
        <w:spacing w:after="0"/>
        <w:rPr>
          <w:sz w:val="20"/>
          <w:szCs w:val="20"/>
          <w:color w:val="auto"/>
        </w:rPr>
      </w:pPr>
      <w:r>
        <w:rPr>
          <w:rFonts w:ascii="Arial" w:cs="Arial" w:eastAsia="Arial" w:hAnsi="Arial"/>
          <w:sz w:val="18"/>
          <w:szCs w:val="18"/>
          <w:color w:val="auto"/>
        </w:rPr>
        <w:t>* Weighted average life in years as of December 31, 2021</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jc w:val="center"/>
        <w:ind w:right="80"/>
        <w:spacing w:after="0"/>
        <w:rPr>
          <w:sz w:val="20"/>
          <w:szCs w:val="20"/>
          <w:color w:val="auto"/>
        </w:rPr>
      </w:pPr>
      <w:r>
        <w:rPr>
          <w:rFonts w:ascii="Arial" w:cs="Arial" w:eastAsia="Arial" w:hAnsi="Arial"/>
          <w:sz w:val="18"/>
          <w:szCs w:val="18"/>
          <w:color w:val="auto"/>
        </w:rPr>
        <w:t>F- 15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320"/>
          </w:cols>
          <w:pgMar w:left="320" w:top="125" w:right="259" w:bottom="1440" w:gutter="0" w:footer="0" w:header="0"/>
        </w:sectPr>
      </w:pPr>
    </w:p>
    <w:bookmarkStart w:id="44" w:name="page45"/>
    <w:bookmarkEnd w:id="44"/>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52" w:lineRule="exact"/>
        <w:rPr>
          <w:sz w:val="20"/>
          <w:szCs w:val="20"/>
          <w:color w:val="auto"/>
        </w:rPr>
      </w:pPr>
    </w:p>
    <w:p>
      <w:pPr>
        <w:ind w:right="80" w:firstLine="648"/>
        <w:spacing w:after="0" w:line="308" w:lineRule="auto"/>
        <w:rPr>
          <w:sz w:val="20"/>
          <w:szCs w:val="20"/>
          <w:color w:val="auto"/>
        </w:rPr>
      </w:pPr>
      <w:r>
        <w:rPr>
          <w:rFonts w:ascii="Arial" w:cs="Arial" w:eastAsia="Arial" w:hAnsi="Arial"/>
          <w:sz w:val="17"/>
          <w:szCs w:val="17"/>
          <w:color w:val="auto"/>
        </w:rPr>
        <w:t>Intangible asset amortization expense was $5.8 million and $5.7 million of the years ended December 31, 2021 and 2020, respectively. Estimated amortization expense of existing amortizable intangible assets for each of the five succeeding years and thereafter is as follows:</w:t>
      </w:r>
    </w:p>
    <w:p>
      <w:pPr>
        <w:spacing w:after="0" w:line="142" w:lineRule="exact"/>
        <w:rPr>
          <w:sz w:val="20"/>
          <w:szCs w:val="20"/>
          <w:color w:val="auto"/>
        </w:rPr>
      </w:pPr>
    </w:p>
    <w:tbl>
      <w:tblPr>
        <w:tblLayout w:type="fixed"/>
        <w:tblInd w:w="660" w:type="dxa"/>
        <w:tblCellMar>
          <w:top w:w="0" w:type="dxa"/>
          <w:left w:w="0" w:type="dxa"/>
          <w:bottom w:w="0" w:type="dxa"/>
          <w:right w:w="0" w:type="dxa"/>
        </w:tblCellMar>
      </w:tblPr>
      <w:tr>
        <w:trPr>
          <w:trHeight w:val="216"/>
        </w:trPr>
        <w:tc>
          <w:tcPr>
            <w:tcW w:w="500" w:type="dxa"/>
            <w:vAlign w:val="bottom"/>
          </w:tcPr>
          <w:p>
            <w:pPr>
              <w:spacing w:after="0"/>
              <w:rPr>
                <w:sz w:val="18"/>
                <w:szCs w:val="18"/>
                <w:color w:val="auto"/>
              </w:rPr>
            </w:pPr>
          </w:p>
        </w:tc>
        <w:tc>
          <w:tcPr>
            <w:tcW w:w="686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2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580" w:type="dxa"/>
            <w:vAlign w:val="bottom"/>
            <w:gridSpan w:val="2"/>
          </w:tcPr>
          <w:p>
            <w:pPr>
              <w:jc w:val="center"/>
              <w:ind w:right="10"/>
              <w:spacing w:after="0"/>
              <w:rPr>
                <w:sz w:val="20"/>
                <w:szCs w:val="20"/>
                <w:color w:val="auto"/>
              </w:rPr>
            </w:pPr>
            <w:r>
              <w:rPr>
                <w:rFonts w:ascii="Arial" w:cs="Arial" w:eastAsia="Arial" w:hAnsi="Arial"/>
                <w:sz w:val="18"/>
                <w:szCs w:val="18"/>
                <w:b w:val="1"/>
                <w:bCs w:val="1"/>
                <w:color w:val="auto"/>
                <w:w w:val="94"/>
              </w:rPr>
              <w:t>Amortization</w:t>
            </w:r>
          </w:p>
        </w:tc>
      </w:tr>
      <w:tr>
        <w:trPr>
          <w:trHeight w:val="234"/>
        </w:trPr>
        <w:tc>
          <w:tcPr>
            <w:tcW w:w="7360" w:type="dxa"/>
            <w:vAlign w:val="bottom"/>
            <w:tcBorders>
              <w:bottom w:val="single" w:sz="8" w:color="auto"/>
            </w:tcBorders>
            <w:gridSpan w:val="2"/>
          </w:tcPr>
          <w:p>
            <w:pPr>
              <w:spacing w:after="0"/>
              <w:rPr>
                <w:sz w:val="20"/>
                <w:szCs w:val="20"/>
                <w:color w:val="auto"/>
              </w:rPr>
            </w:pPr>
            <w:r>
              <w:rPr>
                <w:rFonts w:ascii="Arial" w:cs="Arial" w:eastAsia="Arial" w:hAnsi="Arial"/>
                <w:sz w:val="18"/>
                <w:szCs w:val="18"/>
                <w:color w:val="auto"/>
              </w:rPr>
              <w:t>Year Ending December 31,</w:t>
            </w:r>
          </w:p>
        </w:tc>
        <w:tc>
          <w:tcPr>
            <w:tcW w:w="340" w:type="dxa"/>
            <w:vAlign w:val="bottom"/>
            <w:tcBorders>
              <w:bottom w:val="single" w:sz="8" w:color="auto"/>
            </w:tcBorders>
          </w:tcPr>
          <w:p>
            <w:pPr>
              <w:spacing w:after="0"/>
              <w:rPr>
                <w:sz w:val="20"/>
                <w:szCs w:val="20"/>
                <w:color w:val="auto"/>
              </w:rPr>
            </w:pPr>
          </w:p>
        </w:tc>
        <w:tc>
          <w:tcPr>
            <w:tcW w:w="1280" w:type="dxa"/>
            <w:vAlign w:val="bottom"/>
            <w:tcBorders>
              <w:bottom w:val="single" w:sz="8" w:color="auto"/>
            </w:tcBorders>
          </w:tcPr>
          <w:p>
            <w:pPr>
              <w:spacing w:after="0"/>
              <w:rPr>
                <w:sz w:val="20"/>
                <w:szCs w:val="20"/>
                <w:color w:val="auto"/>
              </w:rPr>
            </w:pPr>
          </w:p>
        </w:tc>
        <w:tc>
          <w:tcPr>
            <w:tcW w:w="80" w:type="dxa"/>
            <w:vAlign w:val="bottom"/>
            <w:tcBorders>
              <w:bottom w:val="single" w:sz="8" w:color="auto"/>
            </w:tcBorders>
          </w:tcPr>
          <w:p>
            <w:pPr>
              <w:spacing w:after="0"/>
              <w:rPr>
                <w:sz w:val="20"/>
                <w:szCs w:val="20"/>
                <w:color w:val="auto"/>
              </w:rPr>
            </w:pPr>
          </w:p>
        </w:tc>
        <w:tc>
          <w:tcPr>
            <w:tcW w:w="20" w:type="dxa"/>
            <w:vAlign w:val="bottom"/>
            <w:tcBorders>
              <w:bottom w:val="single" w:sz="8" w:color="auto"/>
            </w:tcBorders>
          </w:tcPr>
          <w:p>
            <w:pPr>
              <w:spacing w:after="0"/>
              <w:rPr>
                <w:sz w:val="20"/>
                <w:szCs w:val="20"/>
                <w:color w:val="auto"/>
              </w:rPr>
            </w:pPr>
          </w:p>
        </w:tc>
        <w:tc>
          <w:tcPr>
            <w:tcW w:w="420" w:type="dxa"/>
            <w:vAlign w:val="bottom"/>
            <w:tcBorders>
              <w:bottom w:val="single" w:sz="8" w:color="auto"/>
            </w:tcBorders>
          </w:tcPr>
          <w:p>
            <w:pPr>
              <w:spacing w:after="0"/>
              <w:rPr>
                <w:sz w:val="20"/>
                <w:szCs w:val="20"/>
                <w:color w:val="auto"/>
              </w:rPr>
            </w:pPr>
          </w:p>
        </w:tc>
        <w:tc>
          <w:tcPr>
            <w:tcW w:w="1160" w:type="dxa"/>
            <w:vAlign w:val="bottom"/>
            <w:tcBorders>
              <w:bottom w:val="single" w:sz="8" w:color="auto"/>
            </w:tcBorders>
          </w:tcPr>
          <w:p>
            <w:pPr>
              <w:jc w:val="center"/>
              <w:ind w:right="430"/>
              <w:spacing w:after="0"/>
              <w:rPr>
                <w:sz w:val="20"/>
                <w:szCs w:val="20"/>
                <w:color w:val="auto"/>
              </w:rPr>
            </w:pPr>
            <w:r>
              <w:rPr>
                <w:rFonts w:ascii="Arial" w:cs="Arial" w:eastAsia="Arial" w:hAnsi="Arial"/>
                <w:sz w:val="18"/>
                <w:szCs w:val="18"/>
                <w:b w:val="1"/>
                <w:bCs w:val="1"/>
                <w:color w:val="auto"/>
                <w:w w:val="86"/>
              </w:rPr>
              <w:t>Expense</w:t>
            </w:r>
          </w:p>
        </w:tc>
      </w:tr>
      <w:tr>
        <w:trPr>
          <w:trHeight w:val="210"/>
        </w:trPr>
        <w:tc>
          <w:tcPr>
            <w:tcW w:w="7360" w:type="dxa"/>
            <w:vAlign w:val="bottom"/>
            <w:gridSpan w:val="2"/>
          </w:tcPr>
          <w:p>
            <w:pPr>
              <w:spacing w:after="0"/>
              <w:rPr>
                <w:sz w:val="20"/>
                <w:szCs w:val="20"/>
                <w:color w:val="auto"/>
              </w:rPr>
            </w:pPr>
            <w:r>
              <w:rPr>
                <w:rFonts w:ascii="Arial" w:cs="Arial" w:eastAsia="Arial" w:hAnsi="Arial"/>
                <w:sz w:val="18"/>
                <w:szCs w:val="18"/>
                <w:color w:val="auto"/>
              </w:rPr>
              <w:t>(in thousands)</w:t>
            </w:r>
          </w:p>
        </w:tc>
        <w:tc>
          <w:tcPr>
            <w:tcW w:w="340" w:type="dxa"/>
            <w:vAlign w:val="bottom"/>
          </w:tcPr>
          <w:p>
            <w:pPr>
              <w:spacing w:after="0"/>
              <w:rPr>
                <w:sz w:val="18"/>
                <w:szCs w:val="18"/>
                <w:color w:val="auto"/>
              </w:rPr>
            </w:pPr>
          </w:p>
        </w:tc>
        <w:tc>
          <w:tcPr>
            <w:tcW w:w="12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160" w:type="dxa"/>
            <w:vAlign w:val="bottom"/>
          </w:tcPr>
          <w:p>
            <w:pPr>
              <w:spacing w:after="0"/>
              <w:rPr>
                <w:sz w:val="18"/>
                <w:szCs w:val="18"/>
                <w:color w:val="auto"/>
              </w:rPr>
            </w:pPr>
          </w:p>
        </w:tc>
      </w:tr>
      <w:tr>
        <w:trPr>
          <w:trHeight w:val="216"/>
        </w:trPr>
        <w:tc>
          <w:tcPr>
            <w:tcW w:w="500" w:type="dxa"/>
            <w:vAlign w:val="bottom"/>
            <w:shd w:val="clear" w:color="auto" w:fill="CCEEFF"/>
          </w:tcPr>
          <w:p>
            <w:pPr>
              <w:spacing w:after="0"/>
              <w:rPr>
                <w:sz w:val="20"/>
                <w:szCs w:val="20"/>
                <w:color w:val="auto"/>
              </w:rPr>
            </w:pPr>
            <w:r>
              <w:rPr>
                <w:rFonts w:ascii="Arial" w:cs="Arial" w:eastAsia="Arial" w:hAnsi="Arial"/>
                <w:sz w:val="18"/>
                <w:szCs w:val="18"/>
                <w:color w:val="auto"/>
              </w:rPr>
              <w:t>2022</w:t>
            </w:r>
          </w:p>
        </w:tc>
        <w:tc>
          <w:tcPr>
            <w:tcW w:w="686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2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440" w:type="dxa"/>
            <w:vAlign w:val="bottom"/>
            <w:gridSpan w:val="2"/>
            <w:shd w:val="clear" w:color="auto" w:fill="CCEEFF"/>
          </w:tcPr>
          <w:p>
            <w:pPr>
              <w:jc w:val="right"/>
              <w:ind w:right="250"/>
              <w:spacing w:after="0"/>
              <w:rPr>
                <w:sz w:val="20"/>
                <w:szCs w:val="20"/>
                <w:color w:val="auto"/>
              </w:rPr>
            </w:pPr>
            <w:r>
              <w:rPr>
                <w:rFonts w:ascii="Arial" w:cs="Arial" w:eastAsia="Arial" w:hAnsi="Arial"/>
                <w:sz w:val="18"/>
                <w:szCs w:val="18"/>
                <w:color w:val="auto"/>
                <w:w w:val="79"/>
              </w:rPr>
              <w:t>$</w:t>
            </w:r>
          </w:p>
        </w:tc>
        <w:tc>
          <w:tcPr>
            <w:tcW w:w="116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5,766</w:t>
            </w:r>
          </w:p>
        </w:tc>
      </w:tr>
      <w:tr>
        <w:trPr>
          <w:trHeight w:val="216"/>
        </w:trPr>
        <w:tc>
          <w:tcPr>
            <w:tcW w:w="500" w:type="dxa"/>
            <w:vAlign w:val="bottom"/>
          </w:tcPr>
          <w:p>
            <w:pPr>
              <w:spacing w:after="0"/>
              <w:rPr>
                <w:sz w:val="20"/>
                <w:szCs w:val="20"/>
                <w:color w:val="auto"/>
              </w:rPr>
            </w:pPr>
            <w:r>
              <w:rPr>
                <w:rFonts w:ascii="Arial" w:cs="Arial" w:eastAsia="Arial" w:hAnsi="Arial"/>
                <w:sz w:val="18"/>
                <w:szCs w:val="18"/>
                <w:color w:val="auto"/>
              </w:rPr>
              <w:t>2023</w:t>
            </w:r>
          </w:p>
        </w:tc>
        <w:tc>
          <w:tcPr>
            <w:tcW w:w="686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2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160" w:type="dxa"/>
            <w:vAlign w:val="bottom"/>
          </w:tcPr>
          <w:p>
            <w:pPr>
              <w:jc w:val="right"/>
              <w:ind w:right="10"/>
              <w:spacing w:after="0"/>
              <w:rPr>
                <w:sz w:val="20"/>
                <w:szCs w:val="20"/>
                <w:color w:val="auto"/>
              </w:rPr>
            </w:pPr>
            <w:r>
              <w:rPr>
                <w:rFonts w:ascii="Arial" w:cs="Arial" w:eastAsia="Arial" w:hAnsi="Arial"/>
                <w:sz w:val="18"/>
                <w:szCs w:val="18"/>
                <w:color w:val="auto"/>
              </w:rPr>
              <w:t>5,661</w:t>
            </w:r>
          </w:p>
        </w:tc>
      </w:tr>
      <w:tr>
        <w:trPr>
          <w:trHeight w:val="216"/>
        </w:trPr>
        <w:tc>
          <w:tcPr>
            <w:tcW w:w="500" w:type="dxa"/>
            <w:vAlign w:val="bottom"/>
            <w:shd w:val="clear" w:color="auto" w:fill="CCEEFF"/>
          </w:tcPr>
          <w:p>
            <w:pPr>
              <w:spacing w:after="0"/>
              <w:rPr>
                <w:sz w:val="20"/>
                <w:szCs w:val="20"/>
                <w:color w:val="auto"/>
              </w:rPr>
            </w:pPr>
            <w:r>
              <w:rPr>
                <w:rFonts w:ascii="Arial" w:cs="Arial" w:eastAsia="Arial" w:hAnsi="Arial"/>
                <w:sz w:val="18"/>
                <w:szCs w:val="18"/>
                <w:color w:val="auto"/>
              </w:rPr>
              <w:t>2024</w:t>
            </w:r>
          </w:p>
        </w:tc>
        <w:tc>
          <w:tcPr>
            <w:tcW w:w="686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2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116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5,359</w:t>
            </w:r>
          </w:p>
        </w:tc>
      </w:tr>
      <w:tr>
        <w:trPr>
          <w:trHeight w:val="216"/>
        </w:trPr>
        <w:tc>
          <w:tcPr>
            <w:tcW w:w="500" w:type="dxa"/>
            <w:vAlign w:val="bottom"/>
          </w:tcPr>
          <w:p>
            <w:pPr>
              <w:spacing w:after="0"/>
              <w:rPr>
                <w:sz w:val="20"/>
                <w:szCs w:val="20"/>
                <w:color w:val="auto"/>
              </w:rPr>
            </w:pPr>
            <w:r>
              <w:rPr>
                <w:rFonts w:ascii="Arial" w:cs="Arial" w:eastAsia="Arial" w:hAnsi="Arial"/>
                <w:sz w:val="18"/>
                <w:szCs w:val="18"/>
                <w:color w:val="auto"/>
              </w:rPr>
              <w:t>2025</w:t>
            </w:r>
          </w:p>
        </w:tc>
        <w:tc>
          <w:tcPr>
            <w:tcW w:w="686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2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160" w:type="dxa"/>
            <w:vAlign w:val="bottom"/>
          </w:tcPr>
          <w:p>
            <w:pPr>
              <w:jc w:val="right"/>
              <w:ind w:right="10"/>
              <w:spacing w:after="0"/>
              <w:rPr>
                <w:sz w:val="20"/>
                <w:szCs w:val="20"/>
                <w:color w:val="auto"/>
              </w:rPr>
            </w:pPr>
            <w:r>
              <w:rPr>
                <w:rFonts w:ascii="Arial" w:cs="Arial" w:eastAsia="Arial" w:hAnsi="Arial"/>
                <w:sz w:val="18"/>
                <w:szCs w:val="18"/>
                <w:color w:val="auto"/>
              </w:rPr>
              <w:t>4,262</w:t>
            </w:r>
          </w:p>
        </w:tc>
      </w:tr>
      <w:tr>
        <w:trPr>
          <w:trHeight w:val="216"/>
        </w:trPr>
        <w:tc>
          <w:tcPr>
            <w:tcW w:w="500" w:type="dxa"/>
            <w:vAlign w:val="bottom"/>
            <w:shd w:val="clear" w:color="auto" w:fill="CCEEFF"/>
          </w:tcPr>
          <w:p>
            <w:pPr>
              <w:spacing w:after="0"/>
              <w:rPr>
                <w:sz w:val="20"/>
                <w:szCs w:val="20"/>
                <w:color w:val="auto"/>
              </w:rPr>
            </w:pPr>
            <w:r>
              <w:rPr>
                <w:rFonts w:ascii="Arial" w:cs="Arial" w:eastAsia="Arial" w:hAnsi="Arial"/>
                <w:sz w:val="18"/>
                <w:szCs w:val="18"/>
                <w:color w:val="auto"/>
              </w:rPr>
              <w:t>2026</w:t>
            </w:r>
          </w:p>
        </w:tc>
        <w:tc>
          <w:tcPr>
            <w:tcW w:w="686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2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116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2,452</w:t>
            </w:r>
          </w:p>
        </w:tc>
      </w:tr>
      <w:tr>
        <w:trPr>
          <w:trHeight w:val="216"/>
        </w:trPr>
        <w:tc>
          <w:tcPr>
            <w:tcW w:w="7360" w:type="dxa"/>
            <w:vAlign w:val="bottom"/>
            <w:gridSpan w:val="2"/>
          </w:tcPr>
          <w:p>
            <w:pPr>
              <w:spacing w:after="0"/>
              <w:rPr>
                <w:sz w:val="20"/>
                <w:szCs w:val="20"/>
                <w:color w:val="auto"/>
              </w:rPr>
            </w:pPr>
            <w:r>
              <w:rPr>
                <w:rFonts w:ascii="Arial" w:cs="Arial" w:eastAsia="Arial" w:hAnsi="Arial"/>
                <w:sz w:val="18"/>
                <w:szCs w:val="18"/>
                <w:color w:val="auto"/>
              </w:rPr>
              <w:t>Thereafter</w:t>
            </w:r>
          </w:p>
        </w:tc>
        <w:tc>
          <w:tcPr>
            <w:tcW w:w="340" w:type="dxa"/>
            <w:vAlign w:val="bottom"/>
          </w:tcPr>
          <w:p>
            <w:pPr>
              <w:spacing w:after="0"/>
              <w:rPr>
                <w:sz w:val="18"/>
                <w:szCs w:val="18"/>
                <w:color w:val="auto"/>
              </w:rPr>
            </w:pPr>
          </w:p>
        </w:tc>
        <w:tc>
          <w:tcPr>
            <w:tcW w:w="12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 w:type="dxa"/>
            <w:vAlign w:val="bottom"/>
            <w:tcBorders>
              <w:bottom w:val="single" w:sz="8" w:color="auto"/>
            </w:tcBorders>
          </w:tcPr>
          <w:p>
            <w:pPr>
              <w:spacing w:after="0"/>
              <w:rPr>
                <w:sz w:val="18"/>
                <w:szCs w:val="18"/>
                <w:color w:val="auto"/>
              </w:rPr>
            </w:pPr>
          </w:p>
        </w:tc>
        <w:tc>
          <w:tcPr>
            <w:tcW w:w="420" w:type="dxa"/>
            <w:vAlign w:val="bottom"/>
            <w:tcBorders>
              <w:bottom w:val="single" w:sz="8" w:color="auto"/>
            </w:tcBorders>
          </w:tcPr>
          <w:p>
            <w:pPr>
              <w:spacing w:after="0"/>
              <w:rPr>
                <w:sz w:val="18"/>
                <w:szCs w:val="18"/>
                <w:color w:val="auto"/>
              </w:rPr>
            </w:pPr>
          </w:p>
        </w:tc>
        <w:tc>
          <w:tcPr>
            <w:tcW w:w="116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3,647</w:t>
            </w:r>
          </w:p>
        </w:tc>
      </w:tr>
      <w:tr>
        <w:trPr>
          <w:trHeight w:val="249"/>
        </w:trPr>
        <w:tc>
          <w:tcPr>
            <w:tcW w:w="50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Total</w:t>
            </w:r>
          </w:p>
        </w:tc>
        <w:tc>
          <w:tcPr>
            <w:tcW w:w="686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440" w:type="dxa"/>
            <w:vAlign w:val="bottom"/>
            <w:tcBorders>
              <w:bottom w:val="single" w:sz="8" w:color="auto"/>
            </w:tcBorders>
            <w:gridSpan w:val="2"/>
            <w:shd w:val="clear" w:color="auto" w:fill="CCEEFF"/>
          </w:tcPr>
          <w:p>
            <w:pPr>
              <w:jc w:val="right"/>
              <w:ind w:right="250"/>
              <w:spacing w:after="0"/>
              <w:rPr>
                <w:sz w:val="20"/>
                <w:szCs w:val="20"/>
                <w:color w:val="auto"/>
              </w:rPr>
            </w:pPr>
            <w:r>
              <w:rPr>
                <w:rFonts w:ascii="Arial" w:cs="Arial" w:eastAsia="Arial" w:hAnsi="Arial"/>
                <w:sz w:val="18"/>
                <w:szCs w:val="18"/>
                <w:color w:val="auto"/>
                <w:w w:val="79"/>
              </w:rPr>
              <w:t>$</w:t>
            </w:r>
          </w:p>
        </w:tc>
        <w:tc>
          <w:tcPr>
            <w:tcW w:w="116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27,147</w:t>
            </w:r>
          </w:p>
        </w:tc>
      </w:tr>
      <w:tr>
        <w:trPr>
          <w:trHeight w:val="656"/>
        </w:trPr>
        <w:tc>
          <w:tcPr>
            <w:tcW w:w="500" w:type="dxa"/>
            <w:vAlign w:val="bottom"/>
          </w:tcPr>
          <w:p>
            <w:pPr>
              <w:spacing w:after="0"/>
              <w:rPr>
                <w:sz w:val="20"/>
                <w:szCs w:val="20"/>
                <w:color w:val="auto"/>
              </w:rPr>
            </w:pPr>
            <w:r>
              <w:rPr>
                <w:rFonts w:ascii="Arial" w:cs="Arial" w:eastAsia="Arial" w:hAnsi="Arial"/>
                <w:sz w:val="18"/>
                <w:szCs w:val="18"/>
                <w:b w:val="1"/>
                <w:bCs w:val="1"/>
                <w:color w:val="auto"/>
              </w:rPr>
              <w:t>5.</w:t>
            </w:r>
          </w:p>
        </w:tc>
        <w:tc>
          <w:tcPr>
            <w:tcW w:w="6860" w:type="dxa"/>
            <w:vAlign w:val="bottom"/>
          </w:tcPr>
          <w:p>
            <w:pPr>
              <w:ind w:left="140"/>
              <w:spacing w:after="0"/>
              <w:rPr>
                <w:sz w:val="20"/>
                <w:szCs w:val="20"/>
                <w:color w:val="auto"/>
              </w:rPr>
            </w:pPr>
            <w:r>
              <w:rPr>
                <w:rFonts w:ascii="Arial" w:cs="Arial" w:eastAsia="Arial" w:hAnsi="Arial"/>
                <w:sz w:val="18"/>
                <w:szCs w:val="18"/>
                <w:b w:val="1"/>
                <w:bCs w:val="1"/>
                <w:color w:val="auto"/>
              </w:rPr>
              <w:t>Balance Sheet Information</w:t>
            </w:r>
          </w:p>
        </w:tc>
        <w:tc>
          <w:tcPr>
            <w:tcW w:w="34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1160" w:type="dxa"/>
            <w:vAlign w:val="bottom"/>
          </w:tcPr>
          <w:p>
            <w:pPr>
              <w:spacing w:after="0"/>
              <w:rPr>
                <w:sz w:val="24"/>
                <w:szCs w:val="24"/>
                <w:color w:val="auto"/>
              </w:rPr>
            </w:pPr>
          </w:p>
        </w:tc>
      </w:tr>
      <w:tr>
        <w:trPr>
          <w:trHeight w:val="459"/>
        </w:trPr>
        <w:tc>
          <w:tcPr>
            <w:tcW w:w="7360" w:type="dxa"/>
            <w:vAlign w:val="bottom"/>
            <w:gridSpan w:val="2"/>
          </w:tcPr>
          <w:p>
            <w:pPr>
              <w:spacing w:after="0"/>
              <w:rPr>
                <w:sz w:val="20"/>
                <w:szCs w:val="20"/>
                <w:color w:val="auto"/>
              </w:rPr>
            </w:pPr>
            <w:r>
              <w:rPr>
                <w:rFonts w:ascii="Arial" w:cs="Arial" w:eastAsia="Arial" w:hAnsi="Arial"/>
                <w:sz w:val="18"/>
                <w:szCs w:val="18"/>
                <w:color w:val="auto"/>
                <w:w w:val="96"/>
              </w:rPr>
              <w:t>The following tables provide details of selected balance sheet items as of the periods indicated:</w:t>
            </w:r>
          </w:p>
        </w:tc>
        <w:tc>
          <w:tcPr>
            <w:tcW w:w="34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1160" w:type="dxa"/>
            <w:vAlign w:val="bottom"/>
          </w:tcPr>
          <w:p>
            <w:pPr>
              <w:spacing w:after="0"/>
              <w:rPr>
                <w:sz w:val="24"/>
                <w:szCs w:val="24"/>
                <w:color w:val="auto"/>
              </w:rPr>
            </w:pPr>
          </w:p>
        </w:tc>
      </w:tr>
      <w:tr>
        <w:trPr>
          <w:trHeight w:val="432"/>
        </w:trPr>
        <w:tc>
          <w:tcPr>
            <w:tcW w:w="7360" w:type="dxa"/>
            <w:vAlign w:val="bottom"/>
            <w:gridSpan w:val="2"/>
          </w:tcPr>
          <w:p>
            <w:pPr>
              <w:spacing w:after="0"/>
              <w:rPr>
                <w:sz w:val="20"/>
                <w:szCs w:val="20"/>
                <w:color w:val="auto"/>
              </w:rPr>
            </w:pPr>
            <w:r>
              <w:rPr>
                <w:rFonts w:ascii="Arial" w:cs="Arial" w:eastAsia="Arial" w:hAnsi="Arial"/>
                <w:sz w:val="18"/>
                <w:szCs w:val="18"/>
                <w:b w:val="1"/>
                <w:bCs w:val="1"/>
                <w:i w:val="1"/>
                <w:iCs w:val="1"/>
                <w:color w:val="auto"/>
              </w:rPr>
              <w:t>Inventories:</w:t>
            </w:r>
          </w:p>
        </w:tc>
        <w:tc>
          <w:tcPr>
            <w:tcW w:w="340" w:type="dxa"/>
            <w:vAlign w:val="bottom"/>
            <w:tcBorders>
              <w:bottom w:val="single" w:sz="8" w:color="auto"/>
            </w:tcBorders>
          </w:tcPr>
          <w:p>
            <w:pPr>
              <w:spacing w:after="0"/>
              <w:rPr>
                <w:sz w:val="24"/>
                <w:szCs w:val="24"/>
                <w:color w:val="auto"/>
              </w:rPr>
            </w:pPr>
          </w:p>
        </w:tc>
        <w:tc>
          <w:tcPr>
            <w:tcW w:w="1800" w:type="dxa"/>
            <w:vAlign w:val="bottom"/>
            <w:tcBorders>
              <w:bottom w:val="single" w:sz="8" w:color="auto"/>
            </w:tcBorders>
            <w:gridSpan w:val="4"/>
          </w:tcPr>
          <w:p>
            <w:pPr>
              <w:jc w:val="right"/>
              <w:spacing w:after="0"/>
              <w:rPr>
                <w:sz w:val="20"/>
                <w:szCs w:val="20"/>
                <w:color w:val="auto"/>
              </w:rPr>
            </w:pPr>
            <w:r>
              <w:rPr>
                <w:rFonts w:ascii="Arial" w:cs="Arial" w:eastAsia="Arial" w:hAnsi="Arial"/>
                <w:sz w:val="18"/>
                <w:szCs w:val="18"/>
                <w:b w:val="1"/>
                <w:bCs w:val="1"/>
                <w:color w:val="auto"/>
              </w:rPr>
              <w:t>December 31,</w:t>
            </w:r>
          </w:p>
        </w:tc>
        <w:tc>
          <w:tcPr>
            <w:tcW w:w="1160" w:type="dxa"/>
            <w:vAlign w:val="bottom"/>
            <w:tcBorders>
              <w:bottom w:val="single" w:sz="8" w:color="auto"/>
            </w:tcBorders>
          </w:tcPr>
          <w:p>
            <w:pPr>
              <w:spacing w:after="0"/>
              <w:rPr>
                <w:sz w:val="24"/>
                <w:szCs w:val="24"/>
                <w:color w:val="auto"/>
              </w:rPr>
            </w:pPr>
          </w:p>
        </w:tc>
      </w:tr>
      <w:tr>
        <w:trPr>
          <w:trHeight w:val="209"/>
        </w:trPr>
        <w:tc>
          <w:tcPr>
            <w:tcW w:w="7360" w:type="dxa"/>
            <w:vAlign w:val="bottom"/>
            <w:gridSpan w:val="2"/>
          </w:tcPr>
          <w:p>
            <w:pPr>
              <w:spacing w:after="0"/>
              <w:rPr>
                <w:sz w:val="20"/>
                <w:szCs w:val="20"/>
                <w:color w:val="auto"/>
              </w:rPr>
            </w:pPr>
            <w:r>
              <w:rPr>
                <w:rFonts w:ascii="Arial" w:cs="Arial" w:eastAsia="Arial" w:hAnsi="Arial"/>
                <w:sz w:val="18"/>
                <w:szCs w:val="18"/>
                <w:color w:val="auto"/>
              </w:rPr>
              <w:t>(in thousands)</w:t>
            </w:r>
          </w:p>
        </w:tc>
        <w:tc>
          <w:tcPr>
            <w:tcW w:w="340" w:type="dxa"/>
            <w:vAlign w:val="bottom"/>
            <w:tcBorders>
              <w:bottom w:val="single" w:sz="8" w:color="auto"/>
            </w:tcBorders>
          </w:tcPr>
          <w:p>
            <w:pPr>
              <w:spacing w:after="0"/>
              <w:rPr>
                <w:sz w:val="18"/>
                <w:szCs w:val="18"/>
                <w:color w:val="auto"/>
              </w:rPr>
            </w:pPr>
          </w:p>
        </w:tc>
        <w:tc>
          <w:tcPr>
            <w:tcW w:w="1280" w:type="dxa"/>
            <w:vAlign w:val="bottom"/>
            <w:tcBorders>
              <w:bottom w:val="single" w:sz="8" w:color="auto"/>
            </w:tcBorders>
          </w:tcPr>
          <w:p>
            <w:pPr>
              <w:jc w:val="right"/>
              <w:ind w:right="590"/>
              <w:spacing w:after="0"/>
              <w:rPr>
                <w:sz w:val="20"/>
                <w:szCs w:val="20"/>
                <w:color w:val="auto"/>
              </w:rPr>
            </w:pPr>
            <w:r>
              <w:rPr>
                <w:rFonts w:ascii="Arial" w:cs="Arial" w:eastAsia="Arial" w:hAnsi="Arial"/>
                <w:sz w:val="18"/>
                <w:szCs w:val="18"/>
                <w:b w:val="1"/>
                <w:bCs w:val="1"/>
                <w:color w:val="auto"/>
              </w:rPr>
              <w:t>2021</w:t>
            </w: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420" w:type="dxa"/>
            <w:vAlign w:val="bottom"/>
            <w:tcBorders>
              <w:bottom w:val="single" w:sz="8" w:color="auto"/>
            </w:tcBorders>
          </w:tcPr>
          <w:p>
            <w:pPr>
              <w:spacing w:after="0"/>
              <w:rPr>
                <w:sz w:val="18"/>
                <w:szCs w:val="18"/>
                <w:color w:val="auto"/>
              </w:rPr>
            </w:pPr>
          </w:p>
        </w:tc>
        <w:tc>
          <w:tcPr>
            <w:tcW w:w="1160" w:type="dxa"/>
            <w:vAlign w:val="bottom"/>
            <w:tcBorders>
              <w:bottom w:val="single" w:sz="8" w:color="auto"/>
            </w:tcBorders>
          </w:tcPr>
          <w:p>
            <w:pPr>
              <w:jc w:val="center"/>
              <w:ind w:right="430"/>
              <w:spacing w:after="0"/>
              <w:rPr>
                <w:sz w:val="20"/>
                <w:szCs w:val="20"/>
                <w:color w:val="auto"/>
              </w:rPr>
            </w:pPr>
            <w:r>
              <w:rPr>
                <w:rFonts w:ascii="Arial" w:cs="Arial" w:eastAsia="Arial" w:hAnsi="Arial"/>
                <w:sz w:val="18"/>
                <w:szCs w:val="18"/>
                <w:b w:val="1"/>
                <w:bCs w:val="1"/>
                <w:color w:val="auto"/>
                <w:w w:val="89"/>
              </w:rPr>
              <w:t>2020</w:t>
            </w:r>
          </w:p>
        </w:tc>
      </w:tr>
      <w:tr>
        <w:trPr>
          <w:trHeight w:val="209"/>
        </w:trPr>
        <w:tc>
          <w:tcPr>
            <w:tcW w:w="73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Finished goods</w:t>
            </w:r>
          </w:p>
        </w:tc>
        <w:tc>
          <w:tcPr>
            <w:tcW w:w="340" w:type="dxa"/>
            <w:vAlign w:val="bottom"/>
            <w:shd w:val="clear" w:color="auto" w:fill="CCEEFF"/>
          </w:tcPr>
          <w:p>
            <w:pPr>
              <w:jc w:val="right"/>
              <w:ind w:right="150"/>
              <w:spacing w:after="0"/>
              <w:rPr>
                <w:sz w:val="20"/>
                <w:szCs w:val="20"/>
                <w:color w:val="auto"/>
              </w:rPr>
            </w:pPr>
            <w:r>
              <w:rPr>
                <w:rFonts w:ascii="Arial" w:cs="Arial" w:eastAsia="Arial" w:hAnsi="Arial"/>
                <w:sz w:val="18"/>
                <w:szCs w:val="18"/>
                <w:color w:val="auto"/>
                <w:w w:val="79"/>
              </w:rPr>
              <w:t>$</w:t>
            </w:r>
          </w:p>
        </w:tc>
        <w:tc>
          <w:tcPr>
            <w:tcW w:w="128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5,646</w:t>
            </w:r>
          </w:p>
        </w:tc>
        <w:tc>
          <w:tcPr>
            <w:tcW w:w="80" w:type="dxa"/>
            <w:vAlign w:val="bottom"/>
            <w:shd w:val="clear" w:color="auto" w:fill="CCEEFF"/>
          </w:tcPr>
          <w:p>
            <w:pPr>
              <w:spacing w:after="0"/>
              <w:rPr>
                <w:sz w:val="18"/>
                <w:szCs w:val="18"/>
                <w:color w:val="auto"/>
              </w:rPr>
            </w:pPr>
          </w:p>
        </w:tc>
        <w:tc>
          <w:tcPr>
            <w:tcW w:w="440" w:type="dxa"/>
            <w:vAlign w:val="bottom"/>
            <w:gridSpan w:val="2"/>
            <w:shd w:val="clear" w:color="auto" w:fill="CCEEFF"/>
          </w:tcPr>
          <w:p>
            <w:pPr>
              <w:jc w:val="right"/>
              <w:ind w:right="230"/>
              <w:spacing w:after="0"/>
              <w:rPr>
                <w:sz w:val="20"/>
                <w:szCs w:val="20"/>
                <w:color w:val="auto"/>
              </w:rPr>
            </w:pPr>
            <w:r>
              <w:rPr>
                <w:rFonts w:ascii="Arial" w:cs="Arial" w:eastAsia="Arial" w:hAnsi="Arial"/>
                <w:sz w:val="18"/>
                <w:szCs w:val="18"/>
                <w:color w:val="auto"/>
                <w:w w:val="99"/>
              </w:rPr>
              <w:t>$</w:t>
            </w:r>
          </w:p>
        </w:tc>
        <w:tc>
          <w:tcPr>
            <w:tcW w:w="116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4,938</w:t>
            </w:r>
          </w:p>
        </w:tc>
      </w:tr>
      <w:tr>
        <w:trPr>
          <w:trHeight w:val="216"/>
        </w:trPr>
        <w:tc>
          <w:tcPr>
            <w:tcW w:w="7360" w:type="dxa"/>
            <w:vAlign w:val="bottom"/>
            <w:gridSpan w:val="2"/>
          </w:tcPr>
          <w:p>
            <w:pPr>
              <w:spacing w:after="0"/>
              <w:rPr>
                <w:sz w:val="20"/>
                <w:szCs w:val="20"/>
                <w:color w:val="auto"/>
              </w:rPr>
            </w:pPr>
            <w:r>
              <w:rPr>
                <w:rFonts w:ascii="Arial" w:cs="Arial" w:eastAsia="Arial" w:hAnsi="Arial"/>
                <w:sz w:val="18"/>
                <w:szCs w:val="18"/>
                <w:color w:val="auto"/>
              </w:rPr>
              <w:t>Work in process</w:t>
            </w:r>
          </w:p>
        </w:tc>
        <w:tc>
          <w:tcPr>
            <w:tcW w:w="340" w:type="dxa"/>
            <w:vAlign w:val="bottom"/>
          </w:tcPr>
          <w:p>
            <w:pPr>
              <w:spacing w:after="0"/>
              <w:rPr>
                <w:sz w:val="18"/>
                <w:szCs w:val="18"/>
                <w:color w:val="auto"/>
              </w:rPr>
            </w:pPr>
          </w:p>
        </w:tc>
        <w:tc>
          <w:tcPr>
            <w:tcW w:w="1280" w:type="dxa"/>
            <w:vAlign w:val="bottom"/>
          </w:tcPr>
          <w:p>
            <w:pPr>
              <w:jc w:val="right"/>
              <w:ind w:right="30"/>
              <w:spacing w:after="0"/>
              <w:rPr>
                <w:sz w:val="20"/>
                <w:szCs w:val="20"/>
                <w:color w:val="auto"/>
              </w:rPr>
            </w:pPr>
            <w:r>
              <w:rPr>
                <w:rFonts w:ascii="Arial" w:cs="Arial" w:eastAsia="Arial" w:hAnsi="Arial"/>
                <w:sz w:val="18"/>
                <w:szCs w:val="18"/>
                <w:color w:val="auto"/>
              </w:rPr>
              <w:t>3,410</w:t>
            </w: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160" w:type="dxa"/>
            <w:vAlign w:val="bottom"/>
          </w:tcPr>
          <w:p>
            <w:pPr>
              <w:jc w:val="right"/>
              <w:ind w:right="10"/>
              <w:spacing w:after="0"/>
              <w:rPr>
                <w:sz w:val="20"/>
                <w:szCs w:val="20"/>
                <w:color w:val="auto"/>
              </w:rPr>
            </w:pPr>
            <w:r>
              <w:rPr>
                <w:rFonts w:ascii="Arial" w:cs="Arial" w:eastAsia="Arial" w:hAnsi="Arial"/>
                <w:sz w:val="18"/>
                <w:szCs w:val="18"/>
                <w:color w:val="auto"/>
              </w:rPr>
              <w:t>3,513</w:t>
            </w:r>
          </w:p>
        </w:tc>
      </w:tr>
      <w:tr>
        <w:trPr>
          <w:trHeight w:val="216"/>
        </w:trPr>
        <w:tc>
          <w:tcPr>
            <w:tcW w:w="7360" w:type="dxa"/>
            <w:vAlign w:val="bottom"/>
            <w:tcBorders>
              <w:bottom w:val="single" w:sz="8" w:color="CCEEFF"/>
            </w:tcBorders>
            <w:gridSpan w:val="2"/>
            <w:shd w:val="clear" w:color="auto" w:fill="CCEEFF"/>
          </w:tcPr>
          <w:p>
            <w:pPr>
              <w:spacing w:after="0"/>
              <w:rPr>
                <w:sz w:val="20"/>
                <w:szCs w:val="20"/>
                <w:color w:val="auto"/>
              </w:rPr>
            </w:pPr>
            <w:r>
              <w:rPr>
                <w:rFonts w:ascii="Arial" w:cs="Arial" w:eastAsia="Arial" w:hAnsi="Arial"/>
                <w:sz w:val="18"/>
                <w:szCs w:val="18"/>
                <w:color w:val="auto"/>
              </w:rPr>
              <w:t>Raw materials</w:t>
            </w:r>
          </w:p>
        </w:tc>
        <w:tc>
          <w:tcPr>
            <w:tcW w:w="340" w:type="dxa"/>
            <w:vAlign w:val="bottom"/>
            <w:tcBorders>
              <w:bottom w:val="single" w:sz="8" w:color="auto"/>
            </w:tcBorders>
            <w:shd w:val="clear" w:color="auto" w:fill="CCEEFF"/>
          </w:tcPr>
          <w:p>
            <w:pPr>
              <w:spacing w:after="0"/>
              <w:rPr>
                <w:sz w:val="18"/>
                <w:szCs w:val="18"/>
                <w:color w:val="auto"/>
              </w:rPr>
            </w:pPr>
          </w:p>
        </w:tc>
        <w:tc>
          <w:tcPr>
            <w:tcW w:w="128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rPr>
              <w:t>18,531</w:t>
            </w:r>
          </w:p>
        </w:tc>
        <w:tc>
          <w:tcPr>
            <w:tcW w:w="80" w:type="dxa"/>
            <w:vAlign w:val="bottom"/>
            <w:tcBorders>
              <w:bottom w:val="single" w:sz="8" w:color="CCEEFF"/>
            </w:tcBorders>
            <w:shd w:val="clear" w:color="auto" w:fill="CCEEFF"/>
          </w:tcPr>
          <w:p>
            <w:pPr>
              <w:spacing w:after="0"/>
              <w:rPr>
                <w:sz w:val="18"/>
                <w:szCs w:val="18"/>
                <w:color w:val="auto"/>
              </w:rPr>
            </w:pPr>
          </w:p>
        </w:tc>
        <w:tc>
          <w:tcPr>
            <w:tcW w:w="20" w:type="dxa"/>
            <w:vAlign w:val="bottom"/>
            <w:tcBorders>
              <w:bottom w:val="single" w:sz="8" w:color="CCEEFF"/>
            </w:tcBorders>
            <w:shd w:val="clear" w:color="auto" w:fill="CCEEFF"/>
          </w:tcPr>
          <w:p>
            <w:pPr>
              <w:spacing w:after="0"/>
              <w:rPr>
                <w:sz w:val="18"/>
                <w:szCs w:val="18"/>
                <w:color w:val="auto"/>
              </w:rPr>
            </w:pPr>
          </w:p>
        </w:tc>
        <w:tc>
          <w:tcPr>
            <w:tcW w:w="420" w:type="dxa"/>
            <w:vAlign w:val="bottom"/>
            <w:tcBorders>
              <w:bottom w:val="single" w:sz="8" w:color="auto"/>
            </w:tcBorders>
            <w:shd w:val="clear" w:color="auto" w:fill="CCEEFF"/>
          </w:tcPr>
          <w:p>
            <w:pPr>
              <w:spacing w:after="0"/>
              <w:rPr>
                <w:sz w:val="18"/>
                <w:szCs w:val="18"/>
                <w:color w:val="auto"/>
              </w:rPr>
            </w:pPr>
          </w:p>
        </w:tc>
        <w:tc>
          <w:tcPr>
            <w:tcW w:w="116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13,811</w:t>
            </w:r>
          </w:p>
        </w:tc>
      </w:tr>
      <w:tr>
        <w:trPr>
          <w:trHeight w:val="209"/>
        </w:trPr>
        <w:tc>
          <w:tcPr>
            <w:tcW w:w="500" w:type="dxa"/>
            <w:vAlign w:val="bottom"/>
          </w:tcPr>
          <w:p>
            <w:pPr>
              <w:spacing w:after="0"/>
              <w:rPr>
                <w:sz w:val="20"/>
                <w:szCs w:val="20"/>
                <w:color w:val="auto"/>
              </w:rPr>
            </w:pPr>
            <w:r>
              <w:rPr>
                <w:rFonts w:ascii="Arial" w:cs="Arial" w:eastAsia="Arial" w:hAnsi="Arial"/>
                <w:sz w:val="18"/>
                <w:szCs w:val="18"/>
                <w:color w:val="auto"/>
              </w:rPr>
              <w:t>Total</w:t>
            </w:r>
          </w:p>
        </w:tc>
        <w:tc>
          <w:tcPr>
            <w:tcW w:w="6860" w:type="dxa"/>
            <w:vAlign w:val="bottom"/>
          </w:tcPr>
          <w:p>
            <w:pPr>
              <w:spacing w:after="0"/>
              <w:rPr>
                <w:sz w:val="18"/>
                <w:szCs w:val="18"/>
                <w:color w:val="auto"/>
              </w:rPr>
            </w:pPr>
          </w:p>
        </w:tc>
        <w:tc>
          <w:tcPr>
            <w:tcW w:w="340" w:type="dxa"/>
            <w:vAlign w:val="bottom"/>
            <w:tcBorders>
              <w:bottom w:val="single" w:sz="8" w:color="auto"/>
            </w:tcBorders>
          </w:tcPr>
          <w:p>
            <w:pPr>
              <w:jc w:val="right"/>
              <w:ind w:right="150"/>
              <w:spacing w:after="0"/>
              <w:rPr>
                <w:sz w:val="20"/>
                <w:szCs w:val="20"/>
                <w:color w:val="auto"/>
              </w:rPr>
            </w:pPr>
            <w:r>
              <w:rPr>
                <w:rFonts w:ascii="Arial" w:cs="Arial" w:eastAsia="Arial" w:hAnsi="Arial"/>
                <w:sz w:val="18"/>
                <w:szCs w:val="18"/>
                <w:color w:val="auto"/>
                <w:w w:val="79"/>
              </w:rPr>
              <w:t>$</w:t>
            </w:r>
          </w:p>
        </w:tc>
        <w:tc>
          <w:tcPr>
            <w:tcW w:w="128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27,587</w:t>
            </w: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420" w:type="dxa"/>
            <w:vAlign w:val="bottom"/>
            <w:tcBorders>
              <w:bottom w:val="single" w:sz="8" w:color="auto"/>
            </w:tcBorders>
          </w:tcPr>
          <w:p>
            <w:pPr>
              <w:jc w:val="right"/>
              <w:ind w:right="230"/>
              <w:spacing w:after="0"/>
              <w:rPr>
                <w:sz w:val="20"/>
                <w:szCs w:val="20"/>
                <w:color w:val="auto"/>
              </w:rPr>
            </w:pPr>
            <w:r>
              <w:rPr>
                <w:rFonts w:ascii="Arial" w:cs="Arial" w:eastAsia="Arial" w:hAnsi="Arial"/>
                <w:sz w:val="18"/>
                <w:szCs w:val="18"/>
                <w:color w:val="auto"/>
                <w:w w:val="79"/>
              </w:rPr>
              <w:t>$</w:t>
            </w:r>
          </w:p>
        </w:tc>
        <w:tc>
          <w:tcPr>
            <w:tcW w:w="116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22,262</w:t>
            </w:r>
          </w:p>
        </w:tc>
      </w:tr>
      <w:tr>
        <w:trPr>
          <w:trHeight w:val="20"/>
        </w:trPr>
        <w:tc>
          <w:tcPr>
            <w:tcW w:w="7360" w:type="dxa"/>
            <w:vAlign w:val="bottom"/>
            <w:gridSpan w:val="2"/>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100" w:type="dxa"/>
            <w:vAlign w:val="bottom"/>
            <w:gridSpan w:val="2"/>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r>
      <w:tr>
        <w:trPr>
          <w:trHeight w:val="413"/>
        </w:trPr>
        <w:tc>
          <w:tcPr>
            <w:tcW w:w="7360" w:type="dxa"/>
            <w:vAlign w:val="bottom"/>
            <w:gridSpan w:val="2"/>
          </w:tcPr>
          <w:p>
            <w:pPr>
              <w:spacing w:after="0"/>
              <w:rPr>
                <w:sz w:val="20"/>
                <w:szCs w:val="20"/>
                <w:color w:val="auto"/>
              </w:rPr>
            </w:pPr>
            <w:r>
              <w:rPr>
                <w:rFonts w:ascii="Arial" w:cs="Arial" w:eastAsia="Arial" w:hAnsi="Arial"/>
                <w:sz w:val="18"/>
                <w:szCs w:val="18"/>
                <w:b w:val="1"/>
                <w:bCs w:val="1"/>
                <w:i w:val="1"/>
                <w:iCs w:val="1"/>
                <w:color w:val="auto"/>
              </w:rPr>
              <w:t>Property, Plant and Equipment:</w:t>
            </w:r>
          </w:p>
        </w:tc>
        <w:tc>
          <w:tcPr>
            <w:tcW w:w="340" w:type="dxa"/>
            <w:vAlign w:val="bottom"/>
            <w:tcBorders>
              <w:bottom w:val="single" w:sz="8" w:color="auto"/>
            </w:tcBorders>
          </w:tcPr>
          <w:p>
            <w:pPr>
              <w:spacing w:after="0"/>
              <w:rPr>
                <w:sz w:val="24"/>
                <w:szCs w:val="24"/>
                <w:color w:val="auto"/>
              </w:rPr>
            </w:pPr>
          </w:p>
        </w:tc>
        <w:tc>
          <w:tcPr>
            <w:tcW w:w="1800" w:type="dxa"/>
            <w:vAlign w:val="bottom"/>
            <w:tcBorders>
              <w:bottom w:val="single" w:sz="8" w:color="auto"/>
            </w:tcBorders>
            <w:gridSpan w:val="4"/>
          </w:tcPr>
          <w:p>
            <w:pPr>
              <w:jc w:val="right"/>
              <w:spacing w:after="0"/>
              <w:rPr>
                <w:sz w:val="20"/>
                <w:szCs w:val="20"/>
                <w:color w:val="auto"/>
              </w:rPr>
            </w:pPr>
            <w:r>
              <w:rPr>
                <w:rFonts w:ascii="Arial" w:cs="Arial" w:eastAsia="Arial" w:hAnsi="Arial"/>
                <w:sz w:val="18"/>
                <w:szCs w:val="18"/>
                <w:b w:val="1"/>
                <w:bCs w:val="1"/>
                <w:color w:val="auto"/>
              </w:rPr>
              <w:t>December 31,</w:t>
            </w:r>
          </w:p>
        </w:tc>
        <w:tc>
          <w:tcPr>
            <w:tcW w:w="1160" w:type="dxa"/>
            <w:vAlign w:val="bottom"/>
            <w:tcBorders>
              <w:bottom w:val="single" w:sz="8" w:color="auto"/>
            </w:tcBorders>
          </w:tcPr>
          <w:p>
            <w:pPr>
              <w:spacing w:after="0"/>
              <w:rPr>
                <w:sz w:val="24"/>
                <w:szCs w:val="24"/>
                <w:color w:val="auto"/>
              </w:rPr>
            </w:pPr>
          </w:p>
        </w:tc>
      </w:tr>
      <w:tr>
        <w:trPr>
          <w:trHeight w:val="210"/>
        </w:trPr>
        <w:tc>
          <w:tcPr>
            <w:tcW w:w="7360" w:type="dxa"/>
            <w:vAlign w:val="bottom"/>
            <w:gridSpan w:val="2"/>
          </w:tcPr>
          <w:p>
            <w:pPr>
              <w:spacing w:after="0"/>
              <w:rPr>
                <w:sz w:val="20"/>
                <w:szCs w:val="20"/>
                <w:color w:val="auto"/>
              </w:rPr>
            </w:pPr>
            <w:r>
              <w:rPr>
                <w:rFonts w:ascii="Arial" w:cs="Arial" w:eastAsia="Arial" w:hAnsi="Arial"/>
                <w:sz w:val="18"/>
                <w:szCs w:val="18"/>
                <w:color w:val="auto"/>
              </w:rPr>
              <w:t>(in thousands)</w:t>
            </w:r>
          </w:p>
        </w:tc>
        <w:tc>
          <w:tcPr>
            <w:tcW w:w="340" w:type="dxa"/>
            <w:vAlign w:val="bottom"/>
            <w:tcBorders>
              <w:bottom w:val="single" w:sz="8" w:color="auto"/>
            </w:tcBorders>
          </w:tcPr>
          <w:p>
            <w:pPr>
              <w:spacing w:after="0"/>
              <w:rPr>
                <w:sz w:val="18"/>
                <w:szCs w:val="18"/>
                <w:color w:val="auto"/>
              </w:rPr>
            </w:pPr>
          </w:p>
        </w:tc>
        <w:tc>
          <w:tcPr>
            <w:tcW w:w="1280" w:type="dxa"/>
            <w:vAlign w:val="bottom"/>
            <w:tcBorders>
              <w:bottom w:val="single" w:sz="8" w:color="auto"/>
            </w:tcBorders>
          </w:tcPr>
          <w:p>
            <w:pPr>
              <w:jc w:val="right"/>
              <w:ind w:right="590"/>
              <w:spacing w:after="0"/>
              <w:rPr>
                <w:sz w:val="20"/>
                <w:szCs w:val="20"/>
                <w:color w:val="auto"/>
              </w:rPr>
            </w:pPr>
            <w:r>
              <w:rPr>
                <w:rFonts w:ascii="Arial" w:cs="Arial" w:eastAsia="Arial" w:hAnsi="Arial"/>
                <w:sz w:val="18"/>
                <w:szCs w:val="18"/>
                <w:b w:val="1"/>
                <w:bCs w:val="1"/>
                <w:color w:val="auto"/>
              </w:rPr>
              <w:t>2021</w:t>
            </w: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420" w:type="dxa"/>
            <w:vAlign w:val="bottom"/>
            <w:tcBorders>
              <w:bottom w:val="single" w:sz="8" w:color="auto"/>
            </w:tcBorders>
          </w:tcPr>
          <w:p>
            <w:pPr>
              <w:spacing w:after="0"/>
              <w:rPr>
                <w:sz w:val="18"/>
                <w:szCs w:val="18"/>
                <w:color w:val="auto"/>
              </w:rPr>
            </w:pPr>
          </w:p>
        </w:tc>
        <w:tc>
          <w:tcPr>
            <w:tcW w:w="1160" w:type="dxa"/>
            <w:vAlign w:val="bottom"/>
            <w:tcBorders>
              <w:bottom w:val="single" w:sz="8" w:color="auto"/>
            </w:tcBorders>
          </w:tcPr>
          <w:p>
            <w:pPr>
              <w:jc w:val="center"/>
              <w:ind w:right="430"/>
              <w:spacing w:after="0"/>
              <w:rPr>
                <w:sz w:val="20"/>
                <w:szCs w:val="20"/>
                <w:color w:val="auto"/>
              </w:rPr>
            </w:pPr>
            <w:r>
              <w:rPr>
                <w:rFonts w:ascii="Arial" w:cs="Arial" w:eastAsia="Arial" w:hAnsi="Arial"/>
                <w:sz w:val="18"/>
                <w:szCs w:val="18"/>
                <w:b w:val="1"/>
                <w:bCs w:val="1"/>
                <w:color w:val="auto"/>
                <w:w w:val="89"/>
              </w:rPr>
              <w:t>2020</w:t>
            </w:r>
          </w:p>
        </w:tc>
      </w:tr>
      <w:tr>
        <w:trPr>
          <w:trHeight w:val="210"/>
        </w:trPr>
        <w:tc>
          <w:tcPr>
            <w:tcW w:w="73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Machinery and equipment</w:t>
            </w:r>
          </w:p>
        </w:tc>
        <w:tc>
          <w:tcPr>
            <w:tcW w:w="340" w:type="dxa"/>
            <w:vAlign w:val="bottom"/>
            <w:shd w:val="clear" w:color="auto" w:fill="CCEEFF"/>
          </w:tcPr>
          <w:p>
            <w:pPr>
              <w:jc w:val="right"/>
              <w:ind w:right="150"/>
              <w:spacing w:after="0"/>
              <w:rPr>
                <w:sz w:val="20"/>
                <w:szCs w:val="20"/>
                <w:color w:val="auto"/>
              </w:rPr>
            </w:pPr>
            <w:r>
              <w:rPr>
                <w:rFonts w:ascii="Arial" w:cs="Arial" w:eastAsia="Arial" w:hAnsi="Arial"/>
                <w:sz w:val="18"/>
                <w:szCs w:val="18"/>
                <w:color w:val="auto"/>
                <w:w w:val="79"/>
              </w:rPr>
              <w:t>$</w:t>
            </w:r>
          </w:p>
        </w:tc>
        <w:tc>
          <w:tcPr>
            <w:tcW w:w="128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7,698</w:t>
            </w:r>
          </w:p>
        </w:tc>
        <w:tc>
          <w:tcPr>
            <w:tcW w:w="80" w:type="dxa"/>
            <w:vAlign w:val="bottom"/>
            <w:shd w:val="clear" w:color="auto" w:fill="CCEEFF"/>
          </w:tcPr>
          <w:p>
            <w:pPr>
              <w:spacing w:after="0"/>
              <w:rPr>
                <w:sz w:val="18"/>
                <w:szCs w:val="18"/>
                <w:color w:val="auto"/>
              </w:rPr>
            </w:pPr>
          </w:p>
        </w:tc>
        <w:tc>
          <w:tcPr>
            <w:tcW w:w="440" w:type="dxa"/>
            <w:vAlign w:val="bottom"/>
            <w:gridSpan w:val="2"/>
            <w:shd w:val="clear" w:color="auto" w:fill="CCEEFF"/>
          </w:tcPr>
          <w:p>
            <w:pPr>
              <w:jc w:val="right"/>
              <w:ind w:right="230"/>
              <w:spacing w:after="0"/>
              <w:rPr>
                <w:sz w:val="20"/>
                <w:szCs w:val="20"/>
                <w:color w:val="auto"/>
              </w:rPr>
            </w:pPr>
            <w:r>
              <w:rPr>
                <w:rFonts w:ascii="Arial" w:cs="Arial" w:eastAsia="Arial" w:hAnsi="Arial"/>
                <w:sz w:val="18"/>
                <w:szCs w:val="18"/>
                <w:color w:val="auto"/>
                <w:w w:val="99"/>
              </w:rPr>
              <w:t>$</w:t>
            </w:r>
          </w:p>
        </w:tc>
        <w:tc>
          <w:tcPr>
            <w:tcW w:w="116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7,450</w:t>
            </w:r>
          </w:p>
        </w:tc>
      </w:tr>
      <w:tr>
        <w:trPr>
          <w:trHeight w:val="216"/>
        </w:trPr>
        <w:tc>
          <w:tcPr>
            <w:tcW w:w="7360" w:type="dxa"/>
            <w:vAlign w:val="bottom"/>
            <w:gridSpan w:val="2"/>
          </w:tcPr>
          <w:p>
            <w:pPr>
              <w:spacing w:after="0"/>
              <w:rPr>
                <w:sz w:val="20"/>
                <w:szCs w:val="20"/>
                <w:color w:val="auto"/>
              </w:rPr>
            </w:pPr>
            <w:r>
              <w:rPr>
                <w:rFonts w:ascii="Arial" w:cs="Arial" w:eastAsia="Arial" w:hAnsi="Arial"/>
                <w:sz w:val="18"/>
                <w:szCs w:val="18"/>
                <w:color w:val="auto"/>
              </w:rPr>
              <w:t>Computer equipment and software</w:t>
            </w:r>
          </w:p>
        </w:tc>
        <w:tc>
          <w:tcPr>
            <w:tcW w:w="340" w:type="dxa"/>
            <w:vAlign w:val="bottom"/>
          </w:tcPr>
          <w:p>
            <w:pPr>
              <w:spacing w:after="0"/>
              <w:rPr>
                <w:sz w:val="18"/>
                <w:szCs w:val="18"/>
                <w:color w:val="auto"/>
              </w:rPr>
            </w:pPr>
          </w:p>
        </w:tc>
        <w:tc>
          <w:tcPr>
            <w:tcW w:w="1280" w:type="dxa"/>
            <w:vAlign w:val="bottom"/>
          </w:tcPr>
          <w:p>
            <w:pPr>
              <w:jc w:val="right"/>
              <w:ind w:right="30"/>
              <w:spacing w:after="0"/>
              <w:rPr>
                <w:sz w:val="20"/>
                <w:szCs w:val="20"/>
                <w:color w:val="auto"/>
              </w:rPr>
            </w:pPr>
            <w:r>
              <w:rPr>
                <w:rFonts w:ascii="Arial" w:cs="Arial" w:eastAsia="Arial" w:hAnsi="Arial"/>
                <w:sz w:val="18"/>
                <w:szCs w:val="18"/>
                <w:color w:val="auto"/>
              </w:rPr>
              <w:t>6,269</w:t>
            </w: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160" w:type="dxa"/>
            <w:vAlign w:val="bottom"/>
          </w:tcPr>
          <w:p>
            <w:pPr>
              <w:jc w:val="right"/>
              <w:ind w:right="10"/>
              <w:spacing w:after="0"/>
              <w:rPr>
                <w:sz w:val="20"/>
                <w:szCs w:val="20"/>
                <w:color w:val="auto"/>
              </w:rPr>
            </w:pPr>
            <w:r>
              <w:rPr>
                <w:rFonts w:ascii="Arial" w:cs="Arial" w:eastAsia="Arial" w:hAnsi="Arial"/>
                <w:sz w:val="18"/>
                <w:szCs w:val="18"/>
                <w:color w:val="auto"/>
              </w:rPr>
              <w:t>9,114</w:t>
            </w:r>
          </w:p>
        </w:tc>
      </w:tr>
      <w:tr>
        <w:trPr>
          <w:trHeight w:val="216"/>
        </w:trPr>
        <w:tc>
          <w:tcPr>
            <w:tcW w:w="73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Leasehold improvements</w:t>
            </w:r>
          </w:p>
        </w:tc>
        <w:tc>
          <w:tcPr>
            <w:tcW w:w="340" w:type="dxa"/>
            <w:vAlign w:val="bottom"/>
            <w:shd w:val="clear" w:color="auto" w:fill="CCEEFF"/>
          </w:tcPr>
          <w:p>
            <w:pPr>
              <w:spacing w:after="0"/>
              <w:rPr>
                <w:sz w:val="18"/>
                <w:szCs w:val="18"/>
                <w:color w:val="auto"/>
              </w:rPr>
            </w:pPr>
          </w:p>
        </w:tc>
        <w:tc>
          <w:tcPr>
            <w:tcW w:w="128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2,560</w:t>
            </w:r>
          </w:p>
        </w:tc>
        <w:tc>
          <w:tcPr>
            <w:tcW w:w="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116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2,540</w:t>
            </w:r>
          </w:p>
        </w:tc>
      </w:tr>
      <w:tr>
        <w:trPr>
          <w:trHeight w:val="216"/>
        </w:trPr>
        <w:tc>
          <w:tcPr>
            <w:tcW w:w="7360" w:type="dxa"/>
            <w:vAlign w:val="bottom"/>
            <w:gridSpan w:val="2"/>
          </w:tcPr>
          <w:p>
            <w:pPr>
              <w:spacing w:after="0"/>
              <w:rPr>
                <w:sz w:val="20"/>
                <w:szCs w:val="20"/>
                <w:color w:val="auto"/>
              </w:rPr>
            </w:pPr>
            <w:r>
              <w:rPr>
                <w:rFonts w:ascii="Arial" w:cs="Arial" w:eastAsia="Arial" w:hAnsi="Arial"/>
                <w:sz w:val="18"/>
                <w:szCs w:val="18"/>
                <w:color w:val="auto"/>
              </w:rPr>
              <w:t>Furniture and fixtures</w:t>
            </w:r>
          </w:p>
        </w:tc>
        <w:tc>
          <w:tcPr>
            <w:tcW w:w="340" w:type="dxa"/>
            <w:vAlign w:val="bottom"/>
          </w:tcPr>
          <w:p>
            <w:pPr>
              <w:spacing w:after="0"/>
              <w:rPr>
                <w:sz w:val="18"/>
                <w:szCs w:val="18"/>
                <w:color w:val="auto"/>
              </w:rPr>
            </w:pPr>
          </w:p>
        </w:tc>
        <w:tc>
          <w:tcPr>
            <w:tcW w:w="1280" w:type="dxa"/>
            <w:vAlign w:val="bottom"/>
          </w:tcPr>
          <w:p>
            <w:pPr>
              <w:jc w:val="right"/>
              <w:ind w:right="30"/>
              <w:spacing w:after="0"/>
              <w:rPr>
                <w:sz w:val="20"/>
                <w:szCs w:val="20"/>
                <w:color w:val="auto"/>
              </w:rPr>
            </w:pPr>
            <w:r>
              <w:rPr>
                <w:rFonts w:ascii="Arial" w:cs="Arial" w:eastAsia="Arial" w:hAnsi="Arial"/>
                <w:sz w:val="18"/>
                <w:szCs w:val="18"/>
                <w:color w:val="auto"/>
              </w:rPr>
              <w:t>1,296</w:t>
            </w: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160" w:type="dxa"/>
            <w:vAlign w:val="bottom"/>
          </w:tcPr>
          <w:p>
            <w:pPr>
              <w:jc w:val="right"/>
              <w:ind w:right="10"/>
              <w:spacing w:after="0"/>
              <w:rPr>
                <w:sz w:val="20"/>
                <w:szCs w:val="20"/>
                <w:color w:val="auto"/>
              </w:rPr>
            </w:pPr>
            <w:r>
              <w:rPr>
                <w:rFonts w:ascii="Arial" w:cs="Arial" w:eastAsia="Arial" w:hAnsi="Arial"/>
                <w:sz w:val="18"/>
                <w:szCs w:val="18"/>
                <w:color w:val="auto"/>
              </w:rPr>
              <w:t>1,353</w:t>
            </w:r>
          </w:p>
        </w:tc>
      </w:tr>
      <w:tr>
        <w:trPr>
          <w:trHeight w:val="216"/>
        </w:trPr>
        <w:tc>
          <w:tcPr>
            <w:tcW w:w="7360" w:type="dxa"/>
            <w:vAlign w:val="bottom"/>
            <w:tcBorders>
              <w:bottom w:val="single" w:sz="8" w:color="CCEEFF"/>
            </w:tcBorders>
            <w:gridSpan w:val="2"/>
            <w:shd w:val="clear" w:color="auto" w:fill="CCEEFF"/>
          </w:tcPr>
          <w:p>
            <w:pPr>
              <w:spacing w:after="0"/>
              <w:rPr>
                <w:sz w:val="20"/>
                <w:szCs w:val="20"/>
                <w:color w:val="auto"/>
              </w:rPr>
            </w:pPr>
            <w:r>
              <w:rPr>
                <w:rFonts w:ascii="Arial" w:cs="Arial" w:eastAsia="Arial" w:hAnsi="Arial"/>
                <w:sz w:val="18"/>
                <w:szCs w:val="18"/>
                <w:color w:val="auto"/>
              </w:rPr>
              <w:t>Automobiles</w:t>
            </w:r>
          </w:p>
        </w:tc>
        <w:tc>
          <w:tcPr>
            <w:tcW w:w="340" w:type="dxa"/>
            <w:vAlign w:val="bottom"/>
            <w:tcBorders>
              <w:bottom w:val="single" w:sz="8" w:color="auto"/>
            </w:tcBorders>
            <w:shd w:val="clear" w:color="auto" w:fill="CCEEFF"/>
          </w:tcPr>
          <w:p>
            <w:pPr>
              <w:spacing w:after="0"/>
              <w:rPr>
                <w:sz w:val="18"/>
                <w:szCs w:val="18"/>
                <w:color w:val="auto"/>
              </w:rPr>
            </w:pPr>
          </w:p>
        </w:tc>
        <w:tc>
          <w:tcPr>
            <w:tcW w:w="128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rPr>
              <w:t>41</w:t>
            </w:r>
          </w:p>
        </w:tc>
        <w:tc>
          <w:tcPr>
            <w:tcW w:w="80" w:type="dxa"/>
            <w:vAlign w:val="bottom"/>
            <w:tcBorders>
              <w:bottom w:val="single" w:sz="8" w:color="CCEEFF"/>
            </w:tcBorders>
            <w:shd w:val="clear" w:color="auto" w:fill="CCEEFF"/>
          </w:tcPr>
          <w:p>
            <w:pPr>
              <w:spacing w:after="0"/>
              <w:rPr>
                <w:sz w:val="18"/>
                <w:szCs w:val="18"/>
                <w:color w:val="auto"/>
              </w:rPr>
            </w:pPr>
          </w:p>
        </w:tc>
        <w:tc>
          <w:tcPr>
            <w:tcW w:w="20" w:type="dxa"/>
            <w:vAlign w:val="bottom"/>
            <w:tcBorders>
              <w:bottom w:val="single" w:sz="8" w:color="CCEEFF"/>
            </w:tcBorders>
            <w:shd w:val="clear" w:color="auto" w:fill="CCEEFF"/>
          </w:tcPr>
          <w:p>
            <w:pPr>
              <w:spacing w:after="0"/>
              <w:rPr>
                <w:sz w:val="18"/>
                <w:szCs w:val="18"/>
                <w:color w:val="auto"/>
              </w:rPr>
            </w:pPr>
          </w:p>
        </w:tc>
        <w:tc>
          <w:tcPr>
            <w:tcW w:w="420" w:type="dxa"/>
            <w:vAlign w:val="bottom"/>
            <w:tcBorders>
              <w:bottom w:val="single" w:sz="8" w:color="auto"/>
            </w:tcBorders>
            <w:shd w:val="clear" w:color="auto" w:fill="CCEEFF"/>
          </w:tcPr>
          <w:p>
            <w:pPr>
              <w:spacing w:after="0"/>
              <w:rPr>
                <w:sz w:val="18"/>
                <w:szCs w:val="18"/>
                <w:color w:val="auto"/>
              </w:rPr>
            </w:pPr>
          </w:p>
        </w:tc>
        <w:tc>
          <w:tcPr>
            <w:tcW w:w="116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100</w:t>
            </w:r>
          </w:p>
        </w:tc>
      </w:tr>
      <w:tr>
        <w:trPr>
          <w:trHeight w:val="210"/>
        </w:trPr>
        <w:tc>
          <w:tcPr>
            <w:tcW w:w="500" w:type="dxa"/>
            <w:vAlign w:val="bottom"/>
          </w:tcPr>
          <w:p>
            <w:pPr>
              <w:spacing w:after="0"/>
              <w:rPr>
                <w:sz w:val="18"/>
                <w:szCs w:val="18"/>
                <w:color w:val="auto"/>
              </w:rPr>
            </w:pPr>
          </w:p>
        </w:tc>
        <w:tc>
          <w:tcPr>
            <w:tcW w:w="686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280" w:type="dxa"/>
            <w:vAlign w:val="bottom"/>
          </w:tcPr>
          <w:p>
            <w:pPr>
              <w:jc w:val="right"/>
              <w:ind w:right="30"/>
              <w:spacing w:after="0"/>
              <w:rPr>
                <w:sz w:val="20"/>
                <w:szCs w:val="20"/>
                <w:color w:val="auto"/>
              </w:rPr>
            </w:pPr>
            <w:r>
              <w:rPr>
                <w:rFonts w:ascii="Arial" w:cs="Arial" w:eastAsia="Arial" w:hAnsi="Arial"/>
                <w:sz w:val="18"/>
                <w:szCs w:val="18"/>
                <w:color w:val="auto"/>
              </w:rPr>
              <w:t>17,864</w:t>
            </w: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160" w:type="dxa"/>
            <w:vAlign w:val="bottom"/>
          </w:tcPr>
          <w:p>
            <w:pPr>
              <w:jc w:val="right"/>
              <w:ind w:right="10"/>
              <w:spacing w:after="0"/>
              <w:rPr>
                <w:sz w:val="20"/>
                <w:szCs w:val="20"/>
                <w:color w:val="auto"/>
              </w:rPr>
            </w:pPr>
            <w:r>
              <w:rPr>
                <w:rFonts w:ascii="Arial" w:cs="Arial" w:eastAsia="Arial" w:hAnsi="Arial"/>
                <w:sz w:val="18"/>
                <w:szCs w:val="18"/>
                <w:color w:val="auto"/>
              </w:rPr>
              <w:t>20,557</w:t>
            </w:r>
          </w:p>
        </w:tc>
      </w:tr>
      <w:tr>
        <w:trPr>
          <w:trHeight w:val="216"/>
        </w:trPr>
        <w:tc>
          <w:tcPr>
            <w:tcW w:w="7360" w:type="dxa"/>
            <w:vAlign w:val="bottom"/>
            <w:tcBorders>
              <w:bottom w:val="single" w:sz="8" w:color="CCEEFF"/>
            </w:tcBorders>
            <w:gridSpan w:val="2"/>
            <w:shd w:val="clear" w:color="auto" w:fill="CCEEFF"/>
          </w:tcPr>
          <w:p>
            <w:pPr>
              <w:spacing w:after="0"/>
              <w:rPr>
                <w:sz w:val="20"/>
                <w:szCs w:val="20"/>
                <w:color w:val="auto"/>
              </w:rPr>
            </w:pPr>
            <w:r>
              <w:rPr>
                <w:rFonts w:ascii="Arial" w:cs="Arial" w:eastAsia="Arial" w:hAnsi="Arial"/>
                <w:sz w:val="18"/>
                <w:szCs w:val="18"/>
                <w:color w:val="auto"/>
              </w:rPr>
              <w:t>Less: accumulated depreciation</w:t>
            </w:r>
          </w:p>
        </w:tc>
        <w:tc>
          <w:tcPr>
            <w:tcW w:w="340" w:type="dxa"/>
            <w:vAlign w:val="bottom"/>
            <w:tcBorders>
              <w:bottom w:val="single" w:sz="8" w:color="auto"/>
            </w:tcBorders>
            <w:shd w:val="clear" w:color="auto" w:fill="CCEEFF"/>
          </w:tcPr>
          <w:p>
            <w:pPr>
              <w:spacing w:after="0"/>
              <w:rPr>
                <w:sz w:val="18"/>
                <w:szCs w:val="18"/>
                <w:color w:val="auto"/>
              </w:rPr>
            </w:pPr>
          </w:p>
        </w:tc>
        <w:tc>
          <w:tcPr>
            <w:tcW w:w="12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(14,449)</w:t>
            </w:r>
          </w:p>
        </w:tc>
        <w:tc>
          <w:tcPr>
            <w:tcW w:w="80" w:type="dxa"/>
            <w:vAlign w:val="bottom"/>
            <w:tcBorders>
              <w:bottom w:val="single" w:sz="8" w:color="CCEEFF"/>
            </w:tcBorders>
            <w:shd w:val="clear" w:color="auto" w:fill="CCEEFF"/>
          </w:tcPr>
          <w:p>
            <w:pPr>
              <w:spacing w:after="0"/>
              <w:rPr>
                <w:sz w:val="18"/>
                <w:szCs w:val="18"/>
                <w:color w:val="auto"/>
              </w:rPr>
            </w:pPr>
          </w:p>
        </w:tc>
        <w:tc>
          <w:tcPr>
            <w:tcW w:w="20" w:type="dxa"/>
            <w:vAlign w:val="bottom"/>
            <w:tcBorders>
              <w:bottom w:val="single" w:sz="8" w:color="CCEEFF"/>
            </w:tcBorders>
            <w:shd w:val="clear" w:color="auto" w:fill="CCEEFF"/>
          </w:tcPr>
          <w:p>
            <w:pPr>
              <w:spacing w:after="0"/>
              <w:rPr>
                <w:sz w:val="18"/>
                <w:szCs w:val="18"/>
                <w:color w:val="auto"/>
              </w:rPr>
            </w:pPr>
          </w:p>
        </w:tc>
        <w:tc>
          <w:tcPr>
            <w:tcW w:w="420" w:type="dxa"/>
            <w:vAlign w:val="bottom"/>
            <w:tcBorders>
              <w:bottom w:val="single" w:sz="8" w:color="auto"/>
            </w:tcBorders>
            <w:shd w:val="clear" w:color="auto" w:fill="CCEEFF"/>
          </w:tcPr>
          <w:p>
            <w:pPr>
              <w:spacing w:after="0"/>
              <w:rPr>
                <w:sz w:val="18"/>
                <w:szCs w:val="18"/>
                <w:color w:val="auto"/>
              </w:rPr>
            </w:pPr>
          </w:p>
        </w:tc>
        <w:tc>
          <w:tcPr>
            <w:tcW w:w="1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(16,597)</w:t>
            </w:r>
          </w:p>
        </w:tc>
      </w:tr>
      <w:tr>
        <w:trPr>
          <w:trHeight w:val="210"/>
        </w:trPr>
        <w:tc>
          <w:tcPr>
            <w:tcW w:w="7360" w:type="dxa"/>
            <w:vAlign w:val="bottom"/>
            <w:gridSpan w:val="2"/>
          </w:tcPr>
          <w:p>
            <w:pPr>
              <w:spacing w:after="0"/>
              <w:rPr>
                <w:sz w:val="20"/>
                <w:szCs w:val="20"/>
                <w:color w:val="auto"/>
              </w:rPr>
            </w:pPr>
            <w:r>
              <w:rPr>
                <w:rFonts w:ascii="Arial" w:cs="Arial" w:eastAsia="Arial" w:hAnsi="Arial"/>
                <w:sz w:val="18"/>
                <w:szCs w:val="18"/>
                <w:color w:val="auto"/>
              </w:rPr>
              <w:t>Property, plant and equipment, net</w:t>
            </w:r>
          </w:p>
        </w:tc>
        <w:tc>
          <w:tcPr>
            <w:tcW w:w="340" w:type="dxa"/>
            <w:vAlign w:val="bottom"/>
          </w:tcPr>
          <w:p>
            <w:pPr>
              <w:jc w:val="right"/>
              <w:ind w:right="150"/>
              <w:spacing w:after="0"/>
              <w:rPr>
                <w:sz w:val="20"/>
                <w:szCs w:val="20"/>
                <w:color w:val="auto"/>
              </w:rPr>
            </w:pPr>
            <w:r>
              <w:rPr>
                <w:rFonts w:ascii="Arial" w:cs="Arial" w:eastAsia="Arial" w:hAnsi="Arial"/>
                <w:sz w:val="18"/>
                <w:szCs w:val="18"/>
                <w:color w:val="auto"/>
                <w:w w:val="79"/>
              </w:rPr>
              <w:t>$</w:t>
            </w:r>
          </w:p>
        </w:tc>
        <w:tc>
          <w:tcPr>
            <w:tcW w:w="1280" w:type="dxa"/>
            <w:vAlign w:val="bottom"/>
          </w:tcPr>
          <w:p>
            <w:pPr>
              <w:jc w:val="right"/>
              <w:ind w:right="30"/>
              <w:spacing w:after="0"/>
              <w:rPr>
                <w:sz w:val="20"/>
                <w:szCs w:val="20"/>
                <w:color w:val="auto"/>
              </w:rPr>
            </w:pPr>
            <w:r>
              <w:rPr>
                <w:rFonts w:ascii="Arial" w:cs="Arial" w:eastAsia="Arial" w:hAnsi="Arial"/>
                <w:sz w:val="18"/>
                <w:szCs w:val="18"/>
                <w:color w:val="auto"/>
              </w:rPr>
              <w:t>3,415</w:t>
            </w:r>
          </w:p>
        </w:tc>
        <w:tc>
          <w:tcPr>
            <w:tcW w:w="80" w:type="dxa"/>
            <w:vAlign w:val="bottom"/>
          </w:tcPr>
          <w:p>
            <w:pPr>
              <w:spacing w:after="0"/>
              <w:rPr>
                <w:sz w:val="18"/>
                <w:szCs w:val="18"/>
                <w:color w:val="auto"/>
              </w:rPr>
            </w:pPr>
          </w:p>
        </w:tc>
        <w:tc>
          <w:tcPr>
            <w:tcW w:w="440" w:type="dxa"/>
            <w:vAlign w:val="bottom"/>
            <w:gridSpan w:val="2"/>
          </w:tcPr>
          <w:p>
            <w:pPr>
              <w:jc w:val="right"/>
              <w:ind w:right="230"/>
              <w:spacing w:after="0"/>
              <w:rPr>
                <w:sz w:val="20"/>
                <w:szCs w:val="20"/>
                <w:color w:val="auto"/>
              </w:rPr>
            </w:pPr>
            <w:r>
              <w:rPr>
                <w:rFonts w:ascii="Arial" w:cs="Arial" w:eastAsia="Arial" w:hAnsi="Arial"/>
                <w:sz w:val="18"/>
                <w:szCs w:val="18"/>
                <w:color w:val="auto"/>
                <w:w w:val="99"/>
              </w:rPr>
              <w:t>$</w:t>
            </w:r>
          </w:p>
        </w:tc>
        <w:tc>
          <w:tcPr>
            <w:tcW w:w="1160" w:type="dxa"/>
            <w:vAlign w:val="bottom"/>
          </w:tcPr>
          <w:p>
            <w:pPr>
              <w:jc w:val="right"/>
              <w:ind w:right="10"/>
              <w:spacing w:after="0"/>
              <w:rPr>
                <w:sz w:val="20"/>
                <w:szCs w:val="20"/>
                <w:color w:val="auto"/>
              </w:rPr>
            </w:pPr>
            <w:r>
              <w:rPr>
                <w:rFonts w:ascii="Arial" w:cs="Arial" w:eastAsia="Arial" w:hAnsi="Arial"/>
                <w:sz w:val="18"/>
                <w:szCs w:val="18"/>
                <w:color w:val="auto"/>
              </w:rPr>
              <w:t>3,960</w:t>
            </w:r>
          </w:p>
        </w:tc>
      </w:tr>
      <w:tr>
        <w:trPr>
          <w:trHeight w:val="20"/>
        </w:trPr>
        <w:tc>
          <w:tcPr>
            <w:tcW w:w="500" w:type="dxa"/>
            <w:vAlign w:val="bottom"/>
          </w:tcPr>
          <w:p>
            <w:pPr>
              <w:spacing w:after="0" w:line="20" w:lineRule="exact"/>
              <w:rPr>
                <w:sz w:val="1"/>
                <w:szCs w:val="1"/>
                <w:color w:val="auto"/>
              </w:rPr>
            </w:pPr>
          </w:p>
        </w:tc>
        <w:tc>
          <w:tcPr>
            <w:tcW w:w="6860" w:type="dxa"/>
            <w:vAlign w:val="bottom"/>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128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1160" w:type="dxa"/>
            <w:vAlign w:val="bottom"/>
            <w:tcBorders>
              <w:top w:val="single" w:sz="8" w:color="auto"/>
              <w:bottom w:val="single" w:sz="8" w:color="auto"/>
            </w:tcBorders>
          </w:tcPr>
          <w:p>
            <w:pPr>
              <w:spacing w:after="0" w:line="20" w:lineRule="exact"/>
              <w:rPr>
                <w:sz w:val="1"/>
                <w:szCs w:val="1"/>
                <w:color w:val="auto"/>
              </w:rPr>
            </w:pPr>
          </w:p>
        </w:tc>
      </w:tr>
    </w:tbl>
    <w:p>
      <w:pPr>
        <w:spacing w:after="0" w:line="202" w:lineRule="exact"/>
        <w:rPr>
          <w:sz w:val="20"/>
          <w:szCs w:val="20"/>
          <w:color w:val="auto"/>
        </w:rPr>
      </w:pPr>
    </w:p>
    <w:p>
      <w:pPr>
        <w:ind w:left="660" w:right="80"/>
        <w:spacing w:after="0" w:line="277" w:lineRule="auto"/>
        <w:rPr>
          <w:sz w:val="20"/>
          <w:szCs w:val="20"/>
          <w:color w:val="auto"/>
        </w:rPr>
      </w:pPr>
      <w:r>
        <w:rPr>
          <w:rFonts w:ascii="Arial" w:cs="Arial" w:eastAsia="Arial" w:hAnsi="Arial"/>
          <w:sz w:val="18"/>
          <w:szCs w:val="18"/>
          <w:color w:val="auto"/>
        </w:rPr>
        <w:t>During the year ended December 31, 2021, the Company removed approximately $3.7 million of fully depreciated property and equipment from its fixed asset records.</w:t>
      </w:r>
    </w:p>
    <w:p>
      <w:pPr>
        <w:spacing w:after="0" w:line="166" w:lineRule="exact"/>
        <w:rPr>
          <w:sz w:val="20"/>
          <w:szCs w:val="20"/>
          <w:color w:val="auto"/>
        </w:rPr>
      </w:pPr>
    </w:p>
    <w:tbl>
      <w:tblPr>
        <w:tblLayout w:type="fixed"/>
        <w:tblInd w:w="660" w:type="dxa"/>
        <w:tblCellMar>
          <w:top w:w="0" w:type="dxa"/>
          <w:left w:w="0" w:type="dxa"/>
          <w:bottom w:w="0" w:type="dxa"/>
          <w:right w:w="0" w:type="dxa"/>
        </w:tblCellMar>
      </w:tblPr>
      <w:tr>
        <w:trPr>
          <w:trHeight w:val="234"/>
        </w:trPr>
        <w:tc>
          <w:tcPr>
            <w:tcW w:w="7360" w:type="dxa"/>
            <w:vAlign w:val="bottom"/>
          </w:tcPr>
          <w:p>
            <w:pPr>
              <w:spacing w:after="0"/>
              <w:rPr>
                <w:sz w:val="20"/>
                <w:szCs w:val="20"/>
                <w:color w:val="auto"/>
              </w:rPr>
            </w:pPr>
            <w:r>
              <w:rPr>
                <w:rFonts w:ascii="Arial" w:cs="Arial" w:eastAsia="Arial" w:hAnsi="Arial"/>
                <w:sz w:val="18"/>
                <w:szCs w:val="18"/>
                <w:b w:val="1"/>
                <w:bCs w:val="1"/>
                <w:i w:val="1"/>
                <w:iCs w:val="1"/>
                <w:color w:val="auto"/>
              </w:rPr>
              <w:t>Other Current Liabilities:</w:t>
            </w:r>
          </w:p>
        </w:tc>
        <w:tc>
          <w:tcPr>
            <w:tcW w:w="340" w:type="dxa"/>
            <w:vAlign w:val="bottom"/>
            <w:tcBorders>
              <w:bottom w:val="single" w:sz="8" w:color="auto"/>
            </w:tcBorders>
          </w:tcPr>
          <w:p>
            <w:pPr>
              <w:spacing w:after="0"/>
              <w:rPr>
                <w:sz w:val="20"/>
                <w:szCs w:val="20"/>
                <w:color w:val="auto"/>
              </w:rPr>
            </w:pPr>
          </w:p>
        </w:tc>
        <w:tc>
          <w:tcPr>
            <w:tcW w:w="1860" w:type="dxa"/>
            <w:vAlign w:val="bottom"/>
            <w:tcBorders>
              <w:bottom w:val="single" w:sz="8" w:color="auto"/>
            </w:tcBorders>
            <w:gridSpan w:val="3"/>
          </w:tcPr>
          <w:p>
            <w:pPr>
              <w:jc w:val="right"/>
              <w:spacing w:after="0"/>
              <w:rPr>
                <w:sz w:val="20"/>
                <w:szCs w:val="20"/>
                <w:color w:val="auto"/>
              </w:rPr>
            </w:pPr>
            <w:r>
              <w:rPr>
                <w:rFonts w:ascii="Arial" w:cs="Arial" w:eastAsia="Arial" w:hAnsi="Arial"/>
                <w:sz w:val="18"/>
                <w:szCs w:val="18"/>
                <w:b w:val="1"/>
                <w:bCs w:val="1"/>
                <w:color w:val="auto"/>
              </w:rPr>
              <w:t>December 31,</w:t>
            </w:r>
          </w:p>
        </w:tc>
        <w:tc>
          <w:tcPr>
            <w:tcW w:w="1100" w:type="dxa"/>
            <w:vAlign w:val="bottom"/>
            <w:tcBorders>
              <w:bottom w:val="single" w:sz="8" w:color="auto"/>
            </w:tcBorders>
          </w:tcPr>
          <w:p>
            <w:pPr>
              <w:spacing w:after="0"/>
              <w:rPr>
                <w:sz w:val="20"/>
                <w:szCs w:val="20"/>
                <w:color w:val="auto"/>
              </w:rPr>
            </w:pPr>
          </w:p>
        </w:tc>
      </w:tr>
      <w:tr>
        <w:trPr>
          <w:trHeight w:val="210"/>
        </w:trPr>
        <w:tc>
          <w:tcPr>
            <w:tcW w:w="7360" w:type="dxa"/>
            <w:vAlign w:val="bottom"/>
          </w:tcPr>
          <w:p>
            <w:pPr>
              <w:spacing w:after="0"/>
              <w:rPr>
                <w:sz w:val="20"/>
                <w:szCs w:val="20"/>
                <w:color w:val="auto"/>
              </w:rPr>
            </w:pPr>
            <w:r>
              <w:rPr>
                <w:rFonts w:ascii="Arial" w:cs="Arial" w:eastAsia="Arial" w:hAnsi="Arial"/>
                <w:sz w:val="18"/>
                <w:szCs w:val="18"/>
                <w:color w:val="auto"/>
              </w:rPr>
              <w:t>(in thousands)</w:t>
            </w:r>
          </w:p>
        </w:tc>
        <w:tc>
          <w:tcPr>
            <w:tcW w:w="340" w:type="dxa"/>
            <w:vAlign w:val="bottom"/>
            <w:tcBorders>
              <w:bottom w:val="single" w:sz="8" w:color="auto"/>
            </w:tcBorders>
          </w:tcPr>
          <w:p>
            <w:pPr>
              <w:spacing w:after="0"/>
              <w:rPr>
                <w:sz w:val="18"/>
                <w:szCs w:val="18"/>
                <w:color w:val="auto"/>
              </w:rPr>
            </w:pPr>
          </w:p>
        </w:tc>
        <w:tc>
          <w:tcPr>
            <w:tcW w:w="1280" w:type="dxa"/>
            <w:vAlign w:val="bottom"/>
            <w:tcBorders>
              <w:bottom w:val="single" w:sz="8" w:color="auto"/>
            </w:tcBorders>
          </w:tcPr>
          <w:p>
            <w:pPr>
              <w:jc w:val="right"/>
              <w:ind w:right="590"/>
              <w:spacing w:after="0"/>
              <w:rPr>
                <w:sz w:val="20"/>
                <w:szCs w:val="20"/>
                <w:color w:val="auto"/>
              </w:rPr>
            </w:pPr>
            <w:r>
              <w:rPr>
                <w:rFonts w:ascii="Arial" w:cs="Arial" w:eastAsia="Arial" w:hAnsi="Arial"/>
                <w:sz w:val="18"/>
                <w:szCs w:val="18"/>
                <w:b w:val="1"/>
                <w:bCs w:val="1"/>
                <w:color w:val="auto"/>
              </w:rPr>
              <w:t>2021</w:t>
            </w:r>
          </w:p>
        </w:tc>
        <w:tc>
          <w:tcPr>
            <w:tcW w:w="100" w:type="dxa"/>
            <w:vAlign w:val="bottom"/>
          </w:tcPr>
          <w:p>
            <w:pPr>
              <w:spacing w:after="0"/>
              <w:rPr>
                <w:sz w:val="18"/>
                <w:szCs w:val="18"/>
                <w:color w:val="auto"/>
              </w:rPr>
            </w:pPr>
          </w:p>
        </w:tc>
        <w:tc>
          <w:tcPr>
            <w:tcW w:w="480" w:type="dxa"/>
            <w:vAlign w:val="bottom"/>
            <w:tcBorders>
              <w:bottom w:val="single" w:sz="8" w:color="auto"/>
            </w:tcBorders>
          </w:tcPr>
          <w:p>
            <w:pPr>
              <w:spacing w:after="0"/>
              <w:rPr>
                <w:sz w:val="18"/>
                <w:szCs w:val="18"/>
                <w:color w:val="auto"/>
              </w:rPr>
            </w:pPr>
          </w:p>
        </w:tc>
        <w:tc>
          <w:tcPr>
            <w:tcW w:w="1100" w:type="dxa"/>
            <w:vAlign w:val="bottom"/>
            <w:tcBorders>
              <w:bottom w:val="single" w:sz="8" w:color="auto"/>
            </w:tcBorders>
          </w:tcPr>
          <w:p>
            <w:pPr>
              <w:jc w:val="right"/>
              <w:ind w:right="570"/>
              <w:spacing w:after="0"/>
              <w:rPr>
                <w:sz w:val="20"/>
                <w:szCs w:val="20"/>
                <w:color w:val="auto"/>
              </w:rPr>
            </w:pPr>
            <w:r>
              <w:rPr>
                <w:rFonts w:ascii="Arial" w:cs="Arial" w:eastAsia="Arial" w:hAnsi="Arial"/>
                <w:sz w:val="18"/>
                <w:szCs w:val="18"/>
                <w:b w:val="1"/>
                <w:bCs w:val="1"/>
                <w:color w:val="auto"/>
              </w:rPr>
              <w:t>2020</w:t>
            </w:r>
          </w:p>
        </w:tc>
      </w:tr>
      <w:tr>
        <w:trPr>
          <w:trHeight w:val="210"/>
        </w:trPr>
        <w:tc>
          <w:tcPr>
            <w:tcW w:w="7360" w:type="dxa"/>
            <w:vAlign w:val="bottom"/>
            <w:shd w:val="clear" w:color="auto" w:fill="CCEEFF"/>
          </w:tcPr>
          <w:p>
            <w:pPr>
              <w:spacing w:after="0"/>
              <w:rPr>
                <w:sz w:val="20"/>
                <w:szCs w:val="20"/>
                <w:color w:val="auto"/>
              </w:rPr>
            </w:pPr>
            <w:r>
              <w:rPr>
                <w:rFonts w:ascii="Arial" w:cs="Arial" w:eastAsia="Arial" w:hAnsi="Arial"/>
                <w:sz w:val="18"/>
                <w:szCs w:val="18"/>
                <w:color w:val="auto"/>
              </w:rPr>
              <w:t>Compensation</w:t>
            </w:r>
          </w:p>
        </w:tc>
        <w:tc>
          <w:tcPr>
            <w:tcW w:w="340" w:type="dxa"/>
            <w:vAlign w:val="bottom"/>
            <w:shd w:val="clear" w:color="auto" w:fill="CCEEFF"/>
          </w:tcPr>
          <w:p>
            <w:pPr>
              <w:jc w:val="right"/>
              <w:ind w:right="150"/>
              <w:spacing w:after="0"/>
              <w:rPr>
                <w:sz w:val="20"/>
                <w:szCs w:val="20"/>
                <w:color w:val="auto"/>
              </w:rPr>
            </w:pPr>
            <w:r>
              <w:rPr>
                <w:rFonts w:ascii="Arial" w:cs="Arial" w:eastAsia="Arial" w:hAnsi="Arial"/>
                <w:sz w:val="18"/>
                <w:szCs w:val="18"/>
                <w:color w:val="auto"/>
                <w:w w:val="79"/>
              </w:rPr>
              <w:t>$</w:t>
            </w:r>
          </w:p>
        </w:tc>
        <w:tc>
          <w:tcPr>
            <w:tcW w:w="128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6,048</w:t>
            </w:r>
          </w:p>
        </w:tc>
        <w:tc>
          <w:tcPr>
            <w:tcW w:w="10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110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3,715</w:t>
            </w:r>
          </w:p>
        </w:tc>
      </w:tr>
      <w:tr>
        <w:trPr>
          <w:trHeight w:val="216"/>
        </w:trPr>
        <w:tc>
          <w:tcPr>
            <w:tcW w:w="7360" w:type="dxa"/>
            <w:vAlign w:val="bottom"/>
          </w:tcPr>
          <w:p>
            <w:pPr>
              <w:spacing w:after="0"/>
              <w:rPr>
                <w:sz w:val="20"/>
                <w:szCs w:val="20"/>
                <w:color w:val="auto"/>
              </w:rPr>
            </w:pPr>
            <w:r>
              <w:rPr>
                <w:rFonts w:ascii="Arial" w:cs="Arial" w:eastAsia="Arial" w:hAnsi="Arial"/>
                <w:sz w:val="18"/>
                <w:szCs w:val="18"/>
                <w:color w:val="auto"/>
              </w:rPr>
              <w:t>Professional fees</w:t>
            </w:r>
          </w:p>
        </w:tc>
        <w:tc>
          <w:tcPr>
            <w:tcW w:w="340" w:type="dxa"/>
            <w:vAlign w:val="bottom"/>
          </w:tcPr>
          <w:p>
            <w:pPr>
              <w:spacing w:after="0"/>
              <w:rPr>
                <w:sz w:val="18"/>
                <w:szCs w:val="18"/>
                <w:color w:val="auto"/>
              </w:rPr>
            </w:pPr>
          </w:p>
        </w:tc>
        <w:tc>
          <w:tcPr>
            <w:tcW w:w="1280" w:type="dxa"/>
            <w:vAlign w:val="bottom"/>
          </w:tcPr>
          <w:p>
            <w:pPr>
              <w:jc w:val="right"/>
              <w:ind w:right="30"/>
              <w:spacing w:after="0"/>
              <w:rPr>
                <w:sz w:val="20"/>
                <w:szCs w:val="20"/>
                <w:color w:val="auto"/>
              </w:rPr>
            </w:pPr>
            <w:r>
              <w:rPr>
                <w:rFonts w:ascii="Arial" w:cs="Arial" w:eastAsia="Arial" w:hAnsi="Arial"/>
                <w:sz w:val="18"/>
                <w:szCs w:val="18"/>
                <w:color w:val="auto"/>
              </w:rPr>
              <w:t>480</w:t>
            </w:r>
          </w:p>
        </w:tc>
        <w:tc>
          <w:tcPr>
            <w:tcW w:w="10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1100" w:type="dxa"/>
            <w:vAlign w:val="bottom"/>
          </w:tcPr>
          <w:p>
            <w:pPr>
              <w:jc w:val="right"/>
              <w:ind w:right="10"/>
              <w:spacing w:after="0"/>
              <w:rPr>
                <w:sz w:val="20"/>
                <w:szCs w:val="20"/>
                <w:color w:val="auto"/>
              </w:rPr>
            </w:pPr>
            <w:r>
              <w:rPr>
                <w:rFonts w:ascii="Arial" w:cs="Arial" w:eastAsia="Arial" w:hAnsi="Arial"/>
                <w:sz w:val="18"/>
                <w:szCs w:val="18"/>
                <w:color w:val="auto"/>
              </w:rPr>
              <w:t>432</w:t>
            </w:r>
          </w:p>
        </w:tc>
      </w:tr>
      <w:tr>
        <w:trPr>
          <w:trHeight w:val="216"/>
        </w:trPr>
        <w:tc>
          <w:tcPr>
            <w:tcW w:w="7360" w:type="dxa"/>
            <w:vAlign w:val="bottom"/>
            <w:shd w:val="clear" w:color="auto" w:fill="CCEEFF"/>
          </w:tcPr>
          <w:p>
            <w:pPr>
              <w:spacing w:after="0"/>
              <w:rPr>
                <w:sz w:val="20"/>
                <w:szCs w:val="20"/>
                <w:color w:val="auto"/>
              </w:rPr>
            </w:pPr>
            <w:r>
              <w:rPr>
                <w:rFonts w:ascii="Arial" w:cs="Arial" w:eastAsia="Arial" w:hAnsi="Arial"/>
                <w:sz w:val="18"/>
                <w:szCs w:val="18"/>
                <w:color w:val="auto"/>
              </w:rPr>
              <w:t>Warranty costs</w:t>
            </w:r>
          </w:p>
        </w:tc>
        <w:tc>
          <w:tcPr>
            <w:tcW w:w="340" w:type="dxa"/>
            <w:vAlign w:val="bottom"/>
            <w:shd w:val="clear" w:color="auto" w:fill="CCEEFF"/>
          </w:tcPr>
          <w:p>
            <w:pPr>
              <w:spacing w:after="0"/>
              <w:rPr>
                <w:sz w:val="18"/>
                <w:szCs w:val="18"/>
                <w:color w:val="auto"/>
              </w:rPr>
            </w:pPr>
          </w:p>
        </w:tc>
        <w:tc>
          <w:tcPr>
            <w:tcW w:w="128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240</w:t>
            </w:r>
          </w:p>
        </w:tc>
        <w:tc>
          <w:tcPr>
            <w:tcW w:w="10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110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185</w:t>
            </w:r>
          </w:p>
        </w:tc>
      </w:tr>
      <w:tr>
        <w:trPr>
          <w:trHeight w:val="216"/>
        </w:trPr>
        <w:tc>
          <w:tcPr>
            <w:tcW w:w="7360" w:type="dxa"/>
            <w:vAlign w:val="bottom"/>
          </w:tcPr>
          <w:p>
            <w:pPr>
              <w:spacing w:after="0"/>
              <w:rPr>
                <w:sz w:val="20"/>
                <w:szCs w:val="20"/>
                <w:color w:val="auto"/>
              </w:rPr>
            </w:pPr>
            <w:r>
              <w:rPr>
                <w:rFonts w:ascii="Arial" w:cs="Arial" w:eastAsia="Arial" w:hAnsi="Arial"/>
                <w:sz w:val="18"/>
                <w:szCs w:val="18"/>
                <w:color w:val="auto"/>
              </w:rPr>
              <w:t>Customer related costs</w:t>
            </w:r>
          </w:p>
        </w:tc>
        <w:tc>
          <w:tcPr>
            <w:tcW w:w="340" w:type="dxa"/>
            <w:vAlign w:val="bottom"/>
          </w:tcPr>
          <w:p>
            <w:pPr>
              <w:spacing w:after="0"/>
              <w:rPr>
                <w:sz w:val="18"/>
                <w:szCs w:val="18"/>
                <w:color w:val="auto"/>
              </w:rPr>
            </w:pPr>
          </w:p>
        </w:tc>
        <w:tc>
          <w:tcPr>
            <w:tcW w:w="1280" w:type="dxa"/>
            <w:vAlign w:val="bottom"/>
          </w:tcPr>
          <w:p>
            <w:pPr>
              <w:jc w:val="right"/>
              <w:ind w:right="30"/>
              <w:spacing w:after="0"/>
              <w:rPr>
                <w:sz w:val="20"/>
                <w:szCs w:val="20"/>
                <w:color w:val="auto"/>
              </w:rPr>
            </w:pPr>
            <w:r>
              <w:rPr>
                <w:rFonts w:ascii="Arial" w:cs="Arial" w:eastAsia="Arial" w:hAnsi="Arial"/>
                <w:sz w:val="18"/>
                <w:szCs w:val="18"/>
                <w:color w:val="auto"/>
              </w:rPr>
              <w:t>2,265</w:t>
            </w:r>
          </w:p>
        </w:tc>
        <w:tc>
          <w:tcPr>
            <w:tcW w:w="10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1100" w:type="dxa"/>
            <w:vAlign w:val="bottom"/>
          </w:tcPr>
          <w:p>
            <w:pPr>
              <w:jc w:val="right"/>
              <w:ind w:right="10"/>
              <w:spacing w:after="0"/>
              <w:rPr>
                <w:sz w:val="20"/>
                <w:szCs w:val="20"/>
                <w:color w:val="auto"/>
              </w:rPr>
            </w:pPr>
            <w:r>
              <w:rPr>
                <w:rFonts w:ascii="Arial" w:cs="Arial" w:eastAsia="Arial" w:hAnsi="Arial"/>
                <w:sz w:val="18"/>
                <w:szCs w:val="18"/>
                <w:color w:val="auto"/>
              </w:rPr>
              <w:t>1,093</w:t>
            </w:r>
          </w:p>
        </w:tc>
      </w:tr>
      <w:tr>
        <w:trPr>
          <w:trHeight w:val="216"/>
        </w:trPr>
        <w:tc>
          <w:tcPr>
            <w:tcW w:w="7360" w:type="dxa"/>
            <w:vAlign w:val="bottom"/>
            <w:shd w:val="clear" w:color="auto" w:fill="CCEEFF"/>
          </w:tcPr>
          <w:p>
            <w:pPr>
              <w:spacing w:after="0"/>
              <w:rPr>
                <w:sz w:val="20"/>
                <w:szCs w:val="20"/>
                <w:color w:val="auto"/>
              </w:rPr>
            </w:pPr>
            <w:r>
              <w:rPr>
                <w:rFonts w:ascii="Arial" w:cs="Arial" w:eastAsia="Arial" w:hAnsi="Arial"/>
                <w:sz w:val="18"/>
                <w:szCs w:val="18"/>
                <w:color w:val="auto"/>
              </w:rPr>
              <w:t>Accrued income taxes</w:t>
            </w:r>
          </w:p>
        </w:tc>
        <w:tc>
          <w:tcPr>
            <w:tcW w:w="340" w:type="dxa"/>
            <w:vAlign w:val="bottom"/>
            <w:shd w:val="clear" w:color="auto" w:fill="CCEEFF"/>
          </w:tcPr>
          <w:p>
            <w:pPr>
              <w:spacing w:after="0"/>
              <w:rPr>
                <w:sz w:val="18"/>
                <w:szCs w:val="18"/>
                <w:color w:val="auto"/>
              </w:rPr>
            </w:pPr>
          </w:p>
        </w:tc>
        <w:tc>
          <w:tcPr>
            <w:tcW w:w="128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224</w:t>
            </w:r>
          </w:p>
        </w:tc>
        <w:tc>
          <w:tcPr>
            <w:tcW w:w="10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110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286</w:t>
            </w:r>
          </w:p>
        </w:tc>
      </w:tr>
      <w:tr>
        <w:trPr>
          <w:trHeight w:val="216"/>
        </w:trPr>
        <w:tc>
          <w:tcPr>
            <w:tcW w:w="7360" w:type="dxa"/>
            <w:vAlign w:val="bottom"/>
          </w:tcPr>
          <w:p>
            <w:pPr>
              <w:spacing w:after="0"/>
              <w:rPr>
                <w:sz w:val="20"/>
                <w:szCs w:val="20"/>
                <w:color w:val="auto"/>
              </w:rPr>
            </w:pPr>
            <w:r>
              <w:rPr>
                <w:rFonts w:ascii="Arial" w:cs="Arial" w:eastAsia="Arial" w:hAnsi="Arial"/>
                <w:sz w:val="18"/>
                <w:szCs w:val="18"/>
                <w:color w:val="auto"/>
              </w:rPr>
              <w:t>Other</w:t>
            </w:r>
          </w:p>
        </w:tc>
        <w:tc>
          <w:tcPr>
            <w:tcW w:w="340" w:type="dxa"/>
            <w:vAlign w:val="bottom"/>
            <w:tcBorders>
              <w:bottom w:val="single" w:sz="8" w:color="auto"/>
            </w:tcBorders>
          </w:tcPr>
          <w:p>
            <w:pPr>
              <w:spacing w:after="0"/>
              <w:rPr>
                <w:sz w:val="18"/>
                <w:szCs w:val="18"/>
                <w:color w:val="auto"/>
              </w:rPr>
            </w:pPr>
          </w:p>
        </w:tc>
        <w:tc>
          <w:tcPr>
            <w:tcW w:w="128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1,505</w:t>
            </w:r>
          </w:p>
        </w:tc>
        <w:tc>
          <w:tcPr>
            <w:tcW w:w="100" w:type="dxa"/>
            <w:vAlign w:val="bottom"/>
          </w:tcPr>
          <w:p>
            <w:pPr>
              <w:spacing w:after="0"/>
              <w:rPr>
                <w:sz w:val="18"/>
                <w:szCs w:val="18"/>
                <w:color w:val="auto"/>
              </w:rPr>
            </w:pPr>
          </w:p>
        </w:tc>
        <w:tc>
          <w:tcPr>
            <w:tcW w:w="480" w:type="dxa"/>
            <w:vAlign w:val="bottom"/>
            <w:tcBorders>
              <w:bottom w:val="single" w:sz="8" w:color="auto"/>
            </w:tcBorders>
          </w:tcPr>
          <w:p>
            <w:pPr>
              <w:spacing w:after="0"/>
              <w:rPr>
                <w:sz w:val="18"/>
                <w:szCs w:val="18"/>
                <w:color w:val="auto"/>
              </w:rPr>
            </w:pPr>
          </w:p>
        </w:tc>
        <w:tc>
          <w:tcPr>
            <w:tcW w:w="110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1,767</w:t>
            </w:r>
          </w:p>
        </w:tc>
      </w:tr>
      <w:tr>
        <w:trPr>
          <w:trHeight w:val="250"/>
        </w:trPr>
        <w:tc>
          <w:tcPr>
            <w:tcW w:w="736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Total</w:t>
            </w:r>
          </w:p>
        </w:tc>
        <w:tc>
          <w:tcPr>
            <w:tcW w:w="340" w:type="dxa"/>
            <w:vAlign w:val="bottom"/>
            <w:tcBorders>
              <w:bottom w:val="single" w:sz="8" w:color="auto"/>
            </w:tcBorders>
            <w:shd w:val="clear" w:color="auto" w:fill="CCEEFF"/>
          </w:tcPr>
          <w:p>
            <w:pPr>
              <w:jc w:val="right"/>
              <w:ind w:right="150"/>
              <w:spacing w:after="0"/>
              <w:rPr>
                <w:sz w:val="20"/>
                <w:szCs w:val="20"/>
                <w:color w:val="auto"/>
              </w:rPr>
            </w:pPr>
            <w:r>
              <w:rPr>
                <w:rFonts w:ascii="Arial" w:cs="Arial" w:eastAsia="Arial" w:hAnsi="Arial"/>
                <w:sz w:val="18"/>
                <w:szCs w:val="18"/>
                <w:color w:val="auto"/>
                <w:w w:val="79"/>
              </w:rPr>
              <w:t>$</w:t>
            </w:r>
          </w:p>
        </w:tc>
        <w:tc>
          <w:tcPr>
            <w:tcW w:w="128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rPr>
              <w:t>10,762</w:t>
            </w:r>
          </w:p>
        </w:tc>
        <w:tc>
          <w:tcPr>
            <w:tcW w:w="100" w:type="dxa"/>
            <w:vAlign w:val="bottom"/>
            <w:tcBorders>
              <w:bottom w:val="single" w:sz="8" w:color="CCEEFF"/>
            </w:tcBorders>
            <w:shd w:val="clear" w:color="auto" w:fill="CCEEFF"/>
          </w:tcPr>
          <w:p>
            <w:pPr>
              <w:spacing w:after="0"/>
              <w:rPr>
                <w:sz w:val="21"/>
                <w:szCs w:val="21"/>
                <w:color w:val="auto"/>
              </w:rPr>
            </w:pPr>
          </w:p>
        </w:tc>
        <w:tc>
          <w:tcPr>
            <w:tcW w:w="480" w:type="dxa"/>
            <w:vAlign w:val="bottom"/>
            <w:tcBorders>
              <w:bottom w:val="single" w:sz="8" w:color="auto"/>
            </w:tcBorders>
            <w:shd w:val="clear" w:color="auto" w:fill="CCEEFF"/>
          </w:tcPr>
          <w:p>
            <w:pPr>
              <w:jc w:val="right"/>
              <w:ind w:right="290"/>
              <w:spacing w:after="0"/>
              <w:rPr>
                <w:sz w:val="20"/>
                <w:szCs w:val="20"/>
                <w:color w:val="auto"/>
              </w:rPr>
            </w:pPr>
            <w:r>
              <w:rPr>
                <w:rFonts w:ascii="Arial" w:cs="Arial" w:eastAsia="Arial" w:hAnsi="Arial"/>
                <w:sz w:val="18"/>
                <w:szCs w:val="18"/>
                <w:color w:val="auto"/>
                <w:w w:val="79"/>
              </w:rPr>
              <w:t>$</w:t>
            </w:r>
          </w:p>
        </w:tc>
        <w:tc>
          <w:tcPr>
            <w:tcW w:w="110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7,478</w:t>
            </w:r>
          </w:p>
        </w:tc>
      </w:tr>
    </w:tbl>
    <w:p>
      <w:pPr>
        <w:spacing w:after="0" w:line="200" w:lineRule="exact"/>
        <w:rPr>
          <w:sz w:val="20"/>
          <w:szCs w:val="20"/>
          <w:color w:val="auto"/>
        </w:rPr>
      </w:pPr>
    </w:p>
    <w:p>
      <w:pPr>
        <w:spacing w:after="0" w:line="200" w:lineRule="exact"/>
        <w:rPr>
          <w:sz w:val="20"/>
          <w:szCs w:val="20"/>
          <w:color w:val="auto"/>
        </w:rPr>
      </w:pPr>
    </w:p>
    <w:p>
      <w:pPr>
        <w:spacing w:after="0" w:line="227" w:lineRule="exact"/>
        <w:rPr>
          <w:sz w:val="20"/>
          <w:szCs w:val="20"/>
          <w:color w:val="auto"/>
        </w:rPr>
      </w:pPr>
    </w:p>
    <w:p>
      <w:pPr>
        <w:jc w:val="center"/>
        <w:ind w:right="80"/>
        <w:spacing w:after="0"/>
        <w:rPr>
          <w:sz w:val="20"/>
          <w:szCs w:val="20"/>
          <w:color w:val="auto"/>
        </w:rPr>
      </w:pPr>
      <w:r>
        <w:rPr>
          <w:rFonts w:ascii="Arial" w:cs="Arial" w:eastAsia="Arial" w:hAnsi="Arial"/>
          <w:sz w:val="22"/>
          <w:szCs w:val="22"/>
          <w:color w:val="auto"/>
        </w:rPr>
        <w:t>F- 16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75565</wp:posOffset>
            </wp:positionV>
            <wp:extent cx="7132320" cy="1714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320"/>
          </w:cols>
          <w:pgMar w:left="320" w:top="125" w:right="259" w:bottom="1440" w:gutter="0" w:footer="0" w:header="0"/>
        </w:sectPr>
      </w:pPr>
    </w:p>
    <w:bookmarkStart w:id="45" w:name="page46"/>
    <w:bookmarkEnd w:id="45"/>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64" w:lineRule="exact"/>
        <w:rPr>
          <w:sz w:val="20"/>
          <w:szCs w:val="20"/>
          <w:color w:val="auto"/>
        </w:rPr>
      </w:pPr>
    </w:p>
    <w:p>
      <w:pPr>
        <w:ind w:left="1300" w:hanging="644"/>
        <w:spacing w:after="0"/>
        <w:tabs>
          <w:tab w:leader="none" w:pos="1300" w:val="left"/>
        </w:tabs>
        <w:numPr>
          <w:ilvl w:val="0"/>
          <w:numId w:val="19"/>
        </w:numPr>
        <w:rPr>
          <w:rFonts w:ascii="Arial" w:cs="Arial" w:eastAsia="Arial" w:hAnsi="Arial"/>
          <w:sz w:val="18"/>
          <w:szCs w:val="18"/>
          <w:b w:val="1"/>
          <w:bCs w:val="1"/>
          <w:color w:val="auto"/>
        </w:rPr>
      </w:pPr>
      <w:r>
        <w:rPr>
          <w:rFonts w:ascii="Arial" w:cs="Arial" w:eastAsia="Arial" w:hAnsi="Arial"/>
          <w:sz w:val="18"/>
          <w:szCs w:val="18"/>
          <w:b w:val="1"/>
          <w:bCs w:val="1"/>
          <w:color w:val="auto"/>
        </w:rPr>
        <w:t>Restructuring and Other Exit Costs</w:t>
      </w:r>
    </w:p>
    <w:p>
      <w:pPr>
        <w:spacing w:after="0" w:line="256" w:lineRule="exact"/>
        <w:rPr>
          <w:sz w:val="20"/>
          <w:szCs w:val="20"/>
          <w:color w:val="auto"/>
        </w:rPr>
      </w:pPr>
    </w:p>
    <w:p>
      <w:pPr>
        <w:jc w:val="both"/>
        <w:ind w:right="80" w:firstLine="648"/>
        <w:spacing w:after="0" w:line="279" w:lineRule="auto"/>
        <w:rPr>
          <w:sz w:val="20"/>
          <w:szCs w:val="20"/>
          <w:color w:val="auto"/>
        </w:rPr>
      </w:pPr>
      <w:r>
        <w:rPr>
          <w:rFonts w:ascii="Arial" w:cs="Arial" w:eastAsia="Arial" w:hAnsi="Arial"/>
          <w:sz w:val="17"/>
          <w:szCs w:val="17"/>
          <w:color w:val="auto"/>
        </w:rPr>
        <w:t xml:space="preserve">On an ongoing basis, the Company reviews the global economy, the healthcare industry, and the markets in which it competes to identify operational efficiencies, enhance commercial capabilities and align its cost base and infrastructure with customer needs and its strategic plans. In order to realize these opportunities, the Company undertakes activities from time to time to transform its business. A portion of these transformation activities are considered restructuring costs under </w:t>
      </w:r>
      <w:r>
        <w:rPr>
          <w:rFonts w:ascii="Arial" w:cs="Arial" w:eastAsia="Arial" w:hAnsi="Arial"/>
          <w:sz w:val="17"/>
          <w:szCs w:val="17"/>
          <w:i w:val="1"/>
          <w:iCs w:val="1"/>
          <w:color w:val="auto"/>
        </w:rPr>
        <w:t>ASC 420</w:t>
      </w:r>
      <w:r>
        <w:rPr>
          <w:rFonts w:ascii="Arial" w:cs="Arial" w:eastAsia="Arial" w:hAnsi="Arial"/>
          <w:sz w:val="17"/>
          <w:szCs w:val="17"/>
          <w:color w:val="auto"/>
        </w:rPr>
        <w:t xml:space="preserve"> – </w:t>
      </w:r>
      <w:r>
        <w:rPr>
          <w:rFonts w:ascii="Arial" w:cs="Arial" w:eastAsia="Arial" w:hAnsi="Arial"/>
          <w:sz w:val="17"/>
          <w:szCs w:val="17"/>
          <w:i w:val="1"/>
          <w:iCs w:val="1"/>
          <w:color w:val="auto"/>
        </w:rPr>
        <w:t>Exit or Disposal Cost Obligations</w:t>
      </w:r>
      <w:r>
        <w:rPr>
          <w:rFonts w:ascii="Arial" w:cs="Arial" w:eastAsia="Arial" w:hAnsi="Arial"/>
          <w:sz w:val="17"/>
          <w:szCs w:val="17"/>
          <w:color w:val="auto"/>
        </w:rPr>
        <w:t xml:space="preserve"> and are discussed below.</w:t>
      </w:r>
    </w:p>
    <w:p>
      <w:pPr>
        <w:spacing w:after="0" w:line="171" w:lineRule="exact"/>
        <w:rPr>
          <w:sz w:val="20"/>
          <w:szCs w:val="20"/>
          <w:color w:val="auto"/>
        </w:rPr>
      </w:pPr>
    </w:p>
    <w:p>
      <w:pPr>
        <w:jc w:val="both"/>
        <w:ind w:right="80" w:firstLine="648"/>
        <w:spacing w:after="0" w:line="263" w:lineRule="auto"/>
        <w:rPr>
          <w:sz w:val="20"/>
          <w:szCs w:val="20"/>
          <w:color w:val="auto"/>
        </w:rPr>
      </w:pPr>
      <w:r>
        <w:rPr>
          <w:rFonts w:ascii="Arial" w:cs="Arial" w:eastAsia="Arial" w:hAnsi="Arial"/>
          <w:sz w:val="18"/>
          <w:szCs w:val="18"/>
          <w:color w:val="auto"/>
        </w:rPr>
        <w:t>During 2019, the Company initiated a restructuring program to improve operational efficiency and reduce costs which entailed consolidating and downsizing several sites and headcount reductions in Europe and North America. The Company incurred approximately $4.7 million of costs under this program which was completed in 2021.</w:t>
      </w:r>
    </w:p>
    <w:p>
      <w:pPr>
        <w:spacing w:after="0" w:line="184"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The following table summarizes the activity for accrued restructuring liability for the years ended December 31, 2021 and 2020:</w:t>
      </w:r>
    </w:p>
    <w:p>
      <w:pPr>
        <w:spacing w:after="0" w:line="221" w:lineRule="exact"/>
        <w:rPr>
          <w:sz w:val="20"/>
          <w:szCs w:val="20"/>
          <w:color w:val="auto"/>
        </w:rPr>
      </w:pPr>
    </w:p>
    <w:tbl>
      <w:tblPr>
        <w:tblLayout w:type="fixed"/>
        <w:tblInd w:w="660" w:type="dxa"/>
        <w:tblCellMar>
          <w:top w:w="0" w:type="dxa"/>
          <w:left w:w="0" w:type="dxa"/>
          <w:bottom w:w="0" w:type="dxa"/>
          <w:right w:w="0" w:type="dxa"/>
        </w:tblCellMar>
      </w:tblPr>
      <w:tr>
        <w:trPr>
          <w:trHeight w:val="234"/>
        </w:trPr>
        <w:tc>
          <w:tcPr>
            <w:tcW w:w="4040" w:type="dxa"/>
            <w:vAlign w:val="bottom"/>
          </w:tcPr>
          <w:p>
            <w:pPr>
              <w:spacing w:after="0"/>
              <w:rPr>
                <w:sz w:val="20"/>
                <w:szCs w:val="20"/>
                <w:color w:val="auto"/>
              </w:rPr>
            </w:pPr>
            <w:r>
              <w:rPr>
                <w:rFonts w:ascii="Arial" w:cs="Arial" w:eastAsia="Arial" w:hAnsi="Arial"/>
                <w:sz w:val="18"/>
                <w:szCs w:val="18"/>
                <w:color w:val="auto"/>
              </w:rPr>
              <w:t>(in thousands)</w:t>
            </w:r>
          </w:p>
        </w:tc>
        <w:tc>
          <w:tcPr>
            <w:tcW w:w="1620" w:type="dxa"/>
            <w:vAlign w:val="bottom"/>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1380" w:type="dxa"/>
            <w:vAlign w:val="bottom"/>
            <w:tcBorders>
              <w:bottom w:val="single" w:sz="8" w:color="auto"/>
            </w:tcBorders>
          </w:tcPr>
          <w:p>
            <w:pPr>
              <w:jc w:val="right"/>
              <w:ind w:right="370"/>
              <w:spacing w:after="0"/>
              <w:rPr>
                <w:sz w:val="20"/>
                <w:szCs w:val="20"/>
                <w:color w:val="auto"/>
              </w:rPr>
            </w:pPr>
            <w:r>
              <w:rPr>
                <w:rFonts w:ascii="Arial" w:cs="Arial" w:eastAsia="Arial" w:hAnsi="Arial"/>
                <w:sz w:val="18"/>
                <w:szCs w:val="18"/>
                <w:b w:val="1"/>
                <w:bCs w:val="1"/>
                <w:color w:val="auto"/>
                <w:w w:val="99"/>
              </w:rPr>
              <w:t>Severance</w:t>
            </w:r>
          </w:p>
        </w:tc>
        <w:tc>
          <w:tcPr>
            <w:tcW w:w="100" w:type="dxa"/>
            <w:vAlign w:val="bottom"/>
          </w:tcPr>
          <w:p>
            <w:pPr>
              <w:spacing w:after="0"/>
              <w:rPr>
                <w:sz w:val="20"/>
                <w:szCs w:val="20"/>
                <w:color w:val="auto"/>
              </w:rPr>
            </w:pPr>
          </w:p>
        </w:tc>
        <w:tc>
          <w:tcPr>
            <w:tcW w:w="108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b w:val="1"/>
                <w:bCs w:val="1"/>
                <w:color w:val="auto"/>
              </w:rPr>
              <w:t>Other</w:t>
            </w:r>
          </w:p>
        </w:tc>
        <w:tc>
          <w:tcPr>
            <w:tcW w:w="540" w:type="dxa"/>
            <w:vAlign w:val="bottom"/>
            <w:tcBorders>
              <w:bottom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320" w:type="dxa"/>
            <w:vAlign w:val="bottom"/>
            <w:tcBorders>
              <w:bottom w:val="single" w:sz="8" w:color="auto"/>
            </w:tcBorders>
          </w:tcPr>
          <w:p>
            <w:pPr>
              <w:spacing w:after="0"/>
              <w:rPr>
                <w:sz w:val="20"/>
                <w:szCs w:val="20"/>
                <w:color w:val="auto"/>
              </w:rPr>
            </w:pPr>
          </w:p>
        </w:tc>
        <w:tc>
          <w:tcPr>
            <w:tcW w:w="1260" w:type="dxa"/>
            <w:vAlign w:val="bottom"/>
            <w:tcBorders>
              <w:bottom w:val="single" w:sz="8" w:color="auto"/>
            </w:tcBorders>
          </w:tcPr>
          <w:p>
            <w:pPr>
              <w:jc w:val="right"/>
              <w:ind w:right="550"/>
              <w:spacing w:after="0"/>
              <w:rPr>
                <w:sz w:val="20"/>
                <w:szCs w:val="20"/>
                <w:color w:val="auto"/>
              </w:rPr>
            </w:pPr>
            <w:r>
              <w:rPr>
                <w:rFonts w:ascii="Arial" w:cs="Arial" w:eastAsia="Arial" w:hAnsi="Arial"/>
                <w:sz w:val="18"/>
                <w:szCs w:val="18"/>
                <w:b w:val="1"/>
                <w:bCs w:val="1"/>
                <w:color w:val="auto"/>
              </w:rPr>
              <w:t>Total</w:t>
            </w:r>
          </w:p>
        </w:tc>
      </w:tr>
      <w:tr>
        <w:trPr>
          <w:trHeight w:val="210"/>
        </w:trPr>
        <w:tc>
          <w:tcPr>
            <w:tcW w:w="4040" w:type="dxa"/>
            <w:vAlign w:val="bottom"/>
            <w:shd w:val="clear" w:color="auto" w:fill="CCEEFF"/>
          </w:tcPr>
          <w:p>
            <w:pPr>
              <w:spacing w:after="0"/>
              <w:rPr>
                <w:sz w:val="20"/>
                <w:szCs w:val="20"/>
                <w:color w:val="auto"/>
              </w:rPr>
            </w:pPr>
            <w:r>
              <w:rPr>
                <w:rFonts w:ascii="Arial" w:cs="Arial" w:eastAsia="Arial" w:hAnsi="Arial"/>
                <w:sz w:val="18"/>
                <w:szCs w:val="18"/>
                <w:color w:val="auto"/>
              </w:rPr>
              <w:t>Balance at December 31, 2019</w:t>
            </w:r>
          </w:p>
        </w:tc>
        <w:tc>
          <w:tcPr>
            <w:tcW w:w="184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138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364</w:t>
            </w:r>
          </w:p>
        </w:tc>
        <w:tc>
          <w:tcPr>
            <w:tcW w:w="1180" w:type="dxa"/>
            <w:vAlign w:val="bottom"/>
            <w:gridSpan w:val="2"/>
            <w:shd w:val="clear" w:color="auto" w:fill="CCEEFF"/>
          </w:tcPr>
          <w:p>
            <w:pPr>
              <w:jc w:val="right"/>
              <w:ind w:right="890"/>
              <w:spacing w:after="0"/>
              <w:rPr>
                <w:sz w:val="20"/>
                <w:szCs w:val="20"/>
                <w:color w:val="auto"/>
              </w:rPr>
            </w:pPr>
            <w:r>
              <w:rPr>
                <w:rFonts w:ascii="Arial" w:cs="Arial" w:eastAsia="Arial" w:hAnsi="Arial"/>
                <w:sz w:val="18"/>
                <w:szCs w:val="18"/>
                <w:color w:val="auto"/>
              </w:rPr>
              <w:t>$</w:t>
            </w:r>
          </w:p>
        </w:tc>
        <w:tc>
          <w:tcPr>
            <w:tcW w:w="54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4</w:t>
            </w:r>
          </w:p>
        </w:tc>
        <w:tc>
          <w:tcPr>
            <w:tcW w:w="4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26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368</w:t>
            </w:r>
          </w:p>
        </w:tc>
      </w:tr>
      <w:tr>
        <w:trPr>
          <w:trHeight w:val="209"/>
        </w:trPr>
        <w:tc>
          <w:tcPr>
            <w:tcW w:w="4040" w:type="dxa"/>
            <w:vAlign w:val="bottom"/>
            <w:tcBorders>
              <w:top w:val="single" w:sz="8" w:color="CCEEFF"/>
            </w:tcBorders>
          </w:tcPr>
          <w:p>
            <w:pPr>
              <w:spacing w:after="0"/>
              <w:rPr>
                <w:sz w:val="20"/>
                <w:szCs w:val="20"/>
                <w:color w:val="auto"/>
              </w:rPr>
            </w:pPr>
            <w:r>
              <w:rPr>
                <w:rFonts w:ascii="Arial" w:cs="Arial" w:eastAsia="Arial" w:hAnsi="Arial"/>
                <w:sz w:val="18"/>
                <w:szCs w:val="18"/>
                <w:color w:val="auto"/>
              </w:rPr>
              <w:t>Restructuring and other exit costs</w:t>
            </w:r>
          </w:p>
        </w:tc>
        <w:tc>
          <w:tcPr>
            <w:tcW w:w="1620" w:type="dxa"/>
            <w:vAlign w:val="bottom"/>
            <w:tcBorders>
              <w:top w:val="single" w:sz="8" w:color="CCEEFF"/>
            </w:tcBorders>
          </w:tcPr>
          <w:p>
            <w:pPr>
              <w:spacing w:after="0"/>
              <w:rPr>
                <w:sz w:val="18"/>
                <w:szCs w:val="18"/>
                <w:color w:val="auto"/>
              </w:rPr>
            </w:pPr>
          </w:p>
        </w:tc>
        <w:tc>
          <w:tcPr>
            <w:tcW w:w="220" w:type="dxa"/>
            <w:vAlign w:val="bottom"/>
            <w:tcBorders>
              <w:top w:val="single" w:sz="8" w:color="auto"/>
            </w:tcBorders>
          </w:tcPr>
          <w:p>
            <w:pPr>
              <w:spacing w:after="0"/>
              <w:rPr>
                <w:sz w:val="18"/>
                <w:szCs w:val="18"/>
                <w:color w:val="auto"/>
              </w:rPr>
            </w:pPr>
          </w:p>
        </w:tc>
        <w:tc>
          <w:tcPr>
            <w:tcW w:w="138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1,625</w:t>
            </w:r>
          </w:p>
        </w:tc>
        <w:tc>
          <w:tcPr>
            <w:tcW w:w="100" w:type="dxa"/>
            <w:vAlign w:val="bottom"/>
            <w:tcBorders>
              <w:top w:val="single" w:sz="8" w:color="CCEEFF"/>
            </w:tcBorders>
          </w:tcPr>
          <w:p>
            <w:pPr>
              <w:spacing w:after="0"/>
              <w:rPr>
                <w:sz w:val="18"/>
                <w:szCs w:val="18"/>
                <w:color w:val="auto"/>
              </w:rPr>
            </w:pPr>
          </w:p>
        </w:tc>
        <w:tc>
          <w:tcPr>
            <w:tcW w:w="1080" w:type="dxa"/>
            <w:vAlign w:val="bottom"/>
            <w:tcBorders>
              <w:top w:val="single" w:sz="8" w:color="auto"/>
            </w:tcBorders>
          </w:tcPr>
          <w:p>
            <w:pPr>
              <w:spacing w:after="0"/>
              <w:rPr>
                <w:sz w:val="18"/>
                <w:szCs w:val="18"/>
                <w:color w:val="auto"/>
              </w:rPr>
            </w:pPr>
          </w:p>
        </w:tc>
        <w:tc>
          <w:tcPr>
            <w:tcW w:w="540" w:type="dxa"/>
            <w:vAlign w:val="bottom"/>
            <w:tcBorders>
              <w:top w:val="single" w:sz="8" w:color="auto"/>
            </w:tcBorders>
          </w:tcPr>
          <w:p>
            <w:pPr>
              <w:jc w:val="right"/>
              <w:ind w:right="30"/>
              <w:spacing w:after="0"/>
              <w:rPr>
                <w:sz w:val="20"/>
                <w:szCs w:val="20"/>
                <w:color w:val="auto"/>
              </w:rPr>
            </w:pPr>
            <w:r>
              <w:rPr>
                <w:rFonts w:ascii="Arial" w:cs="Arial" w:eastAsia="Arial" w:hAnsi="Arial"/>
                <w:sz w:val="18"/>
                <w:szCs w:val="18"/>
                <w:color w:val="auto"/>
              </w:rPr>
              <w:t>408</w:t>
            </w:r>
          </w:p>
        </w:tc>
        <w:tc>
          <w:tcPr>
            <w:tcW w:w="100" w:type="dxa"/>
            <w:vAlign w:val="bottom"/>
            <w:tcBorders>
              <w:top w:val="single" w:sz="8" w:color="CCEEFF"/>
            </w:tcBorders>
          </w:tcPr>
          <w:p>
            <w:pPr>
              <w:spacing w:after="0"/>
              <w:rPr>
                <w:sz w:val="18"/>
                <w:szCs w:val="18"/>
                <w:color w:val="auto"/>
              </w:rPr>
            </w:pPr>
          </w:p>
        </w:tc>
        <w:tc>
          <w:tcPr>
            <w:tcW w:w="320" w:type="dxa"/>
            <w:vAlign w:val="bottom"/>
            <w:tcBorders>
              <w:top w:val="single" w:sz="8" w:color="auto"/>
            </w:tcBorders>
          </w:tcPr>
          <w:p>
            <w:pPr>
              <w:spacing w:after="0"/>
              <w:rPr>
                <w:sz w:val="18"/>
                <w:szCs w:val="18"/>
                <w:color w:val="auto"/>
              </w:rPr>
            </w:pPr>
          </w:p>
        </w:tc>
        <w:tc>
          <w:tcPr>
            <w:tcW w:w="126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2,033</w:t>
            </w:r>
          </w:p>
        </w:tc>
      </w:tr>
      <w:tr>
        <w:trPr>
          <w:trHeight w:val="216"/>
        </w:trPr>
        <w:tc>
          <w:tcPr>
            <w:tcW w:w="4040" w:type="dxa"/>
            <w:vAlign w:val="bottom"/>
            <w:shd w:val="clear" w:color="auto" w:fill="CCEEFF"/>
          </w:tcPr>
          <w:p>
            <w:pPr>
              <w:spacing w:after="0"/>
              <w:rPr>
                <w:sz w:val="20"/>
                <w:szCs w:val="20"/>
                <w:color w:val="auto"/>
              </w:rPr>
            </w:pPr>
            <w:r>
              <w:rPr>
                <w:rFonts w:ascii="Arial" w:cs="Arial" w:eastAsia="Arial" w:hAnsi="Arial"/>
                <w:sz w:val="18"/>
                <w:szCs w:val="18"/>
                <w:color w:val="auto"/>
              </w:rPr>
              <w:t>Non-cash charges</w:t>
            </w:r>
          </w:p>
        </w:tc>
        <w:tc>
          <w:tcPr>
            <w:tcW w:w="16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38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1080" w:type="dxa"/>
            <w:vAlign w:val="bottom"/>
            <w:shd w:val="clear" w:color="auto" w:fill="CCEEFF"/>
          </w:tcPr>
          <w:p>
            <w:pPr>
              <w:spacing w:after="0"/>
              <w:rPr>
                <w:sz w:val="18"/>
                <w:szCs w:val="18"/>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(168)</w:t>
            </w:r>
          </w:p>
        </w:tc>
        <w:tc>
          <w:tcPr>
            <w:tcW w:w="1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2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(168)</w:t>
            </w:r>
          </w:p>
        </w:tc>
      </w:tr>
      <w:tr>
        <w:trPr>
          <w:trHeight w:val="216"/>
        </w:trPr>
        <w:tc>
          <w:tcPr>
            <w:tcW w:w="4040" w:type="dxa"/>
            <w:vAlign w:val="bottom"/>
          </w:tcPr>
          <w:p>
            <w:pPr>
              <w:spacing w:after="0"/>
              <w:rPr>
                <w:sz w:val="20"/>
                <w:szCs w:val="20"/>
                <w:color w:val="auto"/>
              </w:rPr>
            </w:pPr>
            <w:r>
              <w:rPr>
                <w:rFonts w:ascii="Arial" w:cs="Arial" w:eastAsia="Arial" w:hAnsi="Arial"/>
                <w:sz w:val="18"/>
                <w:szCs w:val="18"/>
                <w:color w:val="auto"/>
              </w:rPr>
              <w:t>Cash payments</w:t>
            </w:r>
          </w:p>
        </w:tc>
        <w:tc>
          <w:tcPr>
            <w:tcW w:w="1620" w:type="dxa"/>
            <w:vAlign w:val="bottom"/>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13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(1,719)</w:t>
            </w:r>
          </w:p>
        </w:tc>
        <w:tc>
          <w:tcPr>
            <w:tcW w:w="100" w:type="dxa"/>
            <w:vAlign w:val="bottom"/>
          </w:tcPr>
          <w:p>
            <w:pPr>
              <w:spacing w:after="0"/>
              <w:rPr>
                <w:sz w:val="18"/>
                <w:szCs w:val="18"/>
                <w:color w:val="auto"/>
              </w:rPr>
            </w:pPr>
          </w:p>
        </w:tc>
        <w:tc>
          <w:tcPr>
            <w:tcW w:w="1080" w:type="dxa"/>
            <w:vAlign w:val="bottom"/>
            <w:tcBorders>
              <w:bottom w:val="single" w:sz="8" w:color="auto"/>
            </w:tcBorders>
          </w:tcPr>
          <w:p>
            <w:pPr>
              <w:spacing w:after="0"/>
              <w:rPr>
                <w:sz w:val="18"/>
                <w:szCs w:val="18"/>
                <w:color w:val="auto"/>
              </w:rPr>
            </w:pPr>
          </w:p>
        </w:tc>
        <w:tc>
          <w:tcPr>
            <w:tcW w:w="5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(226)</w:t>
            </w:r>
          </w:p>
        </w:tc>
        <w:tc>
          <w:tcPr>
            <w:tcW w:w="100" w:type="dxa"/>
            <w:vAlign w:val="bottom"/>
          </w:tcPr>
          <w:p>
            <w:pPr>
              <w:spacing w:after="0"/>
              <w:rPr>
                <w:sz w:val="18"/>
                <w:szCs w:val="18"/>
                <w:color w:val="auto"/>
              </w:rPr>
            </w:pPr>
          </w:p>
        </w:tc>
        <w:tc>
          <w:tcPr>
            <w:tcW w:w="320" w:type="dxa"/>
            <w:vAlign w:val="bottom"/>
            <w:tcBorders>
              <w:bottom w:val="single" w:sz="8" w:color="auto"/>
            </w:tcBorders>
          </w:tcPr>
          <w:p>
            <w:pPr>
              <w:spacing w:after="0"/>
              <w:rPr>
                <w:sz w:val="18"/>
                <w:szCs w:val="18"/>
                <w:color w:val="auto"/>
              </w:rPr>
            </w:pPr>
          </w:p>
        </w:tc>
        <w:tc>
          <w:tcPr>
            <w:tcW w:w="12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(1,945)</w:t>
            </w:r>
          </w:p>
        </w:tc>
      </w:tr>
      <w:tr>
        <w:trPr>
          <w:trHeight w:val="209"/>
        </w:trPr>
        <w:tc>
          <w:tcPr>
            <w:tcW w:w="4040" w:type="dxa"/>
            <w:vAlign w:val="bottom"/>
            <w:shd w:val="clear" w:color="auto" w:fill="CCEEFF"/>
          </w:tcPr>
          <w:p>
            <w:pPr>
              <w:spacing w:after="0"/>
              <w:rPr>
                <w:sz w:val="20"/>
                <w:szCs w:val="20"/>
                <w:color w:val="auto"/>
              </w:rPr>
            </w:pPr>
            <w:r>
              <w:rPr>
                <w:rFonts w:ascii="Arial" w:cs="Arial" w:eastAsia="Arial" w:hAnsi="Arial"/>
                <w:sz w:val="18"/>
                <w:szCs w:val="18"/>
                <w:color w:val="auto"/>
              </w:rPr>
              <w:t>Balance at December 31, 2020</w:t>
            </w:r>
          </w:p>
        </w:tc>
        <w:tc>
          <w:tcPr>
            <w:tcW w:w="184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138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270</w:t>
            </w:r>
          </w:p>
        </w:tc>
        <w:tc>
          <w:tcPr>
            <w:tcW w:w="1180" w:type="dxa"/>
            <w:vAlign w:val="bottom"/>
            <w:gridSpan w:val="2"/>
            <w:shd w:val="clear" w:color="auto" w:fill="CCEEFF"/>
          </w:tcPr>
          <w:p>
            <w:pPr>
              <w:jc w:val="right"/>
              <w:ind w:right="890"/>
              <w:spacing w:after="0"/>
              <w:rPr>
                <w:sz w:val="20"/>
                <w:szCs w:val="20"/>
                <w:color w:val="auto"/>
              </w:rPr>
            </w:pPr>
            <w:r>
              <w:rPr>
                <w:rFonts w:ascii="Arial" w:cs="Arial" w:eastAsia="Arial" w:hAnsi="Arial"/>
                <w:sz w:val="18"/>
                <w:szCs w:val="18"/>
                <w:color w:val="auto"/>
              </w:rPr>
              <w:t>$</w:t>
            </w:r>
          </w:p>
        </w:tc>
        <w:tc>
          <w:tcPr>
            <w:tcW w:w="54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18</w:t>
            </w:r>
          </w:p>
        </w:tc>
        <w:tc>
          <w:tcPr>
            <w:tcW w:w="4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26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288</w:t>
            </w:r>
          </w:p>
        </w:tc>
      </w:tr>
      <w:tr>
        <w:trPr>
          <w:trHeight w:val="209"/>
        </w:trPr>
        <w:tc>
          <w:tcPr>
            <w:tcW w:w="4040" w:type="dxa"/>
            <w:vAlign w:val="bottom"/>
            <w:tcBorders>
              <w:top w:val="single" w:sz="8" w:color="CCEEFF"/>
            </w:tcBorders>
          </w:tcPr>
          <w:p>
            <w:pPr>
              <w:spacing w:after="0"/>
              <w:rPr>
                <w:sz w:val="20"/>
                <w:szCs w:val="20"/>
                <w:color w:val="auto"/>
              </w:rPr>
            </w:pPr>
            <w:r>
              <w:rPr>
                <w:rFonts w:ascii="Arial" w:cs="Arial" w:eastAsia="Arial" w:hAnsi="Arial"/>
                <w:sz w:val="18"/>
                <w:szCs w:val="18"/>
                <w:color w:val="auto"/>
              </w:rPr>
              <w:t>Restructuring and other exit costs</w:t>
            </w:r>
          </w:p>
        </w:tc>
        <w:tc>
          <w:tcPr>
            <w:tcW w:w="1620" w:type="dxa"/>
            <w:vAlign w:val="bottom"/>
            <w:tcBorders>
              <w:top w:val="single" w:sz="8" w:color="CCEEFF"/>
            </w:tcBorders>
          </w:tcPr>
          <w:p>
            <w:pPr>
              <w:spacing w:after="0"/>
              <w:rPr>
                <w:sz w:val="18"/>
                <w:szCs w:val="18"/>
                <w:color w:val="auto"/>
              </w:rPr>
            </w:pPr>
          </w:p>
        </w:tc>
        <w:tc>
          <w:tcPr>
            <w:tcW w:w="220" w:type="dxa"/>
            <w:vAlign w:val="bottom"/>
            <w:tcBorders>
              <w:top w:val="single" w:sz="8" w:color="auto"/>
            </w:tcBorders>
          </w:tcPr>
          <w:p>
            <w:pPr>
              <w:spacing w:after="0"/>
              <w:rPr>
                <w:sz w:val="18"/>
                <w:szCs w:val="18"/>
                <w:color w:val="auto"/>
              </w:rPr>
            </w:pPr>
          </w:p>
        </w:tc>
        <w:tc>
          <w:tcPr>
            <w:tcW w:w="138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1,174</w:t>
            </w:r>
          </w:p>
        </w:tc>
        <w:tc>
          <w:tcPr>
            <w:tcW w:w="100" w:type="dxa"/>
            <w:vAlign w:val="bottom"/>
            <w:tcBorders>
              <w:top w:val="single" w:sz="8" w:color="CCEEFF"/>
            </w:tcBorders>
          </w:tcPr>
          <w:p>
            <w:pPr>
              <w:spacing w:after="0"/>
              <w:rPr>
                <w:sz w:val="18"/>
                <w:szCs w:val="18"/>
                <w:color w:val="auto"/>
              </w:rPr>
            </w:pPr>
          </w:p>
        </w:tc>
        <w:tc>
          <w:tcPr>
            <w:tcW w:w="1080" w:type="dxa"/>
            <w:vAlign w:val="bottom"/>
            <w:tcBorders>
              <w:top w:val="single" w:sz="8" w:color="auto"/>
            </w:tcBorders>
          </w:tcPr>
          <w:p>
            <w:pPr>
              <w:spacing w:after="0"/>
              <w:rPr>
                <w:sz w:val="18"/>
                <w:szCs w:val="18"/>
                <w:color w:val="auto"/>
              </w:rPr>
            </w:pPr>
          </w:p>
        </w:tc>
        <w:tc>
          <w:tcPr>
            <w:tcW w:w="540" w:type="dxa"/>
            <w:vAlign w:val="bottom"/>
            <w:tcBorders>
              <w:top w:val="single" w:sz="8" w:color="auto"/>
            </w:tcBorders>
          </w:tcPr>
          <w:p>
            <w:pPr>
              <w:jc w:val="right"/>
              <w:ind w:right="30"/>
              <w:spacing w:after="0"/>
              <w:rPr>
                <w:sz w:val="20"/>
                <w:szCs w:val="20"/>
                <w:color w:val="auto"/>
              </w:rPr>
            </w:pPr>
            <w:r>
              <w:rPr>
                <w:rFonts w:ascii="Arial" w:cs="Arial" w:eastAsia="Arial" w:hAnsi="Arial"/>
                <w:sz w:val="18"/>
                <w:szCs w:val="18"/>
                <w:color w:val="auto"/>
              </w:rPr>
              <w:t>101</w:t>
            </w:r>
          </w:p>
        </w:tc>
        <w:tc>
          <w:tcPr>
            <w:tcW w:w="100" w:type="dxa"/>
            <w:vAlign w:val="bottom"/>
            <w:tcBorders>
              <w:top w:val="single" w:sz="8" w:color="CCEEFF"/>
            </w:tcBorders>
          </w:tcPr>
          <w:p>
            <w:pPr>
              <w:spacing w:after="0"/>
              <w:rPr>
                <w:sz w:val="18"/>
                <w:szCs w:val="18"/>
                <w:color w:val="auto"/>
              </w:rPr>
            </w:pPr>
          </w:p>
        </w:tc>
        <w:tc>
          <w:tcPr>
            <w:tcW w:w="320" w:type="dxa"/>
            <w:vAlign w:val="bottom"/>
            <w:tcBorders>
              <w:top w:val="single" w:sz="8" w:color="auto"/>
            </w:tcBorders>
          </w:tcPr>
          <w:p>
            <w:pPr>
              <w:spacing w:after="0"/>
              <w:rPr>
                <w:sz w:val="18"/>
                <w:szCs w:val="18"/>
                <w:color w:val="auto"/>
              </w:rPr>
            </w:pPr>
          </w:p>
        </w:tc>
        <w:tc>
          <w:tcPr>
            <w:tcW w:w="126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1,275</w:t>
            </w:r>
          </w:p>
        </w:tc>
      </w:tr>
      <w:tr>
        <w:trPr>
          <w:trHeight w:val="216"/>
        </w:trPr>
        <w:tc>
          <w:tcPr>
            <w:tcW w:w="4040" w:type="dxa"/>
            <w:vAlign w:val="bottom"/>
            <w:shd w:val="clear" w:color="auto" w:fill="CCEEFF"/>
          </w:tcPr>
          <w:p>
            <w:pPr>
              <w:spacing w:after="0"/>
              <w:rPr>
                <w:sz w:val="20"/>
                <w:szCs w:val="20"/>
                <w:color w:val="auto"/>
              </w:rPr>
            </w:pPr>
            <w:r>
              <w:rPr>
                <w:rFonts w:ascii="Arial" w:cs="Arial" w:eastAsia="Arial" w:hAnsi="Arial"/>
                <w:sz w:val="18"/>
                <w:szCs w:val="18"/>
                <w:color w:val="auto"/>
              </w:rPr>
              <w:t>Non-cash charges</w:t>
            </w:r>
          </w:p>
        </w:tc>
        <w:tc>
          <w:tcPr>
            <w:tcW w:w="16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38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1080" w:type="dxa"/>
            <w:vAlign w:val="bottom"/>
            <w:shd w:val="clear" w:color="auto" w:fill="CCEEFF"/>
          </w:tcPr>
          <w:p>
            <w:pPr>
              <w:spacing w:after="0"/>
              <w:rPr>
                <w:sz w:val="18"/>
                <w:szCs w:val="18"/>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(46)</w:t>
            </w:r>
          </w:p>
        </w:tc>
        <w:tc>
          <w:tcPr>
            <w:tcW w:w="1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2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(46)</w:t>
            </w:r>
          </w:p>
        </w:tc>
      </w:tr>
      <w:tr>
        <w:trPr>
          <w:trHeight w:val="216"/>
        </w:trPr>
        <w:tc>
          <w:tcPr>
            <w:tcW w:w="4040" w:type="dxa"/>
            <w:vAlign w:val="bottom"/>
          </w:tcPr>
          <w:p>
            <w:pPr>
              <w:spacing w:after="0"/>
              <w:rPr>
                <w:sz w:val="20"/>
                <w:szCs w:val="20"/>
                <w:color w:val="auto"/>
              </w:rPr>
            </w:pPr>
            <w:r>
              <w:rPr>
                <w:rFonts w:ascii="Arial" w:cs="Arial" w:eastAsia="Arial" w:hAnsi="Arial"/>
                <w:sz w:val="18"/>
                <w:szCs w:val="18"/>
                <w:color w:val="auto"/>
              </w:rPr>
              <w:t>Cash payments</w:t>
            </w:r>
          </w:p>
        </w:tc>
        <w:tc>
          <w:tcPr>
            <w:tcW w:w="1620" w:type="dxa"/>
            <w:vAlign w:val="bottom"/>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13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(1,444)</w:t>
            </w:r>
          </w:p>
        </w:tc>
        <w:tc>
          <w:tcPr>
            <w:tcW w:w="100" w:type="dxa"/>
            <w:vAlign w:val="bottom"/>
          </w:tcPr>
          <w:p>
            <w:pPr>
              <w:spacing w:after="0"/>
              <w:rPr>
                <w:sz w:val="18"/>
                <w:szCs w:val="18"/>
                <w:color w:val="auto"/>
              </w:rPr>
            </w:pPr>
          </w:p>
        </w:tc>
        <w:tc>
          <w:tcPr>
            <w:tcW w:w="1080" w:type="dxa"/>
            <w:vAlign w:val="bottom"/>
            <w:tcBorders>
              <w:bottom w:val="single" w:sz="8" w:color="auto"/>
            </w:tcBorders>
          </w:tcPr>
          <w:p>
            <w:pPr>
              <w:spacing w:after="0"/>
              <w:rPr>
                <w:sz w:val="18"/>
                <w:szCs w:val="18"/>
                <w:color w:val="auto"/>
              </w:rPr>
            </w:pPr>
          </w:p>
        </w:tc>
        <w:tc>
          <w:tcPr>
            <w:tcW w:w="5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(73)</w:t>
            </w:r>
          </w:p>
        </w:tc>
        <w:tc>
          <w:tcPr>
            <w:tcW w:w="100" w:type="dxa"/>
            <w:vAlign w:val="bottom"/>
          </w:tcPr>
          <w:p>
            <w:pPr>
              <w:spacing w:after="0"/>
              <w:rPr>
                <w:sz w:val="18"/>
                <w:szCs w:val="18"/>
                <w:color w:val="auto"/>
              </w:rPr>
            </w:pPr>
          </w:p>
        </w:tc>
        <w:tc>
          <w:tcPr>
            <w:tcW w:w="320" w:type="dxa"/>
            <w:vAlign w:val="bottom"/>
            <w:tcBorders>
              <w:bottom w:val="single" w:sz="8" w:color="auto"/>
            </w:tcBorders>
          </w:tcPr>
          <w:p>
            <w:pPr>
              <w:spacing w:after="0"/>
              <w:rPr>
                <w:sz w:val="18"/>
                <w:szCs w:val="18"/>
                <w:color w:val="auto"/>
              </w:rPr>
            </w:pPr>
          </w:p>
        </w:tc>
        <w:tc>
          <w:tcPr>
            <w:tcW w:w="12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(1,517)</w:t>
            </w:r>
          </w:p>
        </w:tc>
      </w:tr>
      <w:tr>
        <w:trPr>
          <w:trHeight w:val="229"/>
        </w:trPr>
        <w:tc>
          <w:tcPr>
            <w:tcW w:w="4040" w:type="dxa"/>
            <w:vAlign w:val="bottom"/>
            <w:shd w:val="clear" w:color="auto" w:fill="CCEEFF"/>
          </w:tcPr>
          <w:p>
            <w:pPr>
              <w:spacing w:after="0"/>
              <w:rPr>
                <w:sz w:val="20"/>
                <w:szCs w:val="20"/>
                <w:color w:val="auto"/>
              </w:rPr>
            </w:pPr>
            <w:r>
              <w:rPr>
                <w:rFonts w:ascii="Arial" w:cs="Arial" w:eastAsia="Arial" w:hAnsi="Arial"/>
                <w:sz w:val="18"/>
                <w:szCs w:val="18"/>
                <w:color w:val="auto"/>
              </w:rPr>
              <w:t>Balance at December 31, 2021</w:t>
            </w:r>
          </w:p>
        </w:tc>
        <w:tc>
          <w:tcPr>
            <w:tcW w:w="184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138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1180" w:type="dxa"/>
            <w:vAlign w:val="bottom"/>
            <w:gridSpan w:val="2"/>
            <w:shd w:val="clear" w:color="auto" w:fill="CCEEFF"/>
          </w:tcPr>
          <w:p>
            <w:pPr>
              <w:jc w:val="right"/>
              <w:ind w:right="890"/>
              <w:spacing w:after="0"/>
              <w:rPr>
                <w:sz w:val="20"/>
                <w:szCs w:val="20"/>
                <w:color w:val="auto"/>
              </w:rPr>
            </w:pPr>
            <w:r>
              <w:rPr>
                <w:rFonts w:ascii="Arial" w:cs="Arial" w:eastAsia="Arial" w:hAnsi="Arial"/>
                <w:sz w:val="18"/>
                <w:szCs w:val="18"/>
                <w:color w:val="auto"/>
              </w:rPr>
              <w:t>$</w:t>
            </w:r>
          </w:p>
        </w:tc>
        <w:tc>
          <w:tcPr>
            <w:tcW w:w="54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w:t>
            </w:r>
          </w:p>
        </w:tc>
        <w:tc>
          <w:tcPr>
            <w:tcW w:w="4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26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w:t>
            </w:r>
          </w:p>
        </w:tc>
      </w:tr>
      <w:tr>
        <w:trPr>
          <w:trHeight w:val="20"/>
        </w:trPr>
        <w:tc>
          <w:tcPr>
            <w:tcW w:w="4040" w:type="dxa"/>
            <w:vAlign w:val="bottom"/>
            <w:tcBorders>
              <w:top w:val="single" w:sz="8" w:color="CCEEFF"/>
            </w:tcBorders>
            <w:shd w:val="clear" w:color="auto" w:fill="CCEEFF"/>
          </w:tcPr>
          <w:p>
            <w:pPr>
              <w:spacing w:after="0" w:line="20" w:lineRule="exact"/>
              <w:rPr>
                <w:sz w:val="1"/>
                <w:szCs w:val="1"/>
                <w:color w:val="auto"/>
              </w:rPr>
            </w:pPr>
          </w:p>
        </w:tc>
        <w:tc>
          <w:tcPr>
            <w:tcW w:w="1620" w:type="dxa"/>
            <w:vAlign w:val="bottom"/>
            <w:tcBorders>
              <w:top w:val="single" w:sz="8" w:color="CCEEFF"/>
            </w:tcBorders>
            <w:shd w:val="clear" w:color="auto" w:fill="CCEEFF"/>
          </w:tcPr>
          <w:p>
            <w:pPr>
              <w:spacing w:after="0" w:line="20" w:lineRule="exact"/>
              <w:rPr>
                <w:sz w:val="1"/>
                <w:szCs w:val="1"/>
                <w:color w:val="auto"/>
              </w:rPr>
            </w:pPr>
          </w:p>
        </w:tc>
        <w:tc>
          <w:tcPr>
            <w:tcW w:w="220" w:type="dxa"/>
            <w:vAlign w:val="bottom"/>
            <w:tcBorders>
              <w:top w:val="single" w:sz="8" w:color="auto"/>
            </w:tcBorders>
            <w:shd w:val="clear" w:color="auto" w:fill="000000"/>
          </w:tcPr>
          <w:p>
            <w:pPr>
              <w:spacing w:after="0" w:line="20" w:lineRule="exact"/>
              <w:rPr>
                <w:sz w:val="1"/>
                <w:szCs w:val="1"/>
                <w:color w:val="auto"/>
              </w:rPr>
            </w:pPr>
          </w:p>
        </w:tc>
        <w:tc>
          <w:tcPr>
            <w:tcW w:w="138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1080" w:type="dxa"/>
            <w:vAlign w:val="bottom"/>
            <w:tcBorders>
              <w:top w:val="single" w:sz="8" w:color="auto"/>
            </w:tcBorders>
            <w:shd w:val="clear" w:color="auto" w:fill="000000"/>
          </w:tcPr>
          <w:p>
            <w:pPr>
              <w:spacing w:after="0" w:line="20" w:lineRule="exact"/>
              <w:rPr>
                <w:sz w:val="1"/>
                <w:szCs w:val="1"/>
                <w:color w:val="auto"/>
              </w:rPr>
            </w:pPr>
          </w:p>
        </w:tc>
        <w:tc>
          <w:tcPr>
            <w:tcW w:w="54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320" w:type="dxa"/>
            <w:vAlign w:val="bottom"/>
            <w:tcBorders>
              <w:top w:val="single" w:sz="8" w:color="auto"/>
            </w:tcBorders>
            <w:shd w:val="clear" w:color="auto" w:fill="000000"/>
          </w:tcPr>
          <w:p>
            <w:pPr>
              <w:spacing w:after="0" w:line="20" w:lineRule="exact"/>
              <w:rPr>
                <w:sz w:val="1"/>
                <w:szCs w:val="1"/>
                <w:color w:val="auto"/>
              </w:rPr>
            </w:pPr>
          </w:p>
        </w:tc>
        <w:tc>
          <w:tcPr>
            <w:tcW w:w="1260" w:type="dxa"/>
            <w:vAlign w:val="bottom"/>
            <w:tcBorders>
              <w:top w:val="single" w:sz="8" w:color="auto"/>
            </w:tcBorders>
            <w:shd w:val="clear" w:color="auto" w:fill="000000"/>
          </w:tcPr>
          <w:p>
            <w:pPr>
              <w:spacing w:after="0" w:line="20" w:lineRule="exact"/>
              <w:rPr>
                <w:sz w:val="1"/>
                <w:szCs w:val="1"/>
                <w:color w:val="auto"/>
              </w:rPr>
            </w:pPr>
          </w:p>
        </w:tc>
      </w:tr>
    </w:tbl>
    <w:p>
      <w:pPr>
        <w:spacing w:after="0" w:line="202" w:lineRule="exact"/>
        <w:rPr>
          <w:sz w:val="20"/>
          <w:szCs w:val="20"/>
          <w:color w:val="auto"/>
        </w:rPr>
      </w:pPr>
    </w:p>
    <w:p>
      <w:pPr>
        <w:ind w:left="660"/>
        <w:spacing w:after="0"/>
        <w:rPr>
          <w:sz w:val="20"/>
          <w:szCs w:val="20"/>
          <w:color w:val="auto"/>
        </w:rPr>
      </w:pPr>
      <w:r>
        <w:rPr>
          <w:rFonts w:ascii="Arial" w:cs="Arial" w:eastAsia="Arial" w:hAnsi="Arial"/>
          <w:sz w:val="18"/>
          <w:szCs w:val="18"/>
          <w:color w:val="auto"/>
        </w:rPr>
        <w:t>Substantially all of these restructuring costs have been included as a component of general and administrative expenses.</w:t>
      </w:r>
    </w:p>
    <w:p>
      <w:pPr>
        <w:spacing w:after="0" w:line="200" w:lineRule="exact"/>
        <w:rPr>
          <w:sz w:val="20"/>
          <w:szCs w:val="20"/>
          <w:color w:val="auto"/>
        </w:rPr>
      </w:pPr>
    </w:p>
    <w:p>
      <w:pPr>
        <w:spacing w:after="0" w:line="264" w:lineRule="exact"/>
        <w:rPr>
          <w:sz w:val="20"/>
          <w:szCs w:val="20"/>
          <w:color w:val="auto"/>
        </w:rPr>
      </w:pPr>
    </w:p>
    <w:p>
      <w:pPr>
        <w:ind w:left="1300" w:hanging="644"/>
        <w:spacing w:after="0"/>
        <w:tabs>
          <w:tab w:leader="none" w:pos="1300" w:val="left"/>
        </w:tabs>
        <w:numPr>
          <w:ilvl w:val="0"/>
          <w:numId w:val="20"/>
        </w:numPr>
        <w:rPr>
          <w:rFonts w:ascii="Arial" w:cs="Arial" w:eastAsia="Arial" w:hAnsi="Arial"/>
          <w:sz w:val="18"/>
          <w:szCs w:val="18"/>
          <w:b w:val="1"/>
          <w:bCs w:val="1"/>
          <w:color w:val="auto"/>
        </w:rPr>
      </w:pPr>
      <w:r>
        <w:rPr>
          <w:rFonts w:ascii="Arial" w:cs="Arial" w:eastAsia="Arial" w:hAnsi="Arial"/>
          <w:sz w:val="18"/>
          <w:szCs w:val="18"/>
          <w:b w:val="1"/>
          <w:bCs w:val="1"/>
          <w:color w:val="auto"/>
        </w:rPr>
        <w:t>Related Party Transactions</w:t>
      </w:r>
    </w:p>
    <w:p>
      <w:pPr>
        <w:spacing w:after="0" w:line="256" w:lineRule="exact"/>
        <w:rPr>
          <w:sz w:val="20"/>
          <w:szCs w:val="20"/>
          <w:color w:val="auto"/>
        </w:rPr>
      </w:pPr>
    </w:p>
    <w:p>
      <w:pPr>
        <w:jc w:val="both"/>
        <w:ind w:right="80" w:firstLine="648"/>
        <w:spacing w:after="0" w:line="259" w:lineRule="auto"/>
        <w:rPr>
          <w:sz w:val="20"/>
          <w:szCs w:val="20"/>
          <w:color w:val="auto"/>
        </w:rPr>
      </w:pPr>
      <w:r>
        <w:rPr>
          <w:rFonts w:ascii="Arial" w:cs="Arial" w:eastAsia="Arial" w:hAnsi="Arial"/>
          <w:sz w:val="18"/>
          <w:szCs w:val="18"/>
          <w:color w:val="auto"/>
        </w:rPr>
        <w:t>In connection with the 2014 acquisitions of Multi Channel Systems MCS GmbH (“MCS”), the Company entered into a facility lease agreement with the former principal owner of this company who became an employee of the Company at the time of the acquisition and subsequently retired in 2021. The MCS lease agreement expires on December 31, 2024. Pursuant to this lease agreement, the Company made rent payments of approximately $0.3 million for each of the years ended December 31, 2021 and 2020.</w:t>
      </w:r>
    </w:p>
    <w:p>
      <w:pPr>
        <w:spacing w:after="0" w:line="200" w:lineRule="exact"/>
        <w:rPr>
          <w:sz w:val="20"/>
          <w:szCs w:val="20"/>
          <w:color w:val="auto"/>
        </w:rPr>
      </w:pPr>
    </w:p>
    <w:p>
      <w:pPr>
        <w:spacing w:after="0" w:line="226" w:lineRule="exact"/>
        <w:rPr>
          <w:sz w:val="20"/>
          <w:szCs w:val="20"/>
          <w:color w:val="auto"/>
        </w:rPr>
      </w:pPr>
    </w:p>
    <w:p>
      <w:pPr>
        <w:ind w:left="1300" w:hanging="644"/>
        <w:spacing w:after="0"/>
        <w:tabs>
          <w:tab w:leader="none" w:pos="1300" w:val="left"/>
        </w:tabs>
        <w:numPr>
          <w:ilvl w:val="0"/>
          <w:numId w:val="21"/>
        </w:numPr>
        <w:rPr>
          <w:rFonts w:ascii="Arial" w:cs="Arial" w:eastAsia="Arial" w:hAnsi="Arial"/>
          <w:sz w:val="18"/>
          <w:szCs w:val="18"/>
          <w:b w:val="1"/>
          <w:bCs w:val="1"/>
          <w:color w:val="auto"/>
        </w:rPr>
      </w:pPr>
      <w:r>
        <w:rPr>
          <w:rFonts w:ascii="Arial" w:cs="Arial" w:eastAsia="Arial" w:hAnsi="Arial"/>
          <w:sz w:val="18"/>
          <w:szCs w:val="18"/>
          <w:b w:val="1"/>
          <w:bCs w:val="1"/>
          <w:color w:val="auto"/>
        </w:rPr>
        <w:t>Employee Benefit Plans</w:t>
      </w:r>
    </w:p>
    <w:p>
      <w:pPr>
        <w:spacing w:after="0" w:line="256" w:lineRule="exact"/>
        <w:rPr>
          <w:sz w:val="20"/>
          <w:szCs w:val="20"/>
          <w:color w:val="auto"/>
        </w:rPr>
      </w:pPr>
    </w:p>
    <w:p>
      <w:pPr>
        <w:ind w:left="660"/>
        <w:spacing w:after="0"/>
        <w:rPr>
          <w:sz w:val="20"/>
          <w:szCs w:val="20"/>
          <w:color w:val="auto"/>
        </w:rPr>
      </w:pPr>
      <w:r>
        <w:rPr>
          <w:rFonts w:ascii="Arial" w:cs="Arial" w:eastAsia="Arial" w:hAnsi="Arial"/>
          <w:sz w:val="18"/>
          <w:szCs w:val="18"/>
          <w:i w:val="1"/>
          <w:iCs w:val="1"/>
          <w:color w:val="auto"/>
        </w:rPr>
        <w:t>Employee Retirement Savings Plans</w:t>
      </w:r>
    </w:p>
    <w:p>
      <w:pPr>
        <w:spacing w:after="0" w:line="225" w:lineRule="exact"/>
        <w:rPr>
          <w:sz w:val="20"/>
          <w:szCs w:val="20"/>
          <w:color w:val="auto"/>
        </w:rPr>
      </w:pPr>
    </w:p>
    <w:p>
      <w:pPr>
        <w:jc w:val="both"/>
        <w:ind w:right="80" w:firstLine="648"/>
        <w:spacing w:after="0" w:line="263" w:lineRule="auto"/>
        <w:rPr>
          <w:sz w:val="20"/>
          <w:szCs w:val="20"/>
          <w:color w:val="auto"/>
        </w:rPr>
      </w:pPr>
      <w:r>
        <w:rPr>
          <w:rFonts w:ascii="Arial" w:cs="Arial" w:eastAsia="Arial" w:hAnsi="Arial"/>
          <w:sz w:val="18"/>
          <w:szCs w:val="18"/>
          <w:color w:val="auto"/>
        </w:rPr>
        <w:t>The Company sponsors various qualified employee retirement savings plans and makes discretionary contributions to match a certain portion of employee contributions. For the years ended December 31, 2021 and 2020, the Company contributed $1.0 million and $0.9 million, respectively, to these plans.</w:t>
      </w:r>
    </w:p>
    <w:p>
      <w:pPr>
        <w:spacing w:after="0" w:line="184" w:lineRule="exact"/>
        <w:rPr>
          <w:sz w:val="20"/>
          <w:szCs w:val="20"/>
          <w:color w:val="auto"/>
        </w:rPr>
      </w:pPr>
    </w:p>
    <w:p>
      <w:pPr>
        <w:ind w:left="660"/>
        <w:spacing w:after="0"/>
        <w:rPr>
          <w:sz w:val="20"/>
          <w:szCs w:val="20"/>
          <w:color w:val="auto"/>
        </w:rPr>
      </w:pPr>
      <w:r>
        <w:rPr>
          <w:rFonts w:ascii="Arial" w:cs="Arial" w:eastAsia="Arial" w:hAnsi="Arial"/>
          <w:sz w:val="18"/>
          <w:szCs w:val="18"/>
          <w:i w:val="1"/>
          <w:iCs w:val="1"/>
          <w:color w:val="auto"/>
        </w:rPr>
        <w:t>Employee Pension Plans</w:t>
      </w:r>
    </w:p>
    <w:p>
      <w:pPr>
        <w:spacing w:after="0" w:line="225" w:lineRule="exact"/>
        <w:rPr>
          <w:sz w:val="20"/>
          <w:szCs w:val="20"/>
          <w:color w:val="auto"/>
        </w:rPr>
      </w:pPr>
    </w:p>
    <w:p>
      <w:pPr>
        <w:jc w:val="both"/>
        <w:ind w:right="80" w:firstLine="648"/>
        <w:spacing w:after="0" w:line="296" w:lineRule="auto"/>
        <w:rPr>
          <w:sz w:val="20"/>
          <w:szCs w:val="20"/>
          <w:color w:val="auto"/>
        </w:rPr>
      </w:pPr>
      <w:r>
        <w:rPr>
          <w:rFonts w:ascii="Arial" w:cs="Arial" w:eastAsia="Arial" w:hAnsi="Arial"/>
          <w:sz w:val="16"/>
          <w:szCs w:val="16"/>
          <w:color w:val="auto"/>
        </w:rPr>
        <w:t>The Company’s subsidiary in the United Kingdom, Biochrom Limited maintains contributory, defined benefit pension plans for its employees. In 2014, these defined benefit pension plans were closed to new employees, as well as closed to the future accrual of benefits for existing employees. The provisions of ASC 715-20 require that the funded status of the pension plans be recognized in Company’s balance sheet. ASC 715-20 does not change the measurement or income statement recognition of these plans, although it does require that plan assets and benefit obligations be measured as of the balance sheet date. The Company has historically measured the plan assets and benefit obligations as of the balance sheet date.</w:t>
      </w:r>
    </w:p>
    <w:p>
      <w:pPr>
        <w:spacing w:after="0" w:line="200" w:lineRule="exact"/>
        <w:rPr>
          <w:sz w:val="20"/>
          <w:szCs w:val="20"/>
          <w:color w:val="auto"/>
        </w:rPr>
      </w:pPr>
    </w:p>
    <w:p>
      <w:pPr>
        <w:spacing w:after="0" w:line="393" w:lineRule="exact"/>
        <w:rPr>
          <w:sz w:val="20"/>
          <w:szCs w:val="20"/>
          <w:color w:val="auto"/>
        </w:rPr>
      </w:pPr>
    </w:p>
    <w:p>
      <w:pPr>
        <w:jc w:val="center"/>
        <w:ind w:right="80"/>
        <w:spacing w:after="0"/>
        <w:rPr>
          <w:sz w:val="20"/>
          <w:szCs w:val="20"/>
          <w:color w:val="auto"/>
        </w:rPr>
      </w:pPr>
      <w:r>
        <w:rPr>
          <w:rFonts w:ascii="Arial" w:cs="Arial" w:eastAsia="Arial" w:hAnsi="Arial"/>
          <w:sz w:val="18"/>
          <w:szCs w:val="18"/>
          <w:color w:val="auto"/>
        </w:rPr>
        <w:t>F- 17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320"/>
          </w:cols>
          <w:pgMar w:left="320" w:top="125" w:right="259" w:bottom="1440" w:gutter="0" w:footer="0" w:header="0"/>
        </w:sectPr>
      </w:pPr>
    </w:p>
    <w:bookmarkStart w:id="46" w:name="page47"/>
    <w:bookmarkEnd w:id="46"/>
    <w:tbl>
      <w:tblPr>
        <w:tblLayout w:type="fixed"/>
        <w:tblInd w:w="0" w:type="dxa"/>
        <w:tblCellMar>
          <w:top w:w="0" w:type="dxa"/>
          <w:left w:w="0" w:type="dxa"/>
          <w:bottom w:w="0" w:type="dxa"/>
          <w:right w:w="0" w:type="dxa"/>
        </w:tblCellMar>
      </w:tblPr>
      <w:tr>
        <w:trPr>
          <w:trHeight w:val="207"/>
        </w:trPr>
        <w:tc>
          <w:tcPr>
            <w:tcW w:w="8020" w:type="dxa"/>
            <w:vAlign w:val="bottom"/>
            <w:gridSpan w:val="3"/>
          </w:tcPr>
          <w:p>
            <w:pPr>
              <w:spacing w:after="0"/>
              <w:rPr>
                <w:rFonts w:ascii="Arial" w:cs="Arial" w:eastAsia="Arial" w:hAnsi="Arial"/>
                <w:sz w:val="18"/>
                <w:szCs w:val="18"/>
                <w:color w:val="0000EE"/>
              </w:rPr>
            </w:pPr>
            <w:hyperlink w:anchor="page3">
              <w:r>
                <w:rPr>
                  <w:rFonts w:ascii="Arial" w:cs="Arial" w:eastAsia="Arial" w:hAnsi="Arial"/>
                  <w:sz w:val="18"/>
                  <w:szCs w:val="18"/>
                  <w:color w:val="0000EE"/>
                </w:rPr>
                <w:t>Table of Contents</w:t>
              </w:r>
            </w:hyperlink>
          </w:p>
        </w:tc>
        <w:tc>
          <w:tcPr>
            <w:tcW w:w="340" w:type="dxa"/>
            <w:vAlign w:val="bottom"/>
          </w:tcPr>
          <w:p>
            <w:pPr>
              <w:spacing w:after="0"/>
              <w:rPr>
                <w:sz w:val="17"/>
                <w:szCs w:val="17"/>
                <w:color w:val="auto"/>
              </w:rPr>
            </w:pPr>
          </w:p>
        </w:tc>
        <w:tc>
          <w:tcPr>
            <w:tcW w:w="12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260" w:type="dxa"/>
            <w:vAlign w:val="bottom"/>
          </w:tcPr>
          <w:p>
            <w:pPr>
              <w:spacing w:after="0"/>
              <w:rPr>
                <w:sz w:val="17"/>
                <w:szCs w:val="17"/>
                <w:color w:val="auto"/>
              </w:rPr>
            </w:pPr>
          </w:p>
        </w:tc>
      </w:tr>
      <w:tr>
        <w:trPr>
          <w:trHeight w:val="20"/>
        </w:trPr>
        <w:tc>
          <w:tcPr>
            <w:tcW w:w="660" w:type="dxa"/>
            <w:vAlign w:val="bottom"/>
            <w:shd w:val="clear" w:color="auto" w:fill="0000EE"/>
          </w:tcPr>
          <w:p>
            <w:pPr>
              <w:spacing w:after="0" w:line="20" w:lineRule="exact"/>
              <w:rPr>
                <w:sz w:val="1"/>
                <w:szCs w:val="1"/>
                <w:color w:val="auto"/>
              </w:rPr>
            </w:pPr>
          </w:p>
        </w:tc>
        <w:tc>
          <w:tcPr>
            <w:tcW w:w="620" w:type="dxa"/>
            <w:vAlign w:val="bottom"/>
            <w:shd w:val="clear" w:color="auto" w:fill="0000EE"/>
          </w:tcPr>
          <w:p>
            <w:pPr>
              <w:spacing w:after="0" w:line="20" w:lineRule="exact"/>
              <w:rPr>
                <w:sz w:val="1"/>
                <w:szCs w:val="1"/>
                <w:color w:val="auto"/>
              </w:rPr>
            </w:pPr>
          </w:p>
        </w:tc>
        <w:tc>
          <w:tcPr>
            <w:tcW w:w="674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2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r>
      <w:tr>
        <w:trPr>
          <w:trHeight w:val="480"/>
        </w:trPr>
        <w:tc>
          <w:tcPr>
            <w:tcW w:w="660" w:type="dxa"/>
            <w:vAlign w:val="bottom"/>
          </w:tcPr>
          <w:p>
            <w:pPr>
              <w:spacing w:after="0"/>
              <w:rPr>
                <w:sz w:val="24"/>
                <w:szCs w:val="24"/>
                <w:color w:val="auto"/>
              </w:rPr>
            </w:pPr>
          </w:p>
        </w:tc>
        <w:tc>
          <w:tcPr>
            <w:tcW w:w="7360" w:type="dxa"/>
            <w:vAlign w:val="bottom"/>
            <w:gridSpan w:val="2"/>
          </w:tcPr>
          <w:p>
            <w:pPr>
              <w:spacing w:after="0"/>
              <w:rPr>
                <w:sz w:val="20"/>
                <w:szCs w:val="20"/>
                <w:color w:val="auto"/>
              </w:rPr>
            </w:pPr>
            <w:r>
              <w:rPr>
                <w:rFonts w:ascii="Arial" w:cs="Arial" w:eastAsia="Arial" w:hAnsi="Arial"/>
                <w:sz w:val="18"/>
                <w:szCs w:val="18"/>
                <w:color w:val="auto"/>
              </w:rPr>
              <w:t>The components of the Company’s net period benefit expense (credit) were as follows:</w:t>
            </w:r>
          </w:p>
        </w:tc>
        <w:tc>
          <w:tcPr>
            <w:tcW w:w="34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260" w:type="dxa"/>
            <w:vAlign w:val="bottom"/>
          </w:tcPr>
          <w:p>
            <w:pPr>
              <w:spacing w:after="0"/>
              <w:rPr>
                <w:sz w:val="24"/>
                <w:szCs w:val="24"/>
                <w:color w:val="auto"/>
              </w:rPr>
            </w:pPr>
          </w:p>
        </w:tc>
      </w:tr>
      <w:tr>
        <w:trPr>
          <w:trHeight w:val="432"/>
        </w:trPr>
        <w:tc>
          <w:tcPr>
            <w:tcW w:w="66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6740" w:type="dxa"/>
            <w:vAlign w:val="bottom"/>
          </w:tcPr>
          <w:p>
            <w:pPr>
              <w:spacing w:after="0"/>
              <w:rPr>
                <w:sz w:val="24"/>
                <w:szCs w:val="24"/>
                <w:color w:val="auto"/>
              </w:rPr>
            </w:pPr>
          </w:p>
        </w:tc>
        <w:tc>
          <w:tcPr>
            <w:tcW w:w="340" w:type="dxa"/>
            <w:vAlign w:val="bottom"/>
            <w:tcBorders>
              <w:bottom w:val="single" w:sz="8" w:color="auto"/>
            </w:tcBorders>
          </w:tcPr>
          <w:p>
            <w:pPr>
              <w:spacing w:after="0"/>
              <w:rPr>
                <w:sz w:val="24"/>
                <w:szCs w:val="24"/>
                <w:color w:val="auto"/>
              </w:rPr>
            </w:pPr>
          </w:p>
        </w:tc>
        <w:tc>
          <w:tcPr>
            <w:tcW w:w="2960" w:type="dxa"/>
            <w:vAlign w:val="bottom"/>
            <w:tcBorders>
              <w:bottom w:val="single" w:sz="8" w:color="auto"/>
            </w:tcBorders>
            <w:gridSpan w:val="4"/>
          </w:tcPr>
          <w:p>
            <w:pPr>
              <w:jc w:val="right"/>
              <w:ind w:right="610"/>
              <w:spacing w:after="0"/>
              <w:rPr>
                <w:sz w:val="20"/>
                <w:szCs w:val="20"/>
                <w:color w:val="auto"/>
              </w:rPr>
            </w:pPr>
            <w:r>
              <w:rPr>
                <w:rFonts w:ascii="Arial" w:cs="Arial" w:eastAsia="Arial" w:hAnsi="Arial"/>
                <w:sz w:val="18"/>
                <w:szCs w:val="18"/>
                <w:b w:val="1"/>
                <w:bCs w:val="1"/>
                <w:color w:val="auto"/>
              </w:rPr>
              <w:t>Year Ended December 31,</w:t>
            </w:r>
          </w:p>
        </w:tc>
      </w:tr>
      <w:tr>
        <w:trPr>
          <w:trHeight w:val="209"/>
        </w:trPr>
        <w:tc>
          <w:tcPr>
            <w:tcW w:w="660" w:type="dxa"/>
            <w:vAlign w:val="bottom"/>
          </w:tcPr>
          <w:p>
            <w:pPr>
              <w:spacing w:after="0"/>
              <w:rPr>
                <w:sz w:val="18"/>
                <w:szCs w:val="18"/>
                <w:color w:val="auto"/>
              </w:rPr>
            </w:pPr>
          </w:p>
        </w:tc>
        <w:tc>
          <w:tcPr>
            <w:tcW w:w="7360" w:type="dxa"/>
            <w:vAlign w:val="bottom"/>
            <w:gridSpan w:val="2"/>
          </w:tcPr>
          <w:p>
            <w:pPr>
              <w:spacing w:after="0"/>
              <w:rPr>
                <w:sz w:val="20"/>
                <w:szCs w:val="20"/>
                <w:color w:val="auto"/>
              </w:rPr>
            </w:pPr>
            <w:r>
              <w:rPr>
                <w:rFonts w:ascii="Arial" w:cs="Arial" w:eastAsia="Arial" w:hAnsi="Arial"/>
                <w:sz w:val="18"/>
                <w:szCs w:val="18"/>
                <w:color w:val="auto"/>
              </w:rPr>
              <w:t>(in thousands)</w:t>
            </w:r>
          </w:p>
        </w:tc>
        <w:tc>
          <w:tcPr>
            <w:tcW w:w="340" w:type="dxa"/>
            <w:vAlign w:val="bottom"/>
            <w:tcBorders>
              <w:bottom w:val="single" w:sz="8" w:color="auto"/>
            </w:tcBorders>
          </w:tcPr>
          <w:p>
            <w:pPr>
              <w:spacing w:after="0"/>
              <w:rPr>
                <w:sz w:val="18"/>
                <w:szCs w:val="18"/>
                <w:color w:val="auto"/>
              </w:rPr>
            </w:pPr>
          </w:p>
        </w:tc>
        <w:tc>
          <w:tcPr>
            <w:tcW w:w="1280" w:type="dxa"/>
            <w:vAlign w:val="bottom"/>
            <w:tcBorders>
              <w:bottom w:val="single" w:sz="8" w:color="auto"/>
            </w:tcBorders>
          </w:tcPr>
          <w:p>
            <w:pPr>
              <w:jc w:val="right"/>
              <w:ind w:right="590"/>
              <w:spacing w:after="0"/>
              <w:rPr>
                <w:sz w:val="20"/>
                <w:szCs w:val="20"/>
                <w:color w:val="auto"/>
              </w:rPr>
            </w:pPr>
            <w:r>
              <w:rPr>
                <w:rFonts w:ascii="Arial" w:cs="Arial" w:eastAsia="Arial" w:hAnsi="Arial"/>
                <w:sz w:val="18"/>
                <w:szCs w:val="18"/>
                <w:b w:val="1"/>
                <w:bCs w:val="1"/>
                <w:color w:val="auto"/>
              </w:rPr>
              <w:t>2021</w:t>
            </w:r>
          </w:p>
        </w:tc>
        <w:tc>
          <w:tcPr>
            <w:tcW w:w="100" w:type="dxa"/>
            <w:vAlign w:val="bottom"/>
          </w:tcPr>
          <w:p>
            <w:pPr>
              <w:spacing w:after="0"/>
              <w:rPr>
                <w:sz w:val="18"/>
                <w:szCs w:val="18"/>
                <w:color w:val="auto"/>
              </w:rPr>
            </w:pPr>
          </w:p>
        </w:tc>
        <w:tc>
          <w:tcPr>
            <w:tcW w:w="320" w:type="dxa"/>
            <w:vAlign w:val="bottom"/>
            <w:tcBorders>
              <w:bottom w:val="single" w:sz="8" w:color="auto"/>
            </w:tcBorders>
          </w:tcPr>
          <w:p>
            <w:pPr>
              <w:spacing w:after="0"/>
              <w:rPr>
                <w:sz w:val="18"/>
                <w:szCs w:val="18"/>
                <w:color w:val="auto"/>
              </w:rPr>
            </w:pPr>
          </w:p>
        </w:tc>
        <w:tc>
          <w:tcPr>
            <w:tcW w:w="1260" w:type="dxa"/>
            <w:vAlign w:val="bottom"/>
            <w:tcBorders>
              <w:bottom w:val="single" w:sz="8" w:color="auto"/>
            </w:tcBorders>
          </w:tcPr>
          <w:p>
            <w:pPr>
              <w:jc w:val="right"/>
              <w:ind w:right="570"/>
              <w:spacing w:after="0"/>
              <w:rPr>
                <w:sz w:val="20"/>
                <w:szCs w:val="20"/>
                <w:color w:val="auto"/>
              </w:rPr>
            </w:pPr>
            <w:r>
              <w:rPr>
                <w:rFonts w:ascii="Arial" w:cs="Arial" w:eastAsia="Arial" w:hAnsi="Arial"/>
                <w:sz w:val="18"/>
                <w:szCs w:val="18"/>
                <w:b w:val="1"/>
                <w:bCs w:val="1"/>
                <w:color w:val="auto"/>
              </w:rPr>
              <w:t>2020</w:t>
            </w:r>
          </w:p>
        </w:tc>
      </w:tr>
      <w:tr>
        <w:trPr>
          <w:trHeight w:val="210"/>
        </w:trPr>
        <w:tc>
          <w:tcPr>
            <w:tcW w:w="660" w:type="dxa"/>
            <w:vAlign w:val="bottom"/>
          </w:tcPr>
          <w:p>
            <w:pPr>
              <w:spacing w:after="0"/>
              <w:rPr>
                <w:sz w:val="18"/>
                <w:szCs w:val="18"/>
                <w:color w:val="auto"/>
              </w:rPr>
            </w:pPr>
          </w:p>
        </w:tc>
        <w:tc>
          <w:tcPr>
            <w:tcW w:w="73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Interest cost</w:t>
            </w:r>
          </w:p>
        </w:tc>
        <w:tc>
          <w:tcPr>
            <w:tcW w:w="340" w:type="dxa"/>
            <w:vAlign w:val="bottom"/>
            <w:shd w:val="clear" w:color="auto" w:fill="CCEEFF"/>
          </w:tcPr>
          <w:p>
            <w:pPr>
              <w:jc w:val="right"/>
              <w:ind w:right="150"/>
              <w:spacing w:after="0"/>
              <w:rPr>
                <w:sz w:val="20"/>
                <w:szCs w:val="20"/>
                <w:color w:val="auto"/>
              </w:rPr>
            </w:pPr>
            <w:r>
              <w:rPr>
                <w:rFonts w:ascii="Arial" w:cs="Arial" w:eastAsia="Arial" w:hAnsi="Arial"/>
                <w:sz w:val="18"/>
                <w:szCs w:val="18"/>
                <w:color w:val="auto"/>
                <w:w w:val="79"/>
              </w:rPr>
              <w:t>$</w:t>
            </w:r>
          </w:p>
        </w:tc>
        <w:tc>
          <w:tcPr>
            <w:tcW w:w="128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358</w:t>
            </w:r>
          </w:p>
        </w:tc>
        <w:tc>
          <w:tcPr>
            <w:tcW w:w="420" w:type="dxa"/>
            <w:vAlign w:val="bottom"/>
            <w:gridSpan w:val="2"/>
            <w:shd w:val="clear" w:color="auto" w:fill="CCEEFF"/>
          </w:tcPr>
          <w:p>
            <w:pPr>
              <w:jc w:val="right"/>
              <w:ind w:right="130"/>
              <w:spacing w:after="0"/>
              <w:rPr>
                <w:sz w:val="20"/>
                <w:szCs w:val="20"/>
                <w:color w:val="auto"/>
              </w:rPr>
            </w:pPr>
            <w:r>
              <w:rPr>
                <w:rFonts w:ascii="Arial" w:cs="Arial" w:eastAsia="Arial" w:hAnsi="Arial"/>
                <w:sz w:val="18"/>
                <w:szCs w:val="18"/>
                <w:color w:val="auto"/>
              </w:rPr>
              <w:t>$</w:t>
            </w:r>
          </w:p>
        </w:tc>
        <w:tc>
          <w:tcPr>
            <w:tcW w:w="126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391</w:t>
            </w:r>
          </w:p>
        </w:tc>
      </w:tr>
      <w:tr>
        <w:trPr>
          <w:trHeight w:val="216"/>
        </w:trPr>
        <w:tc>
          <w:tcPr>
            <w:tcW w:w="660" w:type="dxa"/>
            <w:vAlign w:val="bottom"/>
          </w:tcPr>
          <w:p>
            <w:pPr>
              <w:spacing w:after="0"/>
              <w:rPr>
                <w:sz w:val="18"/>
                <w:szCs w:val="18"/>
                <w:color w:val="auto"/>
              </w:rPr>
            </w:pPr>
          </w:p>
        </w:tc>
        <w:tc>
          <w:tcPr>
            <w:tcW w:w="7360" w:type="dxa"/>
            <w:vAlign w:val="bottom"/>
            <w:gridSpan w:val="2"/>
          </w:tcPr>
          <w:p>
            <w:pPr>
              <w:spacing w:after="0"/>
              <w:rPr>
                <w:sz w:val="20"/>
                <w:szCs w:val="20"/>
                <w:color w:val="auto"/>
              </w:rPr>
            </w:pPr>
            <w:r>
              <w:rPr>
                <w:rFonts w:ascii="Arial" w:cs="Arial" w:eastAsia="Arial" w:hAnsi="Arial"/>
                <w:sz w:val="18"/>
                <w:szCs w:val="18"/>
                <w:color w:val="auto"/>
              </w:rPr>
              <w:t>Expected return on plan assets</w:t>
            </w:r>
          </w:p>
        </w:tc>
        <w:tc>
          <w:tcPr>
            <w:tcW w:w="340" w:type="dxa"/>
            <w:vAlign w:val="bottom"/>
          </w:tcPr>
          <w:p>
            <w:pPr>
              <w:spacing w:after="0"/>
              <w:rPr>
                <w:sz w:val="18"/>
                <w:szCs w:val="18"/>
                <w:color w:val="auto"/>
              </w:rPr>
            </w:pPr>
          </w:p>
        </w:tc>
        <w:tc>
          <w:tcPr>
            <w:tcW w:w="1280" w:type="dxa"/>
            <w:vAlign w:val="bottom"/>
          </w:tcPr>
          <w:p>
            <w:pPr>
              <w:jc w:val="right"/>
              <w:spacing w:after="0"/>
              <w:rPr>
                <w:sz w:val="20"/>
                <w:szCs w:val="20"/>
                <w:color w:val="auto"/>
              </w:rPr>
            </w:pPr>
            <w:r>
              <w:rPr>
                <w:rFonts w:ascii="Arial" w:cs="Arial" w:eastAsia="Arial" w:hAnsi="Arial"/>
                <w:sz w:val="18"/>
                <w:szCs w:val="18"/>
                <w:color w:val="auto"/>
              </w:rPr>
              <w:t>(675)</w:t>
            </w: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260" w:type="dxa"/>
            <w:vAlign w:val="bottom"/>
          </w:tcPr>
          <w:p>
            <w:pPr>
              <w:jc w:val="right"/>
              <w:spacing w:after="0"/>
              <w:rPr>
                <w:sz w:val="20"/>
                <w:szCs w:val="20"/>
                <w:color w:val="auto"/>
              </w:rPr>
            </w:pPr>
            <w:r>
              <w:rPr>
                <w:rFonts w:ascii="Arial" w:cs="Arial" w:eastAsia="Arial" w:hAnsi="Arial"/>
                <w:sz w:val="18"/>
                <w:szCs w:val="18"/>
                <w:color w:val="auto"/>
              </w:rPr>
              <w:t>(733)</w:t>
            </w:r>
          </w:p>
        </w:tc>
      </w:tr>
      <w:tr>
        <w:trPr>
          <w:trHeight w:val="216"/>
        </w:trPr>
        <w:tc>
          <w:tcPr>
            <w:tcW w:w="660" w:type="dxa"/>
            <w:vAlign w:val="bottom"/>
          </w:tcPr>
          <w:p>
            <w:pPr>
              <w:spacing w:after="0"/>
              <w:rPr>
                <w:sz w:val="18"/>
                <w:szCs w:val="18"/>
                <w:color w:val="auto"/>
              </w:rPr>
            </w:pPr>
          </w:p>
        </w:tc>
        <w:tc>
          <w:tcPr>
            <w:tcW w:w="73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Net amortization loss</w:t>
            </w:r>
          </w:p>
        </w:tc>
        <w:tc>
          <w:tcPr>
            <w:tcW w:w="340" w:type="dxa"/>
            <w:vAlign w:val="bottom"/>
            <w:shd w:val="clear" w:color="auto" w:fill="CCEEFF"/>
          </w:tcPr>
          <w:p>
            <w:pPr>
              <w:spacing w:after="0"/>
              <w:rPr>
                <w:sz w:val="18"/>
                <w:szCs w:val="18"/>
                <w:color w:val="auto"/>
              </w:rPr>
            </w:pPr>
          </w:p>
        </w:tc>
        <w:tc>
          <w:tcPr>
            <w:tcW w:w="128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551</w:t>
            </w:r>
          </w:p>
        </w:tc>
        <w:tc>
          <w:tcPr>
            <w:tcW w:w="1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26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105</w:t>
            </w:r>
          </w:p>
        </w:tc>
      </w:tr>
      <w:tr>
        <w:trPr>
          <w:trHeight w:val="216"/>
        </w:trPr>
        <w:tc>
          <w:tcPr>
            <w:tcW w:w="660" w:type="dxa"/>
            <w:vAlign w:val="bottom"/>
          </w:tcPr>
          <w:p>
            <w:pPr>
              <w:spacing w:after="0"/>
              <w:rPr>
                <w:sz w:val="18"/>
                <w:szCs w:val="18"/>
                <w:color w:val="auto"/>
              </w:rPr>
            </w:pPr>
          </w:p>
        </w:tc>
        <w:tc>
          <w:tcPr>
            <w:tcW w:w="7360" w:type="dxa"/>
            <w:vAlign w:val="bottom"/>
            <w:gridSpan w:val="2"/>
          </w:tcPr>
          <w:p>
            <w:pPr>
              <w:spacing w:after="0"/>
              <w:rPr>
                <w:sz w:val="20"/>
                <w:szCs w:val="20"/>
                <w:color w:val="auto"/>
              </w:rPr>
            </w:pPr>
            <w:r>
              <w:rPr>
                <w:rFonts w:ascii="Arial" w:cs="Arial" w:eastAsia="Arial" w:hAnsi="Arial"/>
                <w:sz w:val="18"/>
                <w:szCs w:val="18"/>
                <w:color w:val="auto"/>
              </w:rPr>
              <w:t>Recognition of net loss due to settlements</w:t>
            </w:r>
          </w:p>
        </w:tc>
        <w:tc>
          <w:tcPr>
            <w:tcW w:w="340" w:type="dxa"/>
            <w:vAlign w:val="bottom"/>
            <w:tcBorders>
              <w:bottom w:val="single" w:sz="8" w:color="auto"/>
            </w:tcBorders>
          </w:tcPr>
          <w:p>
            <w:pPr>
              <w:spacing w:after="0"/>
              <w:rPr>
                <w:sz w:val="18"/>
                <w:szCs w:val="18"/>
                <w:color w:val="auto"/>
              </w:rPr>
            </w:pPr>
          </w:p>
        </w:tc>
        <w:tc>
          <w:tcPr>
            <w:tcW w:w="128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115</w:t>
            </w:r>
          </w:p>
        </w:tc>
        <w:tc>
          <w:tcPr>
            <w:tcW w:w="100" w:type="dxa"/>
            <w:vAlign w:val="bottom"/>
          </w:tcPr>
          <w:p>
            <w:pPr>
              <w:spacing w:after="0"/>
              <w:rPr>
                <w:sz w:val="18"/>
                <w:szCs w:val="18"/>
                <w:color w:val="auto"/>
              </w:rPr>
            </w:pPr>
          </w:p>
        </w:tc>
        <w:tc>
          <w:tcPr>
            <w:tcW w:w="320" w:type="dxa"/>
            <w:vAlign w:val="bottom"/>
            <w:tcBorders>
              <w:bottom w:val="single" w:sz="8" w:color="auto"/>
            </w:tcBorders>
          </w:tcPr>
          <w:p>
            <w:pPr>
              <w:spacing w:after="0"/>
              <w:rPr>
                <w:sz w:val="18"/>
                <w:szCs w:val="18"/>
                <w:color w:val="auto"/>
              </w:rPr>
            </w:pPr>
          </w:p>
        </w:tc>
        <w:tc>
          <w:tcPr>
            <w:tcW w:w="126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22</w:t>
            </w:r>
          </w:p>
        </w:tc>
      </w:tr>
      <w:tr>
        <w:trPr>
          <w:trHeight w:val="250"/>
        </w:trPr>
        <w:tc>
          <w:tcPr>
            <w:tcW w:w="660" w:type="dxa"/>
            <w:vAlign w:val="bottom"/>
          </w:tcPr>
          <w:p>
            <w:pPr>
              <w:spacing w:after="0"/>
              <w:rPr>
                <w:sz w:val="21"/>
                <w:szCs w:val="21"/>
                <w:color w:val="auto"/>
              </w:rPr>
            </w:pPr>
          </w:p>
        </w:tc>
        <w:tc>
          <w:tcPr>
            <w:tcW w:w="7360" w:type="dxa"/>
            <w:vAlign w:val="bottom"/>
            <w:tcBorders>
              <w:bottom w:val="single" w:sz="8" w:color="CCEEFF"/>
            </w:tcBorders>
            <w:gridSpan w:val="2"/>
            <w:shd w:val="clear" w:color="auto" w:fill="CCEEFF"/>
          </w:tcPr>
          <w:p>
            <w:pPr>
              <w:spacing w:after="0"/>
              <w:rPr>
                <w:sz w:val="20"/>
                <w:szCs w:val="20"/>
                <w:color w:val="auto"/>
              </w:rPr>
            </w:pPr>
            <w:r>
              <w:rPr>
                <w:rFonts w:ascii="Arial" w:cs="Arial" w:eastAsia="Arial" w:hAnsi="Arial"/>
                <w:sz w:val="18"/>
                <w:szCs w:val="18"/>
                <w:color w:val="auto"/>
              </w:rPr>
              <w:t>Net periodic benefit cost (credit)</w:t>
            </w:r>
          </w:p>
        </w:tc>
        <w:tc>
          <w:tcPr>
            <w:tcW w:w="340" w:type="dxa"/>
            <w:vAlign w:val="bottom"/>
            <w:tcBorders>
              <w:bottom w:val="single" w:sz="8" w:color="auto"/>
            </w:tcBorders>
            <w:shd w:val="clear" w:color="auto" w:fill="CCEEFF"/>
          </w:tcPr>
          <w:p>
            <w:pPr>
              <w:jc w:val="right"/>
              <w:ind w:right="150"/>
              <w:spacing w:after="0"/>
              <w:rPr>
                <w:sz w:val="20"/>
                <w:szCs w:val="20"/>
                <w:color w:val="auto"/>
              </w:rPr>
            </w:pPr>
            <w:r>
              <w:rPr>
                <w:rFonts w:ascii="Arial" w:cs="Arial" w:eastAsia="Arial" w:hAnsi="Arial"/>
                <w:sz w:val="18"/>
                <w:szCs w:val="18"/>
                <w:color w:val="auto"/>
                <w:w w:val="79"/>
              </w:rPr>
              <w:t>$</w:t>
            </w:r>
          </w:p>
        </w:tc>
        <w:tc>
          <w:tcPr>
            <w:tcW w:w="128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rPr>
              <w:t>349</w:t>
            </w: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auto"/>
            </w:tcBorders>
            <w:shd w:val="clear" w:color="auto" w:fill="CCEEFF"/>
          </w:tcPr>
          <w:p>
            <w:pPr>
              <w:jc w:val="right"/>
              <w:ind w:right="130"/>
              <w:spacing w:after="0"/>
              <w:rPr>
                <w:sz w:val="20"/>
                <w:szCs w:val="20"/>
                <w:color w:val="auto"/>
              </w:rPr>
            </w:pPr>
            <w:r>
              <w:rPr>
                <w:rFonts w:ascii="Arial" w:cs="Arial" w:eastAsia="Arial" w:hAnsi="Arial"/>
                <w:sz w:val="18"/>
                <w:szCs w:val="18"/>
                <w:color w:val="auto"/>
                <w:w w:val="79"/>
              </w:rPr>
              <w:t>$</w:t>
            </w:r>
          </w:p>
        </w:tc>
        <w:tc>
          <w:tcPr>
            <w:tcW w:w="12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(215)</w:t>
            </w:r>
          </w:p>
        </w:tc>
      </w:tr>
    </w:tbl>
    <w:p>
      <w:pPr>
        <w:spacing w:after="0" w:line="202" w:lineRule="exact"/>
        <w:rPr>
          <w:sz w:val="20"/>
          <w:szCs w:val="20"/>
          <w:color w:val="auto"/>
        </w:rPr>
      </w:pPr>
    </w:p>
    <w:p>
      <w:pPr>
        <w:ind w:right="80" w:firstLine="648"/>
        <w:spacing w:after="0" w:line="277" w:lineRule="auto"/>
        <w:rPr>
          <w:sz w:val="20"/>
          <w:szCs w:val="20"/>
          <w:color w:val="auto"/>
        </w:rPr>
      </w:pPr>
      <w:r>
        <w:rPr>
          <w:rFonts w:ascii="Arial" w:cs="Arial" w:eastAsia="Arial" w:hAnsi="Arial"/>
          <w:sz w:val="18"/>
          <w:szCs w:val="18"/>
          <w:color w:val="auto"/>
        </w:rPr>
        <w:t>The funded status of the Company’s defined benefit pension plans and the amount recognized in the consolidated balance sheets at December 31, 2021 and 2020 is as follows:</w:t>
      </w:r>
    </w:p>
    <w:p>
      <w:pPr>
        <w:spacing w:after="0" w:line="166" w:lineRule="exact"/>
        <w:rPr>
          <w:sz w:val="20"/>
          <w:szCs w:val="20"/>
          <w:color w:val="auto"/>
        </w:rPr>
      </w:pPr>
    </w:p>
    <w:tbl>
      <w:tblPr>
        <w:tblLayout w:type="fixed"/>
        <w:tblInd w:w="660" w:type="dxa"/>
        <w:tblCellMar>
          <w:top w:w="0" w:type="dxa"/>
          <w:left w:w="0" w:type="dxa"/>
          <w:bottom w:w="0" w:type="dxa"/>
          <w:right w:w="0" w:type="dxa"/>
        </w:tblCellMar>
      </w:tblPr>
      <w:tr>
        <w:trPr>
          <w:trHeight w:val="234"/>
        </w:trPr>
        <w:tc>
          <w:tcPr>
            <w:tcW w:w="7360" w:type="dxa"/>
            <w:vAlign w:val="bottom"/>
          </w:tcPr>
          <w:p>
            <w:pPr>
              <w:spacing w:after="0"/>
              <w:rPr>
                <w:sz w:val="20"/>
                <w:szCs w:val="20"/>
                <w:color w:val="auto"/>
              </w:rPr>
            </w:pPr>
          </w:p>
        </w:tc>
        <w:tc>
          <w:tcPr>
            <w:tcW w:w="340" w:type="dxa"/>
            <w:vAlign w:val="bottom"/>
            <w:tcBorders>
              <w:bottom w:val="single" w:sz="8" w:color="auto"/>
            </w:tcBorders>
          </w:tcPr>
          <w:p>
            <w:pPr>
              <w:spacing w:after="0"/>
              <w:rPr>
                <w:sz w:val="20"/>
                <w:szCs w:val="20"/>
                <w:color w:val="auto"/>
              </w:rPr>
            </w:pPr>
          </w:p>
        </w:tc>
        <w:tc>
          <w:tcPr>
            <w:tcW w:w="1860" w:type="dxa"/>
            <w:vAlign w:val="bottom"/>
            <w:tcBorders>
              <w:bottom w:val="single" w:sz="8" w:color="auto"/>
            </w:tcBorders>
            <w:gridSpan w:val="3"/>
          </w:tcPr>
          <w:p>
            <w:pPr>
              <w:jc w:val="right"/>
              <w:ind w:right="60"/>
              <w:spacing w:after="0"/>
              <w:rPr>
                <w:sz w:val="20"/>
                <w:szCs w:val="20"/>
                <w:color w:val="auto"/>
              </w:rPr>
            </w:pPr>
            <w:r>
              <w:rPr>
                <w:rFonts w:ascii="Arial" w:cs="Arial" w:eastAsia="Arial" w:hAnsi="Arial"/>
                <w:sz w:val="18"/>
                <w:szCs w:val="18"/>
                <w:b w:val="1"/>
                <w:bCs w:val="1"/>
                <w:color w:val="auto"/>
              </w:rPr>
              <w:t>December 31,</w:t>
            </w:r>
          </w:p>
        </w:tc>
        <w:tc>
          <w:tcPr>
            <w:tcW w:w="1100" w:type="dxa"/>
            <w:vAlign w:val="bottom"/>
            <w:tcBorders>
              <w:bottom w:val="single" w:sz="8" w:color="auto"/>
            </w:tcBorders>
          </w:tcPr>
          <w:p>
            <w:pPr>
              <w:spacing w:after="0"/>
              <w:rPr>
                <w:sz w:val="20"/>
                <w:szCs w:val="20"/>
                <w:color w:val="auto"/>
              </w:rPr>
            </w:pPr>
          </w:p>
        </w:tc>
      </w:tr>
      <w:tr>
        <w:trPr>
          <w:trHeight w:val="209"/>
        </w:trPr>
        <w:tc>
          <w:tcPr>
            <w:tcW w:w="7360" w:type="dxa"/>
            <w:vAlign w:val="bottom"/>
          </w:tcPr>
          <w:p>
            <w:pPr>
              <w:spacing w:after="0"/>
              <w:rPr>
                <w:sz w:val="20"/>
                <w:szCs w:val="20"/>
                <w:color w:val="auto"/>
              </w:rPr>
            </w:pPr>
            <w:r>
              <w:rPr>
                <w:rFonts w:ascii="Arial" w:cs="Arial" w:eastAsia="Arial" w:hAnsi="Arial"/>
                <w:sz w:val="18"/>
                <w:szCs w:val="18"/>
                <w:color w:val="auto"/>
              </w:rPr>
              <w:t>(in thousands)</w:t>
            </w:r>
          </w:p>
        </w:tc>
        <w:tc>
          <w:tcPr>
            <w:tcW w:w="340" w:type="dxa"/>
            <w:vAlign w:val="bottom"/>
            <w:tcBorders>
              <w:bottom w:val="single" w:sz="8" w:color="auto"/>
            </w:tcBorders>
          </w:tcPr>
          <w:p>
            <w:pPr>
              <w:spacing w:after="0"/>
              <w:rPr>
                <w:sz w:val="18"/>
                <w:szCs w:val="18"/>
                <w:color w:val="auto"/>
              </w:rPr>
            </w:pPr>
          </w:p>
        </w:tc>
        <w:tc>
          <w:tcPr>
            <w:tcW w:w="1280" w:type="dxa"/>
            <w:vAlign w:val="bottom"/>
            <w:tcBorders>
              <w:bottom w:val="single" w:sz="8" w:color="auto"/>
            </w:tcBorders>
          </w:tcPr>
          <w:p>
            <w:pPr>
              <w:jc w:val="right"/>
              <w:ind w:right="590"/>
              <w:spacing w:after="0"/>
              <w:rPr>
                <w:sz w:val="20"/>
                <w:szCs w:val="20"/>
                <w:color w:val="auto"/>
              </w:rPr>
            </w:pPr>
            <w:r>
              <w:rPr>
                <w:rFonts w:ascii="Arial" w:cs="Arial" w:eastAsia="Arial" w:hAnsi="Arial"/>
                <w:sz w:val="18"/>
                <w:szCs w:val="18"/>
                <w:b w:val="1"/>
                <w:bCs w:val="1"/>
                <w:color w:val="auto"/>
              </w:rPr>
              <w:t>2021</w:t>
            </w:r>
          </w:p>
        </w:tc>
        <w:tc>
          <w:tcPr>
            <w:tcW w:w="100" w:type="dxa"/>
            <w:vAlign w:val="bottom"/>
          </w:tcPr>
          <w:p>
            <w:pPr>
              <w:spacing w:after="0"/>
              <w:rPr>
                <w:sz w:val="18"/>
                <w:szCs w:val="18"/>
                <w:color w:val="auto"/>
              </w:rPr>
            </w:pPr>
          </w:p>
        </w:tc>
        <w:tc>
          <w:tcPr>
            <w:tcW w:w="480" w:type="dxa"/>
            <w:vAlign w:val="bottom"/>
            <w:tcBorders>
              <w:bottom w:val="single" w:sz="8" w:color="auto"/>
            </w:tcBorders>
          </w:tcPr>
          <w:p>
            <w:pPr>
              <w:spacing w:after="0"/>
              <w:rPr>
                <w:sz w:val="18"/>
                <w:szCs w:val="18"/>
                <w:color w:val="auto"/>
              </w:rPr>
            </w:pPr>
          </w:p>
        </w:tc>
        <w:tc>
          <w:tcPr>
            <w:tcW w:w="1100" w:type="dxa"/>
            <w:vAlign w:val="bottom"/>
            <w:tcBorders>
              <w:bottom w:val="single" w:sz="8" w:color="auto"/>
            </w:tcBorders>
          </w:tcPr>
          <w:p>
            <w:pPr>
              <w:jc w:val="right"/>
              <w:ind w:right="570"/>
              <w:spacing w:after="0"/>
              <w:rPr>
                <w:sz w:val="20"/>
                <w:szCs w:val="20"/>
                <w:color w:val="auto"/>
              </w:rPr>
            </w:pPr>
            <w:r>
              <w:rPr>
                <w:rFonts w:ascii="Arial" w:cs="Arial" w:eastAsia="Arial" w:hAnsi="Arial"/>
                <w:sz w:val="18"/>
                <w:szCs w:val="18"/>
                <w:b w:val="1"/>
                <w:bCs w:val="1"/>
                <w:color w:val="auto"/>
              </w:rPr>
              <w:t>2020</w:t>
            </w:r>
          </w:p>
        </w:tc>
      </w:tr>
      <w:tr>
        <w:trPr>
          <w:trHeight w:val="210"/>
        </w:trPr>
        <w:tc>
          <w:tcPr>
            <w:tcW w:w="7360" w:type="dxa"/>
            <w:vAlign w:val="bottom"/>
            <w:shd w:val="clear" w:color="auto" w:fill="CCEEFF"/>
          </w:tcPr>
          <w:p>
            <w:pPr>
              <w:spacing w:after="0"/>
              <w:rPr>
                <w:sz w:val="20"/>
                <w:szCs w:val="20"/>
                <w:color w:val="auto"/>
              </w:rPr>
            </w:pPr>
            <w:r>
              <w:rPr>
                <w:rFonts w:ascii="Arial" w:cs="Arial" w:eastAsia="Arial" w:hAnsi="Arial"/>
                <w:sz w:val="18"/>
                <w:szCs w:val="18"/>
                <w:color w:val="auto"/>
              </w:rPr>
              <w:t>Change in benefit obligation:</w:t>
            </w:r>
          </w:p>
        </w:tc>
        <w:tc>
          <w:tcPr>
            <w:tcW w:w="340" w:type="dxa"/>
            <w:vAlign w:val="bottom"/>
            <w:shd w:val="clear" w:color="auto" w:fill="CCEEFF"/>
          </w:tcPr>
          <w:p>
            <w:pPr>
              <w:spacing w:after="0"/>
              <w:rPr>
                <w:sz w:val="18"/>
                <w:szCs w:val="18"/>
                <w:color w:val="auto"/>
              </w:rPr>
            </w:pPr>
          </w:p>
        </w:tc>
        <w:tc>
          <w:tcPr>
            <w:tcW w:w="12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r>
      <w:tr>
        <w:trPr>
          <w:trHeight w:val="216"/>
        </w:trPr>
        <w:tc>
          <w:tcPr>
            <w:tcW w:w="7360" w:type="dxa"/>
            <w:vAlign w:val="bottom"/>
          </w:tcPr>
          <w:p>
            <w:pPr>
              <w:ind w:left="160"/>
              <w:spacing w:after="0"/>
              <w:rPr>
                <w:sz w:val="20"/>
                <w:szCs w:val="20"/>
                <w:color w:val="auto"/>
              </w:rPr>
            </w:pPr>
            <w:r>
              <w:rPr>
                <w:rFonts w:ascii="Arial" w:cs="Arial" w:eastAsia="Arial" w:hAnsi="Arial"/>
                <w:sz w:val="18"/>
                <w:szCs w:val="18"/>
                <w:color w:val="auto"/>
              </w:rPr>
              <w:t>Balance at beginning of year</w:t>
            </w:r>
          </w:p>
        </w:tc>
        <w:tc>
          <w:tcPr>
            <w:tcW w:w="340" w:type="dxa"/>
            <w:vAlign w:val="bottom"/>
          </w:tcPr>
          <w:p>
            <w:pPr>
              <w:jc w:val="right"/>
              <w:ind w:right="150"/>
              <w:spacing w:after="0"/>
              <w:rPr>
                <w:sz w:val="20"/>
                <w:szCs w:val="20"/>
                <w:color w:val="auto"/>
              </w:rPr>
            </w:pPr>
            <w:r>
              <w:rPr>
                <w:rFonts w:ascii="Arial" w:cs="Arial" w:eastAsia="Arial" w:hAnsi="Arial"/>
                <w:sz w:val="18"/>
                <w:szCs w:val="18"/>
                <w:color w:val="auto"/>
                <w:w w:val="79"/>
              </w:rPr>
              <w:t>$</w:t>
            </w:r>
          </w:p>
        </w:tc>
        <w:tc>
          <w:tcPr>
            <w:tcW w:w="1280" w:type="dxa"/>
            <w:vAlign w:val="bottom"/>
          </w:tcPr>
          <w:p>
            <w:pPr>
              <w:jc w:val="right"/>
              <w:ind w:right="30"/>
              <w:spacing w:after="0"/>
              <w:rPr>
                <w:sz w:val="20"/>
                <w:szCs w:val="20"/>
                <w:color w:val="auto"/>
              </w:rPr>
            </w:pPr>
            <w:r>
              <w:rPr>
                <w:rFonts w:ascii="Arial" w:cs="Arial" w:eastAsia="Arial" w:hAnsi="Arial"/>
                <w:sz w:val="18"/>
                <w:szCs w:val="18"/>
                <w:color w:val="auto"/>
              </w:rPr>
              <w:t>25,519</w:t>
            </w:r>
          </w:p>
        </w:tc>
        <w:tc>
          <w:tcPr>
            <w:tcW w:w="580" w:type="dxa"/>
            <w:vAlign w:val="bottom"/>
            <w:gridSpan w:val="2"/>
          </w:tcPr>
          <w:p>
            <w:pPr>
              <w:jc w:val="right"/>
              <w:ind w:right="380"/>
              <w:spacing w:after="0"/>
              <w:rPr>
                <w:sz w:val="20"/>
                <w:szCs w:val="20"/>
                <w:color w:val="auto"/>
              </w:rPr>
            </w:pPr>
            <w:r>
              <w:rPr>
                <w:rFonts w:ascii="Arial" w:cs="Arial" w:eastAsia="Arial" w:hAnsi="Arial"/>
                <w:sz w:val="18"/>
                <w:szCs w:val="18"/>
                <w:color w:val="auto"/>
              </w:rPr>
              <w:t>$</w:t>
            </w:r>
          </w:p>
        </w:tc>
        <w:tc>
          <w:tcPr>
            <w:tcW w:w="1100" w:type="dxa"/>
            <w:vAlign w:val="bottom"/>
          </w:tcPr>
          <w:p>
            <w:pPr>
              <w:jc w:val="right"/>
              <w:ind w:right="10"/>
              <w:spacing w:after="0"/>
              <w:rPr>
                <w:sz w:val="20"/>
                <w:szCs w:val="20"/>
                <w:color w:val="auto"/>
              </w:rPr>
            </w:pPr>
            <w:r>
              <w:rPr>
                <w:rFonts w:ascii="Arial" w:cs="Arial" w:eastAsia="Arial" w:hAnsi="Arial"/>
                <w:sz w:val="18"/>
                <w:szCs w:val="18"/>
                <w:color w:val="auto"/>
              </w:rPr>
              <w:t>20,027</w:t>
            </w:r>
          </w:p>
        </w:tc>
      </w:tr>
      <w:tr>
        <w:trPr>
          <w:trHeight w:val="216"/>
        </w:trPr>
        <w:tc>
          <w:tcPr>
            <w:tcW w:w="7360" w:type="dxa"/>
            <w:vAlign w:val="bottom"/>
            <w:shd w:val="clear" w:color="auto" w:fill="CCEEFF"/>
          </w:tcPr>
          <w:p>
            <w:pPr>
              <w:ind w:left="160"/>
              <w:spacing w:after="0"/>
              <w:rPr>
                <w:sz w:val="20"/>
                <w:szCs w:val="20"/>
                <w:color w:val="auto"/>
              </w:rPr>
            </w:pPr>
            <w:r>
              <w:rPr>
                <w:rFonts w:ascii="Arial" w:cs="Arial" w:eastAsia="Arial" w:hAnsi="Arial"/>
                <w:sz w:val="18"/>
                <w:szCs w:val="18"/>
                <w:color w:val="auto"/>
              </w:rPr>
              <w:t>Interest cost</w:t>
            </w:r>
          </w:p>
        </w:tc>
        <w:tc>
          <w:tcPr>
            <w:tcW w:w="340" w:type="dxa"/>
            <w:vAlign w:val="bottom"/>
            <w:shd w:val="clear" w:color="auto" w:fill="CCEEFF"/>
          </w:tcPr>
          <w:p>
            <w:pPr>
              <w:spacing w:after="0"/>
              <w:rPr>
                <w:sz w:val="18"/>
                <w:szCs w:val="18"/>
                <w:color w:val="auto"/>
              </w:rPr>
            </w:pPr>
          </w:p>
        </w:tc>
        <w:tc>
          <w:tcPr>
            <w:tcW w:w="128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358</w:t>
            </w:r>
          </w:p>
        </w:tc>
        <w:tc>
          <w:tcPr>
            <w:tcW w:w="10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110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391</w:t>
            </w:r>
          </w:p>
        </w:tc>
      </w:tr>
      <w:tr>
        <w:trPr>
          <w:trHeight w:val="216"/>
        </w:trPr>
        <w:tc>
          <w:tcPr>
            <w:tcW w:w="7360" w:type="dxa"/>
            <w:vAlign w:val="bottom"/>
          </w:tcPr>
          <w:p>
            <w:pPr>
              <w:ind w:left="160"/>
              <w:spacing w:after="0"/>
              <w:rPr>
                <w:sz w:val="20"/>
                <w:szCs w:val="20"/>
                <w:color w:val="auto"/>
              </w:rPr>
            </w:pPr>
            <w:r>
              <w:rPr>
                <w:rFonts w:ascii="Arial" w:cs="Arial" w:eastAsia="Arial" w:hAnsi="Arial"/>
                <w:sz w:val="18"/>
                <w:szCs w:val="18"/>
                <w:color w:val="auto"/>
              </w:rPr>
              <w:t>Actuarial (gain) loss</w:t>
            </w:r>
          </w:p>
        </w:tc>
        <w:tc>
          <w:tcPr>
            <w:tcW w:w="340" w:type="dxa"/>
            <w:vAlign w:val="bottom"/>
          </w:tcPr>
          <w:p>
            <w:pPr>
              <w:spacing w:after="0"/>
              <w:rPr>
                <w:sz w:val="18"/>
                <w:szCs w:val="18"/>
                <w:color w:val="auto"/>
              </w:rPr>
            </w:pPr>
          </w:p>
        </w:tc>
        <w:tc>
          <w:tcPr>
            <w:tcW w:w="1280" w:type="dxa"/>
            <w:vAlign w:val="bottom"/>
          </w:tcPr>
          <w:p>
            <w:pPr>
              <w:jc w:val="right"/>
              <w:spacing w:after="0"/>
              <w:rPr>
                <w:sz w:val="20"/>
                <w:szCs w:val="20"/>
                <w:color w:val="auto"/>
              </w:rPr>
            </w:pPr>
            <w:r>
              <w:rPr>
                <w:rFonts w:ascii="Arial" w:cs="Arial" w:eastAsia="Arial" w:hAnsi="Arial"/>
                <w:sz w:val="18"/>
                <w:szCs w:val="18"/>
                <w:color w:val="auto"/>
              </w:rPr>
              <w:t>(2,440)</w:t>
            </w:r>
          </w:p>
        </w:tc>
        <w:tc>
          <w:tcPr>
            <w:tcW w:w="10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1100" w:type="dxa"/>
            <w:vAlign w:val="bottom"/>
          </w:tcPr>
          <w:p>
            <w:pPr>
              <w:jc w:val="right"/>
              <w:ind w:right="10"/>
              <w:spacing w:after="0"/>
              <w:rPr>
                <w:sz w:val="20"/>
                <w:szCs w:val="20"/>
                <w:color w:val="auto"/>
              </w:rPr>
            </w:pPr>
            <w:r>
              <w:rPr>
                <w:rFonts w:ascii="Arial" w:cs="Arial" w:eastAsia="Arial" w:hAnsi="Arial"/>
                <w:sz w:val="18"/>
                <w:szCs w:val="18"/>
                <w:color w:val="auto"/>
              </w:rPr>
              <w:t>4,814</w:t>
            </w:r>
          </w:p>
        </w:tc>
      </w:tr>
      <w:tr>
        <w:trPr>
          <w:trHeight w:val="216"/>
        </w:trPr>
        <w:tc>
          <w:tcPr>
            <w:tcW w:w="7360" w:type="dxa"/>
            <w:vAlign w:val="bottom"/>
            <w:shd w:val="clear" w:color="auto" w:fill="CCEEFF"/>
          </w:tcPr>
          <w:p>
            <w:pPr>
              <w:ind w:left="160"/>
              <w:spacing w:after="0"/>
              <w:rPr>
                <w:sz w:val="20"/>
                <w:szCs w:val="20"/>
                <w:color w:val="auto"/>
              </w:rPr>
            </w:pPr>
            <w:r>
              <w:rPr>
                <w:rFonts w:ascii="Arial" w:cs="Arial" w:eastAsia="Arial" w:hAnsi="Arial"/>
                <w:sz w:val="18"/>
                <w:szCs w:val="18"/>
                <w:color w:val="auto"/>
              </w:rPr>
              <w:t>Settlements due to transfers paid</w:t>
            </w:r>
          </w:p>
        </w:tc>
        <w:tc>
          <w:tcPr>
            <w:tcW w:w="340" w:type="dxa"/>
            <w:vAlign w:val="bottom"/>
            <w:shd w:val="clear" w:color="auto" w:fill="CCEEFF"/>
          </w:tcPr>
          <w:p>
            <w:pPr>
              <w:spacing w:after="0"/>
              <w:rPr>
                <w:sz w:val="18"/>
                <w:szCs w:val="18"/>
                <w:color w:val="auto"/>
              </w:rPr>
            </w:pPr>
          </w:p>
        </w:tc>
        <w:tc>
          <w:tcPr>
            <w:tcW w:w="12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(198)</w:t>
            </w:r>
          </w:p>
        </w:tc>
        <w:tc>
          <w:tcPr>
            <w:tcW w:w="10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(205)</w:t>
            </w:r>
          </w:p>
        </w:tc>
      </w:tr>
      <w:tr>
        <w:trPr>
          <w:trHeight w:val="216"/>
        </w:trPr>
        <w:tc>
          <w:tcPr>
            <w:tcW w:w="7360" w:type="dxa"/>
            <w:vAlign w:val="bottom"/>
          </w:tcPr>
          <w:p>
            <w:pPr>
              <w:ind w:left="160"/>
              <w:spacing w:after="0"/>
              <w:rPr>
                <w:sz w:val="20"/>
                <w:szCs w:val="20"/>
                <w:color w:val="auto"/>
              </w:rPr>
            </w:pPr>
            <w:r>
              <w:rPr>
                <w:rFonts w:ascii="Arial" w:cs="Arial" w:eastAsia="Arial" w:hAnsi="Arial"/>
                <w:sz w:val="18"/>
                <w:szCs w:val="18"/>
                <w:color w:val="auto"/>
              </w:rPr>
              <w:t>Benefits paid</w:t>
            </w:r>
          </w:p>
        </w:tc>
        <w:tc>
          <w:tcPr>
            <w:tcW w:w="340" w:type="dxa"/>
            <w:vAlign w:val="bottom"/>
          </w:tcPr>
          <w:p>
            <w:pPr>
              <w:spacing w:after="0"/>
              <w:rPr>
                <w:sz w:val="18"/>
                <w:szCs w:val="18"/>
                <w:color w:val="auto"/>
              </w:rPr>
            </w:pPr>
          </w:p>
        </w:tc>
        <w:tc>
          <w:tcPr>
            <w:tcW w:w="1280" w:type="dxa"/>
            <w:vAlign w:val="bottom"/>
          </w:tcPr>
          <w:p>
            <w:pPr>
              <w:jc w:val="right"/>
              <w:spacing w:after="0"/>
              <w:rPr>
                <w:sz w:val="20"/>
                <w:szCs w:val="20"/>
                <w:color w:val="auto"/>
              </w:rPr>
            </w:pPr>
            <w:r>
              <w:rPr>
                <w:rFonts w:ascii="Arial" w:cs="Arial" w:eastAsia="Arial" w:hAnsi="Arial"/>
                <w:sz w:val="18"/>
                <w:szCs w:val="18"/>
                <w:color w:val="auto"/>
              </w:rPr>
              <w:t>(498)</w:t>
            </w:r>
          </w:p>
        </w:tc>
        <w:tc>
          <w:tcPr>
            <w:tcW w:w="10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(476)</w:t>
            </w:r>
          </w:p>
        </w:tc>
      </w:tr>
      <w:tr>
        <w:trPr>
          <w:trHeight w:val="216"/>
        </w:trPr>
        <w:tc>
          <w:tcPr>
            <w:tcW w:w="7360" w:type="dxa"/>
            <w:vAlign w:val="bottom"/>
            <w:tcBorders>
              <w:bottom w:val="single" w:sz="8" w:color="CCEEFF"/>
            </w:tcBorders>
            <w:shd w:val="clear" w:color="auto" w:fill="CCEEFF"/>
          </w:tcPr>
          <w:p>
            <w:pPr>
              <w:ind w:left="160"/>
              <w:spacing w:after="0"/>
              <w:rPr>
                <w:sz w:val="20"/>
                <w:szCs w:val="20"/>
                <w:color w:val="auto"/>
              </w:rPr>
            </w:pPr>
            <w:r>
              <w:rPr>
                <w:rFonts w:ascii="Arial" w:cs="Arial" w:eastAsia="Arial" w:hAnsi="Arial"/>
                <w:sz w:val="18"/>
                <w:szCs w:val="18"/>
                <w:color w:val="auto"/>
              </w:rPr>
              <w:t>Currency translation adjustment</w:t>
            </w:r>
          </w:p>
        </w:tc>
        <w:tc>
          <w:tcPr>
            <w:tcW w:w="340" w:type="dxa"/>
            <w:vAlign w:val="bottom"/>
            <w:tcBorders>
              <w:bottom w:val="single" w:sz="8" w:color="auto"/>
            </w:tcBorders>
            <w:shd w:val="clear" w:color="auto" w:fill="CCEEFF"/>
          </w:tcPr>
          <w:p>
            <w:pPr>
              <w:spacing w:after="0"/>
              <w:rPr>
                <w:sz w:val="18"/>
                <w:szCs w:val="18"/>
                <w:color w:val="auto"/>
              </w:rPr>
            </w:pPr>
          </w:p>
        </w:tc>
        <w:tc>
          <w:tcPr>
            <w:tcW w:w="12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(179)</w:t>
            </w:r>
          </w:p>
        </w:tc>
        <w:tc>
          <w:tcPr>
            <w:tcW w:w="100" w:type="dxa"/>
            <w:vAlign w:val="bottom"/>
            <w:tcBorders>
              <w:bottom w:val="single" w:sz="8" w:color="CCEEFF"/>
            </w:tcBorders>
            <w:shd w:val="clear" w:color="auto" w:fill="CCEEFF"/>
          </w:tcPr>
          <w:p>
            <w:pPr>
              <w:spacing w:after="0"/>
              <w:rPr>
                <w:sz w:val="18"/>
                <w:szCs w:val="18"/>
                <w:color w:val="auto"/>
              </w:rPr>
            </w:pPr>
          </w:p>
        </w:tc>
        <w:tc>
          <w:tcPr>
            <w:tcW w:w="480" w:type="dxa"/>
            <w:vAlign w:val="bottom"/>
            <w:tcBorders>
              <w:bottom w:val="single" w:sz="8" w:color="auto"/>
            </w:tcBorders>
            <w:shd w:val="clear" w:color="auto" w:fill="CCEEFF"/>
          </w:tcPr>
          <w:p>
            <w:pPr>
              <w:spacing w:after="0"/>
              <w:rPr>
                <w:sz w:val="18"/>
                <w:szCs w:val="18"/>
                <w:color w:val="auto"/>
              </w:rPr>
            </w:pPr>
          </w:p>
        </w:tc>
        <w:tc>
          <w:tcPr>
            <w:tcW w:w="110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968</w:t>
            </w:r>
          </w:p>
        </w:tc>
      </w:tr>
      <w:tr>
        <w:trPr>
          <w:trHeight w:val="209"/>
        </w:trPr>
        <w:tc>
          <w:tcPr>
            <w:tcW w:w="7360" w:type="dxa"/>
            <w:vAlign w:val="bottom"/>
          </w:tcPr>
          <w:p>
            <w:pPr>
              <w:ind w:left="160"/>
              <w:spacing w:after="0"/>
              <w:rPr>
                <w:sz w:val="20"/>
                <w:szCs w:val="20"/>
                <w:color w:val="auto"/>
              </w:rPr>
            </w:pPr>
            <w:r>
              <w:rPr>
                <w:rFonts w:ascii="Arial" w:cs="Arial" w:eastAsia="Arial" w:hAnsi="Arial"/>
                <w:sz w:val="18"/>
                <w:szCs w:val="18"/>
                <w:color w:val="auto"/>
              </w:rPr>
              <w:t>Balance at end of year</w:t>
            </w:r>
          </w:p>
        </w:tc>
        <w:tc>
          <w:tcPr>
            <w:tcW w:w="340" w:type="dxa"/>
            <w:vAlign w:val="bottom"/>
          </w:tcPr>
          <w:p>
            <w:pPr>
              <w:jc w:val="right"/>
              <w:ind w:right="150"/>
              <w:spacing w:after="0"/>
              <w:rPr>
                <w:sz w:val="20"/>
                <w:szCs w:val="20"/>
                <w:color w:val="auto"/>
              </w:rPr>
            </w:pPr>
            <w:r>
              <w:rPr>
                <w:rFonts w:ascii="Arial" w:cs="Arial" w:eastAsia="Arial" w:hAnsi="Arial"/>
                <w:sz w:val="18"/>
                <w:szCs w:val="18"/>
                <w:color w:val="auto"/>
                <w:w w:val="79"/>
              </w:rPr>
              <w:t>$</w:t>
            </w:r>
          </w:p>
        </w:tc>
        <w:tc>
          <w:tcPr>
            <w:tcW w:w="1280" w:type="dxa"/>
            <w:vAlign w:val="bottom"/>
          </w:tcPr>
          <w:p>
            <w:pPr>
              <w:jc w:val="right"/>
              <w:ind w:right="30"/>
              <w:spacing w:after="0"/>
              <w:rPr>
                <w:sz w:val="20"/>
                <w:szCs w:val="20"/>
                <w:color w:val="auto"/>
              </w:rPr>
            </w:pPr>
            <w:r>
              <w:rPr>
                <w:rFonts w:ascii="Arial" w:cs="Arial" w:eastAsia="Arial" w:hAnsi="Arial"/>
                <w:sz w:val="18"/>
                <w:szCs w:val="18"/>
                <w:color w:val="auto"/>
              </w:rPr>
              <w:t>22,562</w:t>
            </w:r>
          </w:p>
        </w:tc>
        <w:tc>
          <w:tcPr>
            <w:tcW w:w="580" w:type="dxa"/>
            <w:vAlign w:val="bottom"/>
            <w:gridSpan w:val="2"/>
          </w:tcPr>
          <w:p>
            <w:pPr>
              <w:jc w:val="right"/>
              <w:ind w:right="380"/>
              <w:spacing w:after="0"/>
              <w:rPr>
                <w:sz w:val="20"/>
                <w:szCs w:val="20"/>
                <w:color w:val="auto"/>
              </w:rPr>
            </w:pPr>
            <w:r>
              <w:rPr>
                <w:rFonts w:ascii="Arial" w:cs="Arial" w:eastAsia="Arial" w:hAnsi="Arial"/>
                <w:sz w:val="18"/>
                <w:szCs w:val="18"/>
                <w:color w:val="auto"/>
              </w:rPr>
              <w:t>$</w:t>
            </w:r>
          </w:p>
        </w:tc>
        <w:tc>
          <w:tcPr>
            <w:tcW w:w="1100" w:type="dxa"/>
            <w:vAlign w:val="bottom"/>
          </w:tcPr>
          <w:p>
            <w:pPr>
              <w:jc w:val="right"/>
              <w:ind w:right="10"/>
              <w:spacing w:after="0"/>
              <w:rPr>
                <w:sz w:val="20"/>
                <w:szCs w:val="20"/>
                <w:color w:val="auto"/>
              </w:rPr>
            </w:pPr>
            <w:r>
              <w:rPr>
                <w:rFonts w:ascii="Arial" w:cs="Arial" w:eastAsia="Arial" w:hAnsi="Arial"/>
                <w:sz w:val="18"/>
                <w:szCs w:val="18"/>
                <w:color w:val="auto"/>
              </w:rPr>
              <w:t>25,519</w:t>
            </w:r>
          </w:p>
        </w:tc>
      </w:tr>
      <w:tr>
        <w:trPr>
          <w:trHeight w:val="20"/>
        </w:trPr>
        <w:tc>
          <w:tcPr>
            <w:tcW w:w="7360" w:type="dxa"/>
            <w:vAlign w:val="bottom"/>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12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r>
    </w:tbl>
    <w:p>
      <w:pPr>
        <w:spacing w:after="0" w:line="202" w:lineRule="exact"/>
        <w:rPr>
          <w:sz w:val="20"/>
          <w:szCs w:val="20"/>
          <w:color w:val="auto"/>
        </w:rPr>
      </w:pPr>
    </w:p>
    <w:p>
      <w:pPr>
        <w:ind w:right="100" w:firstLine="648"/>
        <w:spacing w:after="0" w:line="277" w:lineRule="auto"/>
        <w:rPr>
          <w:sz w:val="20"/>
          <w:szCs w:val="20"/>
          <w:color w:val="auto"/>
        </w:rPr>
      </w:pPr>
      <w:r>
        <w:rPr>
          <w:rFonts w:ascii="Arial" w:cs="Arial" w:eastAsia="Arial" w:hAnsi="Arial"/>
          <w:sz w:val="18"/>
          <w:szCs w:val="18"/>
          <w:color w:val="auto"/>
        </w:rPr>
        <w:t>Changes in the actuarial loss disclosed above are primarily the result of changes in the discount rate and inflation assumptions due to underlying market conditions.</w:t>
      </w:r>
    </w:p>
    <w:p>
      <w:pPr>
        <w:spacing w:after="0" w:line="166" w:lineRule="exact"/>
        <w:rPr>
          <w:sz w:val="20"/>
          <w:szCs w:val="20"/>
          <w:color w:val="auto"/>
        </w:rPr>
      </w:pPr>
    </w:p>
    <w:tbl>
      <w:tblPr>
        <w:tblLayout w:type="fixed"/>
        <w:tblInd w:w="660" w:type="dxa"/>
        <w:tblCellMar>
          <w:top w:w="0" w:type="dxa"/>
          <w:left w:w="0" w:type="dxa"/>
          <w:bottom w:w="0" w:type="dxa"/>
          <w:right w:w="0" w:type="dxa"/>
        </w:tblCellMar>
      </w:tblPr>
      <w:tr>
        <w:trPr>
          <w:trHeight w:val="234"/>
        </w:trPr>
        <w:tc>
          <w:tcPr>
            <w:tcW w:w="7360" w:type="dxa"/>
            <w:vAlign w:val="bottom"/>
          </w:tcPr>
          <w:p>
            <w:pPr>
              <w:spacing w:after="0"/>
              <w:rPr>
                <w:sz w:val="20"/>
                <w:szCs w:val="20"/>
                <w:color w:val="auto"/>
              </w:rPr>
            </w:pPr>
          </w:p>
        </w:tc>
        <w:tc>
          <w:tcPr>
            <w:tcW w:w="340" w:type="dxa"/>
            <w:vAlign w:val="bottom"/>
            <w:tcBorders>
              <w:bottom w:val="single" w:sz="8" w:color="auto"/>
            </w:tcBorders>
          </w:tcPr>
          <w:p>
            <w:pPr>
              <w:spacing w:after="0"/>
              <w:rPr>
                <w:sz w:val="20"/>
                <w:szCs w:val="20"/>
                <w:color w:val="auto"/>
              </w:rPr>
            </w:pPr>
          </w:p>
        </w:tc>
        <w:tc>
          <w:tcPr>
            <w:tcW w:w="1860" w:type="dxa"/>
            <w:vAlign w:val="bottom"/>
            <w:tcBorders>
              <w:bottom w:val="single" w:sz="8" w:color="auto"/>
            </w:tcBorders>
            <w:gridSpan w:val="3"/>
          </w:tcPr>
          <w:p>
            <w:pPr>
              <w:jc w:val="right"/>
              <w:ind w:right="60"/>
              <w:spacing w:after="0"/>
              <w:rPr>
                <w:sz w:val="20"/>
                <w:szCs w:val="20"/>
                <w:color w:val="auto"/>
              </w:rPr>
            </w:pPr>
            <w:r>
              <w:rPr>
                <w:rFonts w:ascii="Arial" w:cs="Arial" w:eastAsia="Arial" w:hAnsi="Arial"/>
                <w:sz w:val="18"/>
                <w:szCs w:val="18"/>
                <w:b w:val="1"/>
                <w:bCs w:val="1"/>
                <w:color w:val="auto"/>
              </w:rPr>
              <w:t>December 31,</w:t>
            </w:r>
          </w:p>
        </w:tc>
        <w:tc>
          <w:tcPr>
            <w:tcW w:w="1100" w:type="dxa"/>
            <w:vAlign w:val="bottom"/>
            <w:tcBorders>
              <w:bottom w:val="single" w:sz="8" w:color="auto"/>
            </w:tcBorders>
          </w:tcPr>
          <w:p>
            <w:pPr>
              <w:spacing w:after="0"/>
              <w:rPr>
                <w:sz w:val="20"/>
                <w:szCs w:val="20"/>
                <w:color w:val="auto"/>
              </w:rPr>
            </w:pPr>
          </w:p>
        </w:tc>
      </w:tr>
      <w:tr>
        <w:trPr>
          <w:trHeight w:val="209"/>
        </w:trPr>
        <w:tc>
          <w:tcPr>
            <w:tcW w:w="7360" w:type="dxa"/>
            <w:vAlign w:val="bottom"/>
          </w:tcPr>
          <w:p>
            <w:pPr>
              <w:spacing w:after="0"/>
              <w:rPr>
                <w:sz w:val="20"/>
                <w:szCs w:val="20"/>
                <w:color w:val="auto"/>
              </w:rPr>
            </w:pPr>
            <w:r>
              <w:rPr>
                <w:rFonts w:ascii="Arial" w:cs="Arial" w:eastAsia="Arial" w:hAnsi="Arial"/>
                <w:sz w:val="18"/>
                <w:szCs w:val="18"/>
                <w:color w:val="auto"/>
              </w:rPr>
              <w:t>(in thousands)</w:t>
            </w:r>
          </w:p>
        </w:tc>
        <w:tc>
          <w:tcPr>
            <w:tcW w:w="340" w:type="dxa"/>
            <w:vAlign w:val="bottom"/>
            <w:tcBorders>
              <w:bottom w:val="single" w:sz="8" w:color="auto"/>
            </w:tcBorders>
          </w:tcPr>
          <w:p>
            <w:pPr>
              <w:spacing w:after="0"/>
              <w:rPr>
                <w:sz w:val="18"/>
                <w:szCs w:val="18"/>
                <w:color w:val="auto"/>
              </w:rPr>
            </w:pPr>
          </w:p>
        </w:tc>
        <w:tc>
          <w:tcPr>
            <w:tcW w:w="1280" w:type="dxa"/>
            <w:vAlign w:val="bottom"/>
            <w:tcBorders>
              <w:bottom w:val="single" w:sz="8" w:color="auto"/>
            </w:tcBorders>
          </w:tcPr>
          <w:p>
            <w:pPr>
              <w:jc w:val="right"/>
              <w:ind w:right="590"/>
              <w:spacing w:after="0"/>
              <w:rPr>
                <w:sz w:val="20"/>
                <w:szCs w:val="20"/>
                <w:color w:val="auto"/>
              </w:rPr>
            </w:pPr>
            <w:r>
              <w:rPr>
                <w:rFonts w:ascii="Arial" w:cs="Arial" w:eastAsia="Arial" w:hAnsi="Arial"/>
                <w:sz w:val="18"/>
                <w:szCs w:val="18"/>
                <w:b w:val="1"/>
                <w:bCs w:val="1"/>
                <w:color w:val="auto"/>
              </w:rPr>
              <w:t>2021</w:t>
            </w:r>
          </w:p>
        </w:tc>
        <w:tc>
          <w:tcPr>
            <w:tcW w:w="100" w:type="dxa"/>
            <w:vAlign w:val="bottom"/>
          </w:tcPr>
          <w:p>
            <w:pPr>
              <w:spacing w:after="0"/>
              <w:rPr>
                <w:sz w:val="18"/>
                <w:szCs w:val="18"/>
                <w:color w:val="auto"/>
              </w:rPr>
            </w:pPr>
          </w:p>
        </w:tc>
        <w:tc>
          <w:tcPr>
            <w:tcW w:w="480" w:type="dxa"/>
            <w:vAlign w:val="bottom"/>
            <w:tcBorders>
              <w:bottom w:val="single" w:sz="8" w:color="auto"/>
            </w:tcBorders>
          </w:tcPr>
          <w:p>
            <w:pPr>
              <w:spacing w:after="0"/>
              <w:rPr>
                <w:sz w:val="18"/>
                <w:szCs w:val="18"/>
                <w:color w:val="auto"/>
              </w:rPr>
            </w:pPr>
          </w:p>
        </w:tc>
        <w:tc>
          <w:tcPr>
            <w:tcW w:w="1100" w:type="dxa"/>
            <w:vAlign w:val="bottom"/>
            <w:tcBorders>
              <w:bottom w:val="single" w:sz="8" w:color="auto"/>
            </w:tcBorders>
          </w:tcPr>
          <w:p>
            <w:pPr>
              <w:jc w:val="right"/>
              <w:ind w:right="570"/>
              <w:spacing w:after="0"/>
              <w:rPr>
                <w:sz w:val="20"/>
                <w:szCs w:val="20"/>
                <w:color w:val="auto"/>
              </w:rPr>
            </w:pPr>
            <w:r>
              <w:rPr>
                <w:rFonts w:ascii="Arial" w:cs="Arial" w:eastAsia="Arial" w:hAnsi="Arial"/>
                <w:sz w:val="18"/>
                <w:szCs w:val="18"/>
                <w:b w:val="1"/>
                <w:bCs w:val="1"/>
                <w:color w:val="auto"/>
              </w:rPr>
              <w:t>2020</w:t>
            </w:r>
          </w:p>
        </w:tc>
      </w:tr>
      <w:tr>
        <w:trPr>
          <w:trHeight w:val="210"/>
        </w:trPr>
        <w:tc>
          <w:tcPr>
            <w:tcW w:w="7360" w:type="dxa"/>
            <w:vAlign w:val="bottom"/>
            <w:shd w:val="clear" w:color="auto" w:fill="CCEEFF"/>
          </w:tcPr>
          <w:p>
            <w:pPr>
              <w:spacing w:after="0"/>
              <w:rPr>
                <w:sz w:val="20"/>
                <w:szCs w:val="20"/>
                <w:color w:val="auto"/>
              </w:rPr>
            </w:pPr>
            <w:r>
              <w:rPr>
                <w:rFonts w:ascii="Arial" w:cs="Arial" w:eastAsia="Arial" w:hAnsi="Arial"/>
                <w:sz w:val="18"/>
                <w:szCs w:val="18"/>
                <w:color w:val="auto"/>
              </w:rPr>
              <w:t>Change in fair value of plan assets:</w:t>
            </w:r>
          </w:p>
        </w:tc>
        <w:tc>
          <w:tcPr>
            <w:tcW w:w="340" w:type="dxa"/>
            <w:vAlign w:val="bottom"/>
            <w:shd w:val="clear" w:color="auto" w:fill="CCEEFF"/>
          </w:tcPr>
          <w:p>
            <w:pPr>
              <w:spacing w:after="0"/>
              <w:rPr>
                <w:sz w:val="18"/>
                <w:szCs w:val="18"/>
                <w:color w:val="auto"/>
              </w:rPr>
            </w:pPr>
          </w:p>
        </w:tc>
        <w:tc>
          <w:tcPr>
            <w:tcW w:w="12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r>
      <w:tr>
        <w:trPr>
          <w:trHeight w:val="216"/>
        </w:trPr>
        <w:tc>
          <w:tcPr>
            <w:tcW w:w="7360" w:type="dxa"/>
            <w:vAlign w:val="bottom"/>
          </w:tcPr>
          <w:p>
            <w:pPr>
              <w:ind w:left="160"/>
              <w:spacing w:after="0"/>
              <w:rPr>
                <w:sz w:val="20"/>
                <w:szCs w:val="20"/>
                <w:color w:val="auto"/>
              </w:rPr>
            </w:pPr>
            <w:r>
              <w:rPr>
                <w:rFonts w:ascii="Arial" w:cs="Arial" w:eastAsia="Arial" w:hAnsi="Arial"/>
                <w:sz w:val="18"/>
                <w:szCs w:val="18"/>
                <w:color w:val="auto"/>
              </w:rPr>
              <w:t>Balance at beginning of year</w:t>
            </w:r>
          </w:p>
        </w:tc>
        <w:tc>
          <w:tcPr>
            <w:tcW w:w="340" w:type="dxa"/>
            <w:vAlign w:val="bottom"/>
          </w:tcPr>
          <w:p>
            <w:pPr>
              <w:jc w:val="right"/>
              <w:ind w:right="150"/>
              <w:spacing w:after="0"/>
              <w:rPr>
                <w:sz w:val="20"/>
                <w:szCs w:val="20"/>
                <w:color w:val="auto"/>
              </w:rPr>
            </w:pPr>
            <w:r>
              <w:rPr>
                <w:rFonts w:ascii="Arial" w:cs="Arial" w:eastAsia="Arial" w:hAnsi="Arial"/>
                <w:sz w:val="18"/>
                <w:szCs w:val="18"/>
                <w:color w:val="auto"/>
                <w:w w:val="79"/>
              </w:rPr>
              <w:t>$</w:t>
            </w:r>
          </w:p>
        </w:tc>
        <w:tc>
          <w:tcPr>
            <w:tcW w:w="1280" w:type="dxa"/>
            <w:vAlign w:val="bottom"/>
          </w:tcPr>
          <w:p>
            <w:pPr>
              <w:jc w:val="right"/>
              <w:ind w:right="30"/>
              <w:spacing w:after="0"/>
              <w:rPr>
                <w:sz w:val="20"/>
                <w:szCs w:val="20"/>
                <w:color w:val="auto"/>
              </w:rPr>
            </w:pPr>
            <w:r>
              <w:rPr>
                <w:rFonts w:ascii="Arial" w:cs="Arial" w:eastAsia="Arial" w:hAnsi="Arial"/>
                <w:sz w:val="18"/>
                <w:szCs w:val="18"/>
                <w:color w:val="auto"/>
              </w:rPr>
              <w:t>23,926</w:t>
            </w:r>
          </w:p>
        </w:tc>
        <w:tc>
          <w:tcPr>
            <w:tcW w:w="580" w:type="dxa"/>
            <w:vAlign w:val="bottom"/>
            <w:gridSpan w:val="2"/>
          </w:tcPr>
          <w:p>
            <w:pPr>
              <w:jc w:val="right"/>
              <w:ind w:right="380"/>
              <w:spacing w:after="0"/>
              <w:rPr>
                <w:sz w:val="20"/>
                <w:szCs w:val="20"/>
                <w:color w:val="auto"/>
              </w:rPr>
            </w:pPr>
            <w:r>
              <w:rPr>
                <w:rFonts w:ascii="Arial" w:cs="Arial" w:eastAsia="Arial" w:hAnsi="Arial"/>
                <w:sz w:val="18"/>
                <w:szCs w:val="18"/>
                <w:color w:val="auto"/>
              </w:rPr>
              <w:t>$</w:t>
            </w:r>
          </w:p>
        </w:tc>
        <w:tc>
          <w:tcPr>
            <w:tcW w:w="1100" w:type="dxa"/>
            <w:vAlign w:val="bottom"/>
          </w:tcPr>
          <w:p>
            <w:pPr>
              <w:jc w:val="right"/>
              <w:ind w:right="10"/>
              <w:spacing w:after="0"/>
              <w:rPr>
                <w:sz w:val="20"/>
                <w:szCs w:val="20"/>
                <w:color w:val="auto"/>
              </w:rPr>
            </w:pPr>
            <w:r>
              <w:rPr>
                <w:rFonts w:ascii="Arial" w:cs="Arial" w:eastAsia="Arial" w:hAnsi="Arial"/>
                <w:sz w:val="18"/>
                <w:szCs w:val="18"/>
                <w:color w:val="auto"/>
              </w:rPr>
              <w:t>21,114</w:t>
            </w:r>
          </w:p>
        </w:tc>
      </w:tr>
      <w:tr>
        <w:trPr>
          <w:trHeight w:val="216"/>
        </w:trPr>
        <w:tc>
          <w:tcPr>
            <w:tcW w:w="7360" w:type="dxa"/>
            <w:vAlign w:val="bottom"/>
            <w:shd w:val="clear" w:color="auto" w:fill="CCEEFF"/>
          </w:tcPr>
          <w:p>
            <w:pPr>
              <w:ind w:left="160"/>
              <w:spacing w:after="0"/>
              <w:rPr>
                <w:sz w:val="20"/>
                <w:szCs w:val="20"/>
                <w:color w:val="auto"/>
              </w:rPr>
            </w:pPr>
            <w:r>
              <w:rPr>
                <w:rFonts w:ascii="Arial" w:cs="Arial" w:eastAsia="Arial" w:hAnsi="Arial"/>
                <w:sz w:val="18"/>
                <w:szCs w:val="18"/>
                <w:color w:val="auto"/>
              </w:rPr>
              <w:t>Actual return on plan assets</w:t>
            </w:r>
          </w:p>
        </w:tc>
        <w:tc>
          <w:tcPr>
            <w:tcW w:w="340" w:type="dxa"/>
            <w:vAlign w:val="bottom"/>
            <w:shd w:val="clear" w:color="auto" w:fill="CCEEFF"/>
          </w:tcPr>
          <w:p>
            <w:pPr>
              <w:spacing w:after="0"/>
              <w:rPr>
                <w:sz w:val="18"/>
                <w:szCs w:val="18"/>
                <w:color w:val="auto"/>
              </w:rPr>
            </w:pPr>
          </w:p>
        </w:tc>
        <w:tc>
          <w:tcPr>
            <w:tcW w:w="128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3,354</w:t>
            </w:r>
          </w:p>
        </w:tc>
        <w:tc>
          <w:tcPr>
            <w:tcW w:w="10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110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1,690</w:t>
            </w:r>
          </w:p>
        </w:tc>
      </w:tr>
      <w:tr>
        <w:trPr>
          <w:trHeight w:val="216"/>
        </w:trPr>
        <w:tc>
          <w:tcPr>
            <w:tcW w:w="7360" w:type="dxa"/>
            <w:vAlign w:val="bottom"/>
          </w:tcPr>
          <w:p>
            <w:pPr>
              <w:ind w:left="160"/>
              <w:spacing w:after="0"/>
              <w:rPr>
                <w:sz w:val="20"/>
                <w:szCs w:val="20"/>
                <w:color w:val="auto"/>
              </w:rPr>
            </w:pPr>
            <w:r>
              <w:rPr>
                <w:rFonts w:ascii="Arial" w:cs="Arial" w:eastAsia="Arial" w:hAnsi="Arial"/>
                <w:sz w:val="18"/>
                <w:szCs w:val="18"/>
                <w:color w:val="auto"/>
              </w:rPr>
              <w:t>Employer contributions</w:t>
            </w:r>
          </w:p>
        </w:tc>
        <w:tc>
          <w:tcPr>
            <w:tcW w:w="340" w:type="dxa"/>
            <w:vAlign w:val="bottom"/>
          </w:tcPr>
          <w:p>
            <w:pPr>
              <w:spacing w:after="0"/>
              <w:rPr>
                <w:sz w:val="18"/>
                <w:szCs w:val="18"/>
                <w:color w:val="auto"/>
              </w:rPr>
            </w:pPr>
          </w:p>
        </w:tc>
        <w:tc>
          <w:tcPr>
            <w:tcW w:w="1280" w:type="dxa"/>
            <w:vAlign w:val="bottom"/>
          </w:tcPr>
          <w:p>
            <w:pPr>
              <w:jc w:val="right"/>
              <w:ind w:right="30"/>
              <w:spacing w:after="0"/>
              <w:rPr>
                <w:sz w:val="20"/>
                <w:szCs w:val="20"/>
                <w:color w:val="auto"/>
              </w:rPr>
            </w:pPr>
            <w:r>
              <w:rPr>
                <w:rFonts w:ascii="Arial" w:cs="Arial" w:eastAsia="Arial" w:hAnsi="Arial"/>
                <w:sz w:val="18"/>
                <w:szCs w:val="18"/>
                <w:color w:val="auto"/>
              </w:rPr>
              <w:t>1,042</w:t>
            </w:r>
          </w:p>
        </w:tc>
        <w:tc>
          <w:tcPr>
            <w:tcW w:w="10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1100" w:type="dxa"/>
            <w:vAlign w:val="bottom"/>
          </w:tcPr>
          <w:p>
            <w:pPr>
              <w:jc w:val="right"/>
              <w:ind w:right="10"/>
              <w:spacing w:after="0"/>
              <w:rPr>
                <w:sz w:val="20"/>
                <w:szCs w:val="20"/>
                <w:color w:val="auto"/>
              </w:rPr>
            </w:pPr>
            <w:r>
              <w:rPr>
                <w:rFonts w:ascii="Arial" w:cs="Arial" w:eastAsia="Arial" w:hAnsi="Arial"/>
                <w:sz w:val="18"/>
                <w:szCs w:val="18"/>
                <w:color w:val="auto"/>
              </w:rPr>
              <w:t>901</w:t>
            </w:r>
          </w:p>
        </w:tc>
      </w:tr>
      <w:tr>
        <w:trPr>
          <w:trHeight w:val="216"/>
        </w:trPr>
        <w:tc>
          <w:tcPr>
            <w:tcW w:w="7360" w:type="dxa"/>
            <w:vAlign w:val="bottom"/>
            <w:shd w:val="clear" w:color="auto" w:fill="CCEEFF"/>
          </w:tcPr>
          <w:p>
            <w:pPr>
              <w:ind w:left="160"/>
              <w:spacing w:after="0"/>
              <w:rPr>
                <w:sz w:val="20"/>
                <w:szCs w:val="20"/>
                <w:color w:val="auto"/>
              </w:rPr>
            </w:pPr>
            <w:r>
              <w:rPr>
                <w:rFonts w:ascii="Arial" w:cs="Arial" w:eastAsia="Arial" w:hAnsi="Arial"/>
                <w:sz w:val="18"/>
                <w:szCs w:val="18"/>
                <w:color w:val="auto"/>
              </w:rPr>
              <w:t>Settlement due to transfers paid</w:t>
            </w:r>
          </w:p>
        </w:tc>
        <w:tc>
          <w:tcPr>
            <w:tcW w:w="340" w:type="dxa"/>
            <w:vAlign w:val="bottom"/>
            <w:shd w:val="clear" w:color="auto" w:fill="CCEEFF"/>
          </w:tcPr>
          <w:p>
            <w:pPr>
              <w:spacing w:after="0"/>
              <w:rPr>
                <w:sz w:val="18"/>
                <w:szCs w:val="18"/>
                <w:color w:val="auto"/>
              </w:rPr>
            </w:pPr>
          </w:p>
        </w:tc>
        <w:tc>
          <w:tcPr>
            <w:tcW w:w="12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(270)</w:t>
            </w:r>
          </w:p>
        </w:tc>
        <w:tc>
          <w:tcPr>
            <w:tcW w:w="10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(159)</w:t>
            </w:r>
          </w:p>
        </w:tc>
      </w:tr>
      <w:tr>
        <w:trPr>
          <w:trHeight w:val="216"/>
        </w:trPr>
        <w:tc>
          <w:tcPr>
            <w:tcW w:w="7360" w:type="dxa"/>
            <w:vAlign w:val="bottom"/>
          </w:tcPr>
          <w:p>
            <w:pPr>
              <w:ind w:left="160"/>
              <w:spacing w:after="0"/>
              <w:rPr>
                <w:sz w:val="20"/>
                <w:szCs w:val="20"/>
                <w:color w:val="auto"/>
              </w:rPr>
            </w:pPr>
            <w:r>
              <w:rPr>
                <w:rFonts w:ascii="Arial" w:cs="Arial" w:eastAsia="Arial" w:hAnsi="Arial"/>
                <w:sz w:val="18"/>
                <w:szCs w:val="18"/>
                <w:color w:val="auto"/>
              </w:rPr>
              <w:t>Benefits paid</w:t>
            </w:r>
          </w:p>
        </w:tc>
        <w:tc>
          <w:tcPr>
            <w:tcW w:w="340" w:type="dxa"/>
            <w:vAlign w:val="bottom"/>
          </w:tcPr>
          <w:p>
            <w:pPr>
              <w:spacing w:after="0"/>
              <w:rPr>
                <w:sz w:val="18"/>
                <w:szCs w:val="18"/>
                <w:color w:val="auto"/>
              </w:rPr>
            </w:pPr>
          </w:p>
        </w:tc>
        <w:tc>
          <w:tcPr>
            <w:tcW w:w="1280" w:type="dxa"/>
            <w:vAlign w:val="bottom"/>
          </w:tcPr>
          <w:p>
            <w:pPr>
              <w:jc w:val="right"/>
              <w:spacing w:after="0"/>
              <w:rPr>
                <w:sz w:val="20"/>
                <w:szCs w:val="20"/>
                <w:color w:val="auto"/>
              </w:rPr>
            </w:pPr>
            <w:r>
              <w:rPr>
                <w:rFonts w:ascii="Arial" w:cs="Arial" w:eastAsia="Arial" w:hAnsi="Arial"/>
                <w:sz w:val="18"/>
                <w:szCs w:val="18"/>
                <w:color w:val="auto"/>
              </w:rPr>
              <w:t>(498)</w:t>
            </w:r>
          </w:p>
        </w:tc>
        <w:tc>
          <w:tcPr>
            <w:tcW w:w="10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(476)</w:t>
            </w:r>
          </w:p>
        </w:tc>
      </w:tr>
      <w:tr>
        <w:trPr>
          <w:trHeight w:val="216"/>
        </w:trPr>
        <w:tc>
          <w:tcPr>
            <w:tcW w:w="7360" w:type="dxa"/>
            <w:vAlign w:val="bottom"/>
            <w:tcBorders>
              <w:bottom w:val="single" w:sz="8" w:color="CCEEFF"/>
            </w:tcBorders>
            <w:shd w:val="clear" w:color="auto" w:fill="CCEEFF"/>
          </w:tcPr>
          <w:p>
            <w:pPr>
              <w:ind w:left="160"/>
              <w:spacing w:after="0"/>
              <w:rPr>
                <w:sz w:val="20"/>
                <w:szCs w:val="20"/>
                <w:color w:val="auto"/>
              </w:rPr>
            </w:pPr>
            <w:r>
              <w:rPr>
                <w:rFonts w:ascii="Arial" w:cs="Arial" w:eastAsia="Arial" w:hAnsi="Arial"/>
                <w:sz w:val="18"/>
                <w:szCs w:val="18"/>
                <w:color w:val="auto"/>
              </w:rPr>
              <w:t>Currency translation adjustment</w:t>
            </w:r>
          </w:p>
        </w:tc>
        <w:tc>
          <w:tcPr>
            <w:tcW w:w="340" w:type="dxa"/>
            <w:vAlign w:val="bottom"/>
            <w:tcBorders>
              <w:bottom w:val="single" w:sz="8" w:color="auto"/>
            </w:tcBorders>
            <w:shd w:val="clear" w:color="auto" w:fill="CCEEFF"/>
          </w:tcPr>
          <w:p>
            <w:pPr>
              <w:spacing w:after="0"/>
              <w:rPr>
                <w:sz w:val="18"/>
                <w:szCs w:val="18"/>
                <w:color w:val="auto"/>
              </w:rPr>
            </w:pPr>
          </w:p>
        </w:tc>
        <w:tc>
          <w:tcPr>
            <w:tcW w:w="12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(302)</w:t>
            </w:r>
          </w:p>
        </w:tc>
        <w:tc>
          <w:tcPr>
            <w:tcW w:w="100" w:type="dxa"/>
            <w:vAlign w:val="bottom"/>
            <w:tcBorders>
              <w:bottom w:val="single" w:sz="8" w:color="CCEEFF"/>
            </w:tcBorders>
            <w:shd w:val="clear" w:color="auto" w:fill="CCEEFF"/>
          </w:tcPr>
          <w:p>
            <w:pPr>
              <w:spacing w:after="0"/>
              <w:rPr>
                <w:sz w:val="18"/>
                <w:szCs w:val="18"/>
                <w:color w:val="auto"/>
              </w:rPr>
            </w:pPr>
          </w:p>
        </w:tc>
        <w:tc>
          <w:tcPr>
            <w:tcW w:w="480" w:type="dxa"/>
            <w:vAlign w:val="bottom"/>
            <w:tcBorders>
              <w:bottom w:val="single" w:sz="8" w:color="auto"/>
            </w:tcBorders>
            <w:shd w:val="clear" w:color="auto" w:fill="CCEEFF"/>
          </w:tcPr>
          <w:p>
            <w:pPr>
              <w:spacing w:after="0"/>
              <w:rPr>
                <w:sz w:val="18"/>
                <w:szCs w:val="18"/>
                <w:color w:val="auto"/>
              </w:rPr>
            </w:pPr>
          </w:p>
        </w:tc>
        <w:tc>
          <w:tcPr>
            <w:tcW w:w="110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856</w:t>
            </w:r>
          </w:p>
        </w:tc>
      </w:tr>
      <w:tr>
        <w:trPr>
          <w:trHeight w:val="210"/>
        </w:trPr>
        <w:tc>
          <w:tcPr>
            <w:tcW w:w="7360" w:type="dxa"/>
            <w:vAlign w:val="bottom"/>
          </w:tcPr>
          <w:p>
            <w:pPr>
              <w:ind w:left="160"/>
              <w:spacing w:after="0"/>
              <w:rPr>
                <w:sz w:val="20"/>
                <w:szCs w:val="20"/>
                <w:color w:val="auto"/>
              </w:rPr>
            </w:pPr>
            <w:r>
              <w:rPr>
                <w:rFonts w:ascii="Arial" w:cs="Arial" w:eastAsia="Arial" w:hAnsi="Arial"/>
                <w:sz w:val="18"/>
                <w:szCs w:val="18"/>
                <w:color w:val="auto"/>
              </w:rPr>
              <w:t>Balance at end of year</w:t>
            </w:r>
          </w:p>
        </w:tc>
        <w:tc>
          <w:tcPr>
            <w:tcW w:w="340" w:type="dxa"/>
            <w:vAlign w:val="bottom"/>
          </w:tcPr>
          <w:p>
            <w:pPr>
              <w:jc w:val="right"/>
              <w:ind w:right="150"/>
              <w:spacing w:after="0"/>
              <w:rPr>
                <w:sz w:val="20"/>
                <w:szCs w:val="20"/>
                <w:color w:val="auto"/>
              </w:rPr>
            </w:pPr>
            <w:r>
              <w:rPr>
                <w:rFonts w:ascii="Arial" w:cs="Arial" w:eastAsia="Arial" w:hAnsi="Arial"/>
                <w:sz w:val="18"/>
                <w:szCs w:val="18"/>
                <w:color w:val="auto"/>
                <w:w w:val="79"/>
              </w:rPr>
              <w:t>$</w:t>
            </w:r>
          </w:p>
        </w:tc>
        <w:tc>
          <w:tcPr>
            <w:tcW w:w="1280" w:type="dxa"/>
            <w:vAlign w:val="bottom"/>
          </w:tcPr>
          <w:p>
            <w:pPr>
              <w:jc w:val="right"/>
              <w:ind w:right="30"/>
              <w:spacing w:after="0"/>
              <w:rPr>
                <w:sz w:val="20"/>
                <w:szCs w:val="20"/>
                <w:color w:val="auto"/>
              </w:rPr>
            </w:pPr>
            <w:r>
              <w:rPr>
                <w:rFonts w:ascii="Arial" w:cs="Arial" w:eastAsia="Arial" w:hAnsi="Arial"/>
                <w:sz w:val="18"/>
                <w:szCs w:val="18"/>
                <w:color w:val="auto"/>
              </w:rPr>
              <w:t>27,252</w:t>
            </w:r>
          </w:p>
        </w:tc>
        <w:tc>
          <w:tcPr>
            <w:tcW w:w="580" w:type="dxa"/>
            <w:vAlign w:val="bottom"/>
            <w:gridSpan w:val="2"/>
          </w:tcPr>
          <w:p>
            <w:pPr>
              <w:jc w:val="right"/>
              <w:ind w:right="380"/>
              <w:spacing w:after="0"/>
              <w:rPr>
                <w:sz w:val="20"/>
                <w:szCs w:val="20"/>
                <w:color w:val="auto"/>
              </w:rPr>
            </w:pPr>
            <w:r>
              <w:rPr>
                <w:rFonts w:ascii="Arial" w:cs="Arial" w:eastAsia="Arial" w:hAnsi="Arial"/>
                <w:sz w:val="18"/>
                <w:szCs w:val="18"/>
                <w:color w:val="auto"/>
              </w:rPr>
              <w:t>$</w:t>
            </w:r>
          </w:p>
        </w:tc>
        <w:tc>
          <w:tcPr>
            <w:tcW w:w="1100" w:type="dxa"/>
            <w:vAlign w:val="bottom"/>
          </w:tcPr>
          <w:p>
            <w:pPr>
              <w:jc w:val="right"/>
              <w:ind w:right="10"/>
              <w:spacing w:after="0"/>
              <w:rPr>
                <w:sz w:val="20"/>
                <w:szCs w:val="20"/>
                <w:color w:val="auto"/>
              </w:rPr>
            </w:pPr>
            <w:r>
              <w:rPr>
                <w:rFonts w:ascii="Arial" w:cs="Arial" w:eastAsia="Arial" w:hAnsi="Arial"/>
                <w:sz w:val="18"/>
                <w:szCs w:val="18"/>
                <w:color w:val="auto"/>
              </w:rPr>
              <w:t>23,926</w:t>
            </w:r>
          </w:p>
        </w:tc>
      </w:tr>
      <w:tr>
        <w:trPr>
          <w:trHeight w:val="20"/>
        </w:trPr>
        <w:tc>
          <w:tcPr>
            <w:tcW w:w="7360" w:type="dxa"/>
            <w:vAlign w:val="bottom"/>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12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r>
    </w:tbl>
    <w:p>
      <w:pPr>
        <w:spacing w:after="0" w:line="198"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660" w:type="dxa"/>
            <w:vAlign w:val="bottom"/>
          </w:tcPr>
          <w:p>
            <w:pPr>
              <w:spacing w:after="0"/>
              <w:rPr>
                <w:sz w:val="20"/>
                <w:szCs w:val="20"/>
                <w:color w:val="auto"/>
              </w:rPr>
            </w:pPr>
          </w:p>
        </w:tc>
        <w:tc>
          <w:tcPr>
            <w:tcW w:w="7360" w:type="dxa"/>
            <w:vAlign w:val="bottom"/>
          </w:tcPr>
          <w:p>
            <w:pPr>
              <w:spacing w:after="0"/>
              <w:rPr>
                <w:sz w:val="20"/>
                <w:szCs w:val="20"/>
                <w:color w:val="auto"/>
              </w:rPr>
            </w:pPr>
          </w:p>
        </w:tc>
        <w:tc>
          <w:tcPr>
            <w:tcW w:w="340" w:type="dxa"/>
            <w:vAlign w:val="bottom"/>
            <w:tcBorders>
              <w:bottom w:val="single" w:sz="8" w:color="auto"/>
            </w:tcBorders>
          </w:tcPr>
          <w:p>
            <w:pPr>
              <w:spacing w:after="0"/>
              <w:rPr>
                <w:sz w:val="20"/>
                <w:szCs w:val="20"/>
                <w:color w:val="auto"/>
              </w:rPr>
            </w:pPr>
          </w:p>
        </w:tc>
        <w:tc>
          <w:tcPr>
            <w:tcW w:w="1860" w:type="dxa"/>
            <w:vAlign w:val="bottom"/>
            <w:tcBorders>
              <w:bottom w:val="single" w:sz="8" w:color="auto"/>
            </w:tcBorders>
            <w:gridSpan w:val="3"/>
          </w:tcPr>
          <w:p>
            <w:pPr>
              <w:jc w:val="right"/>
              <w:ind w:right="60"/>
              <w:spacing w:after="0"/>
              <w:rPr>
                <w:sz w:val="20"/>
                <w:szCs w:val="20"/>
                <w:color w:val="auto"/>
              </w:rPr>
            </w:pPr>
            <w:r>
              <w:rPr>
                <w:rFonts w:ascii="Arial" w:cs="Arial" w:eastAsia="Arial" w:hAnsi="Arial"/>
                <w:sz w:val="18"/>
                <w:szCs w:val="18"/>
                <w:b w:val="1"/>
                <w:bCs w:val="1"/>
                <w:color w:val="auto"/>
              </w:rPr>
              <w:t>December 31,</w:t>
            </w:r>
          </w:p>
        </w:tc>
        <w:tc>
          <w:tcPr>
            <w:tcW w:w="1020" w:type="dxa"/>
            <w:vAlign w:val="bottom"/>
            <w:tcBorders>
              <w:bottom w:val="single" w:sz="8" w:color="auto"/>
            </w:tcBorders>
          </w:tcPr>
          <w:p>
            <w:pPr>
              <w:spacing w:after="0"/>
              <w:rPr>
                <w:sz w:val="20"/>
                <w:szCs w:val="20"/>
                <w:color w:val="auto"/>
              </w:rPr>
            </w:pPr>
          </w:p>
        </w:tc>
        <w:tc>
          <w:tcPr>
            <w:tcW w:w="80" w:type="dxa"/>
            <w:vAlign w:val="bottom"/>
            <w:tcBorders>
              <w:bottom w:val="single" w:sz="8" w:color="auto"/>
            </w:tcBorders>
          </w:tcPr>
          <w:p>
            <w:pPr>
              <w:spacing w:after="0"/>
              <w:rPr>
                <w:sz w:val="20"/>
                <w:szCs w:val="20"/>
                <w:color w:val="auto"/>
              </w:rPr>
            </w:pPr>
          </w:p>
        </w:tc>
      </w:tr>
      <w:tr>
        <w:trPr>
          <w:trHeight w:val="210"/>
        </w:trPr>
        <w:tc>
          <w:tcPr>
            <w:tcW w:w="660" w:type="dxa"/>
            <w:vAlign w:val="bottom"/>
          </w:tcPr>
          <w:p>
            <w:pPr>
              <w:spacing w:after="0"/>
              <w:rPr>
                <w:sz w:val="18"/>
                <w:szCs w:val="18"/>
                <w:color w:val="auto"/>
              </w:rPr>
            </w:pPr>
          </w:p>
        </w:tc>
        <w:tc>
          <w:tcPr>
            <w:tcW w:w="7360" w:type="dxa"/>
            <w:vAlign w:val="bottom"/>
          </w:tcPr>
          <w:p>
            <w:pPr>
              <w:spacing w:after="0"/>
              <w:rPr>
                <w:sz w:val="20"/>
                <w:szCs w:val="20"/>
                <w:color w:val="auto"/>
              </w:rPr>
            </w:pPr>
            <w:r>
              <w:rPr>
                <w:rFonts w:ascii="Arial" w:cs="Arial" w:eastAsia="Arial" w:hAnsi="Arial"/>
                <w:sz w:val="18"/>
                <w:szCs w:val="18"/>
                <w:color w:val="auto"/>
              </w:rPr>
              <w:t>(in thousands)</w:t>
            </w:r>
          </w:p>
        </w:tc>
        <w:tc>
          <w:tcPr>
            <w:tcW w:w="340" w:type="dxa"/>
            <w:vAlign w:val="bottom"/>
            <w:tcBorders>
              <w:bottom w:val="single" w:sz="8" w:color="auto"/>
            </w:tcBorders>
          </w:tcPr>
          <w:p>
            <w:pPr>
              <w:spacing w:after="0"/>
              <w:rPr>
                <w:sz w:val="18"/>
                <w:szCs w:val="18"/>
                <w:color w:val="auto"/>
              </w:rPr>
            </w:pPr>
          </w:p>
        </w:tc>
        <w:tc>
          <w:tcPr>
            <w:tcW w:w="1280" w:type="dxa"/>
            <w:vAlign w:val="bottom"/>
            <w:tcBorders>
              <w:bottom w:val="single" w:sz="8" w:color="auto"/>
            </w:tcBorders>
          </w:tcPr>
          <w:p>
            <w:pPr>
              <w:jc w:val="right"/>
              <w:ind w:right="590"/>
              <w:spacing w:after="0"/>
              <w:rPr>
                <w:sz w:val="20"/>
                <w:szCs w:val="20"/>
                <w:color w:val="auto"/>
              </w:rPr>
            </w:pPr>
            <w:r>
              <w:rPr>
                <w:rFonts w:ascii="Arial" w:cs="Arial" w:eastAsia="Arial" w:hAnsi="Arial"/>
                <w:sz w:val="18"/>
                <w:szCs w:val="18"/>
                <w:b w:val="1"/>
                <w:bCs w:val="1"/>
                <w:color w:val="auto"/>
              </w:rPr>
              <w:t>2021</w:t>
            </w:r>
          </w:p>
        </w:tc>
        <w:tc>
          <w:tcPr>
            <w:tcW w:w="100" w:type="dxa"/>
            <w:vAlign w:val="bottom"/>
          </w:tcPr>
          <w:p>
            <w:pPr>
              <w:spacing w:after="0"/>
              <w:rPr>
                <w:sz w:val="18"/>
                <w:szCs w:val="18"/>
                <w:color w:val="auto"/>
              </w:rPr>
            </w:pPr>
          </w:p>
        </w:tc>
        <w:tc>
          <w:tcPr>
            <w:tcW w:w="480" w:type="dxa"/>
            <w:vAlign w:val="bottom"/>
            <w:tcBorders>
              <w:bottom w:val="single" w:sz="8" w:color="auto"/>
            </w:tcBorders>
          </w:tcPr>
          <w:p>
            <w:pPr>
              <w:spacing w:after="0"/>
              <w:rPr>
                <w:sz w:val="18"/>
                <w:szCs w:val="18"/>
                <w:color w:val="auto"/>
              </w:rPr>
            </w:pPr>
          </w:p>
        </w:tc>
        <w:tc>
          <w:tcPr>
            <w:tcW w:w="1020" w:type="dxa"/>
            <w:vAlign w:val="bottom"/>
            <w:tcBorders>
              <w:bottom w:val="single" w:sz="8" w:color="auto"/>
            </w:tcBorders>
          </w:tcPr>
          <w:p>
            <w:pPr>
              <w:jc w:val="right"/>
              <w:ind w:right="490"/>
              <w:spacing w:after="0"/>
              <w:rPr>
                <w:sz w:val="20"/>
                <w:szCs w:val="20"/>
                <w:color w:val="auto"/>
              </w:rPr>
            </w:pPr>
            <w:r>
              <w:rPr>
                <w:rFonts w:ascii="Arial" w:cs="Arial" w:eastAsia="Arial" w:hAnsi="Arial"/>
                <w:sz w:val="18"/>
                <w:szCs w:val="18"/>
                <w:b w:val="1"/>
                <w:bCs w:val="1"/>
                <w:color w:val="auto"/>
              </w:rPr>
              <w:t>2020</w:t>
            </w:r>
          </w:p>
        </w:tc>
        <w:tc>
          <w:tcPr>
            <w:tcW w:w="80" w:type="dxa"/>
            <w:vAlign w:val="bottom"/>
            <w:tcBorders>
              <w:bottom w:val="single" w:sz="8" w:color="auto"/>
            </w:tcBorders>
          </w:tcPr>
          <w:p>
            <w:pPr>
              <w:spacing w:after="0"/>
              <w:rPr>
                <w:sz w:val="18"/>
                <w:szCs w:val="18"/>
                <w:color w:val="auto"/>
              </w:rPr>
            </w:pPr>
          </w:p>
        </w:tc>
      </w:tr>
      <w:tr>
        <w:trPr>
          <w:trHeight w:val="209"/>
        </w:trPr>
        <w:tc>
          <w:tcPr>
            <w:tcW w:w="660" w:type="dxa"/>
            <w:vAlign w:val="bottom"/>
          </w:tcPr>
          <w:p>
            <w:pPr>
              <w:spacing w:after="0"/>
              <w:rPr>
                <w:sz w:val="18"/>
                <w:szCs w:val="18"/>
                <w:color w:val="auto"/>
              </w:rPr>
            </w:pPr>
          </w:p>
        </w:tc>
        <w:tc>
          <w:tcPr>
            <w:tcW w:w="7360" w:type="dxa"/>
            <w:vAlign w:val="bottom"/>
            <w:shd w:val="clear" w:color="auto" w:fill="CCEEFF"/>
          </w:tcPr>
          <w:p>
            <w:pPr>
              <w:spacing w:after="0"/>
              <w:rPr>
                <w:sz w:val="20"/>
                <w:szCs w:val="20"/>
                <w:color w:val="auto"/>
              </w:rPr>
            </w:pPr>
            <w:r>
              <w:rPr>
                <w:rFonts w:ascii="Arial" w:cs="Arial" w:eastAsia="Arial" w:hAnsi="Arial"/>
                <w:sz w:val="18"/>
                <w:szCs w:val="18"/>
                <w:color w:val="auto"/>
              </w:rPr>
              <w:t>Benefit obligation</w:t>
            </w:r>
          </w:p>
        </w:tc>
        <w:tc>
          <w:tcPr>
            <w:tcW w:w="340" w:type="dxa"/>
            <w:vAlign w:val="bottom"/>
            <w:shd w:val="clear" w:color="auto" w:fill="CCEEFF"/>
          </w:tcPr>
          <w:p>
            <w:pPr>
              <w:jc w:val="right"/>
              <w:ind w:right="150"/>
              <w:spacing w:after="0"/>
              <w:rPr>
                <w:sz w:val="20"/>
                <w:szCs w:val="20"/>
                <w:color w:val="auto"/>
              </w:rPr>
            </w:pPr>
            <w:r>
              <w:rPr>
                <w:rFonts w:ascii="Arial" w:cs="Arial" w:eastAsia="Arial" w:hAnsi="Arial"/>
                <w:sz w:val="18"/>
                <w:szCs w:val="18"/>
                <w:color w:val="auto"/>
                <w:w w:val="79"/>
              </w:rPr>
              <w:t>$</w:t>
            </w:r>
          </w:p>
        </w:tc>
        <w:tc>
          <w:tcPr>
            <w:tcW w:w="128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22,562</w:t>
            </w:r>
          </w:p>
        </w:tc>
        <w:tc>
          <w:tcPr>
            <w:tcW w:w="58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w:t>
            </w: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25,519</w:t>
            </w:r>
          </w:p>
        </w:tc>
        <w:tc>
          <w:tcPr>
            <w:tcW w:w="80" w:type="dxa"/>
            <w:vAlign w:val="bottom"/>
            <w:shd w:val="clear" w:color="auto" w:fill="CCEEFF"/>
          </w:tcPr>
          <w:p>
            <w:pPr>
              <w:spacing w:after="0"/>
              <w:rPr>
                <w:sz w:val="18"/>
                <w:szCs w:val="18"/>
                <w:color w:val="auto"/>
              </w:rPr>
            </w:pPr>
          </w:p>
        </w:tc>
      </w:tr>
      <w:tr>
        <w:trPr>
          <w:trHeight w:val="216"/>
        </w:trPr>
        <w:tc>
          <w:tcPr>
            <w:tcW w:w="660" w:type="dxa"/>
            <w:vAlign w:val="bottom"/>
          </w:tcPr>
          <w:p>
            <w:pPr>
              <w:spacing w:after="0"/>
              <w:rPr>
                <w:sz w:val="18"/>
                <w:szCs w:val="18"/>
                <w:color w:val="auto"/>
              </w:rPr>
            </w:pPr>
          </w:p>
        </w:tc>
        <w:tc>
          <w:tcPr>
            <w:tcW w:w="7360" w:type="dxa"/>
            <w:vAlign w:val="bottom"/>
          </w:tcPr>
          <w:p>
            <w:pPr>
              <w:spacing w:after="0"/>
              <w:rPr>
                <w:sz w:val="20"/>
                <w:szCs w:val="20"/>
                <w:color w:val="auto"/>
              </w:rPr>
            </w:pPr>
            <w:r>
              <w:rPr>
                <w:rFonts w:ascii="Arial" w:cs="Arial" w:eastAsia="Arial" w:hAnsi="Arial"/>
                <w:sz w:val="18"/>
                <w:szCs w:val="18"/>
                <w:color w:val="auto"/>
              </w:rPr>
              <w:t>Fair value of plan assets</w:t>
            </w:r>
          </w:p>
        </w:tc>
        <w:tc>
          <w:tcPr>
            <w:tcW w:w="340" w:type="dxa"/>
            <w:vAlign w:val="bottom"/>
            <w:tcBorders>
              <w:bottom w:val="single" w:sz="8" w:color="auto"/>
            </w:tcBorders>
          </w:tcPr>
          <w:p>
            <w:pPr>
              <w:spacing w:after="0"/>
              <w:rPr>
                <w:sz w:val="18"/>
                <w:szCs w:val="18"/>
                <w:color w:val="auto"/>
              </w:rPr>
            </w:pPr>
          </w:p>
        </w:tc>
        <w:tc>
          <w:tcPr>
            <w:tcW w:w="128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27,252</w:t>
            </w:r>
          </w:p>
        </w:tc>
        <w:tc>
          <w:tcPr>
            <w:tcW w:w="100" w:type="dxa"/>
            <w:vAlign w:val="bottom"/>
          </w:tcPr>
          <w:p>
            <w:pPr>
              <w:spacing w:after="0"/>
              <w:rPr>
                <w:sz w:val="18"/>
                <w:szCs w:val="18"/>
                <w:color w:val="auto"/>
              </w:rPr>
            </w:pPr>
          </w:p>
        </w:tc>
        <w:tc>
          <w:tcPr>
            <w:tcW w:w="480" w:type="dxa"/>
            <w:vAlign w:val="bottom"/>
            <w:tcBorders>
              <w:bottom w:val="single" w:sz="8" w:color="auto"/>
            </w:tcBorders>
          </w:tcPr>
          <w:p>
            <w:pPr>
              <w:spacing w:after="0"/>
              <w:rPr>
                <w:sz w:val="18"/>
                <w:szCs w:val="18"/>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23,926</w:t>
            </w:r>
          </w:p>
        </w:tc>
        <w:tc>
          <w:tcPr>
            <w:tcW w:w="80" w:type="dxa"/>
            <w:vAlign w:val="bottom"/>
            <w:tcBorders>
              <w:bottom w:val="single" w:sz="8" w:color="auto"/>
            </w:tcBorders>
          </w:tcPr>
          <w:p>
            <w:pPr>
              <w:spacing w:after="0"/>
              <w:rPr>
                <w:sz w:val="18"/>
                <w:szCs w:val="18"/>
                <w:color w:val="auto"/>
              </w:rPr>
            </w:pPr>
          </w:p>
        </w:tc>
      </w:tr>
      <w:tr>
        <w:trPr>
          <w:trHeight w:val="249"/>
        </w:trPr>
        <w:tc>
          <w:tcPr>
            <w:tcW w:w="660" w:type="dxa"/>
            <w:vAlign w:val="bottom"/>
          </w:tcPr>
          <w:p>
            <w:pPr>
              <w:spacing w:after="0"/>
              <w:rPr>
                <w:sz w:val="21"/>
                <w:szCs w:val="21"/>
                <w:color w:val="auto"/>
              </w:rPr>
            </w:pPr>
          </w:p>
        </w:tc>
        <w:tc>
          <w:tcPr>
            <w:tcW w:w="7360" w:type="dxa"/>
            <w:vAlign w:val="bottom"/>
            <w:shd w:val="clear" w:color="auto" w:fill="CCEEFF"/>
          </w:tcPr>
          <w:p>
            <w:pPr>
              <w:spacing w:after="0"/>
              <w:rPr>
                <w:sz w:val="20"/>
                <w:szCs w:val="20"/>
                <w:color w:val="auto"/>
              </w:rPr>
            </w:pPr>
            <w:r>
              <w:rPr>
                <w:rFonts w:ascii="Arial" w:cs="Arial" w:eastAsia="Arial" w:hAnsi="Arial"/>
                <w:sz w:val="18"/>
                <w:szCs w:val="18"/>
                <w:color w:val="auto"/>
              </w:rPr>
              <w:t>Net funded status</w:t>
            </w:r>
          </w:p>
        </w:tc>
        <w:tc>
          <w:tcPr>
            <w:tcW w:w="340" w:type="dxa"/>
            <w:vAlign w:val="bottom"/>
            <w:shd w:val="clear" w:color="auto" w:fill="CCEEFF"/>
          </w:tcPr>
          <w:p>
            <w:pPr>
              <w:jc w:val="right"/>
              <w:ind w:right="150"/>
              <w:spacing w:after="0"/>
              <w:rPr>
                <w:sz w:val="20"/>
                <w:szCs w:val="20"/>
                <w:color w:val="auto"/>
              </w:rPr>
            </w:pPr>
            <w:r>
              <w:rPr>
                <w:rFonts w:ascii="Arial" w:cs="Arial" w:eastAsia="Arial" w:hAnsi="Arial"/>
                <w:sz w:val="18"/>
                <w:szCs w:val="18"/>
                <w:color w:val="auto"/>
                <w:w w:val="79"/>
              </w:rPr>
              <w:t>$</w:t>
            </w:r>
          </w:p>
        </w:tc>
        <w:tc>
          <w:tcPr>
            <w:tcW w:w="128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4,690</w:t>
            </w:r>
          </w:p>
        </w:tc>
        <w:tc>
          <w:tcPr>
            <w:tcW w:w="58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w:t>
            </w:r>
          </w:p>
        </w:tc>
        <w:tc>
          <w:tcPr>
            <w:tcW w:w="110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(1,593)</w:t>
            </w:r>
          </w:p>
        </w:tc>
      </w:tr>
      <w:tr>
        <w:trPr>
          <w:trHeight w:val="413"/>
        </w:trPr>
        <w:tc>
          <w:tcPr>
            <w:tcW w:w="660" w:type="dxa"/>
            <w:vAlign w:val="bottom"/>
          </w:tcPr>
          <w:p>
            <w:pPr>
              <w:spacing w:after="0"/>
              <w:rPr>
                <w:sz w:val="24"/>
                <w:szCs w:val="24"/>
                <w:color w:val="auto"/>
              </w:rPr>
            </w:pPr>
          </w:p>
        </w:tc>
        <w:tc>
          <w:tcPr>
            <w:tcW w:w="7360" w:type="dxa"/>
            <w:vAlign w:val="bottom"/>
            <w:tcBorders>
              <w:top w:val="single" w:sz="8" w:color="CCEEFF"/>
            </w:tcBorders>
          </w:tcPr>
          <w:p>
            <w:pPr>
              <w:spacing w:after="0"/>
              <w:rPr>
                <w:sz w:val="20"/>
                <w:szCs w:val="20"/>
                <w:color w:val="auto"/>
              </w:rPr>
            </w:pPr>
            <w:r>
              <w:rPr>
                <w:rFonts w:ascii="Arial" w:cs="Arial" w:eastAsia="Arial" w:hAnsi="Arial"/>
                <w:sz w:val="18"/>
                <w:szCs w:val="18"/>
                <w:color w:val="auto"/>
              </w:rPr>
              <w:t>The amounts recognized in the consolidated balance sheets consist of:</w:t>
            </w:r>
          </w:p>
        </w:tc>
        <w:tc>
          <w:tcPr>
            <w:tcW w:w="340" w:type="dxa"/>
            <w:vAlign w:val="bottom"/>
            <w:tcBorders>
              <w:top w:val="single" w:sz="8" w:color="auto"/>
            </w:tcBorders>
          </w:tcPr>
          <w:p>
            <w:pPr>
              <w:spacing w:after="0"/>
              <w:rPr>
                <w:sz w:val="24"/>
                <w:szCs w:val="24"/>
                <w:color w:val="auto"/>
              </w:rPr>
            </w:pPr>
          </w:p>
        </w:tc>
        <w:tc>
          <w:tcPr>
            <w:tcW w:w="1280" w:type="dxa"/>
            <w:vAlign w:val="bottom"/>
            <w:tcBorders>
              <w:top w:val="single" w:sz="8" w:color="auto"/>
            </w:tcBorders>
          </w:tcPr>
          <w:p>
            <w:pPr>
              <w:spacing w:after="0"/>
              <w:rPr>
                <w:sz w:val="24"/>
                <w:szCs w:val="24"/>
                <w:color w:val="auto"/>
              </w:rPr>
            </w:pPr>
          </w:p>
        </w:tc>
        <w:tc>
          <w:tcPr>
            <w:tcW w:w="100" w:type="dxa"/>
            <w:vAlign w:val="bottom"/>
            <w:tcBorders>
              <w:top w:val="single" w:sz="8" w:color="CCEEFF"/>
            </w:tcBorders>
          </w:tcPr>
          <w:p>
            <w:pPr>
              <w:spacing w:after="0"/>
              <w:rPr>
                <w:sz w:val="24"/>
                <w:szCs w:val="24"/>
                <w:color w:val="auto"/>
              </w:rPr>
            </w:pPr>
          </w:p>
        </w:tc>
        <w:tc>
          <w:tcPr>
            <w:tcW w:w="480" w:type="dxa"/>
            <w:vAlign w:val="bottom"/>
            <w:tcBorders>
              <w:top w:val="single" w:sz="8" w:color="auto"/>
            </w:tcBorders>
          </w:tcPr>
          <w:p>
            <w:pPr>
              <w:spacing w:after="0"/>
              <w:rPr>
                <w:sz w:val="24"/>
                <w:szCs w:val="24"/>
                <w:color w:val="auto"/>
              </w:rPr>
            </w:pPr>
          </w:p>
        </w:tc>
        <w:tc>
          <w:tcPr>
            <w:tcW w:w="1020" w:type="dxa"/>
            <w:vAlign w:val="bottom"/>
            <w:tcBorders>
              <w:top w:val="single" w:sz="8" w:color="auto"/>
            </w:tcBorders>
          </w:tcPr>
          <w:p>
            <w:pPr>
              <w:spacing w:after="0"/>
              <w:rPr>
                <w:sz w:val="24"/>
                <w:szCs w:val="24"/>
                <w:color w:val="auto"/>
              </w:rPr>
            </w:pPr>
          </w:p>
        </w:tc>
        <w:tc>
          <w:tcPr>
            <w:tcW w:w="80" w:type="dxa"/>
            <w:vAlign w:val="bottom"/>
            <w:tcBorders>
              <w:top w:val="single" w:sz="8" w:color="auto"/>
            </w:tcBorders>
          </w:tcPr>
          <w:p>
            <w:pPr>
              <w:spacing w:after="0"/>
              <w:rPr>
                <w:sz w:val="24"/>
                <w:szCs w:val="24"/>
                <w:color w:val="auto"/>
              </w:rPr>
            </w:pPr>
          </w:p>
        </w:tc>
      </w:tr>
      <w:tr>
        <w:trPr>
          <w:trHeight w:val="432"/>
        </w:trPr>
        <w:tc>
          <w:tcPr>
            <w:tcW w:w="660" w:type="dxa"/>
            <w:vAlign w:val="bottom"/>
          </w:tcPr>
          <w:p>
            <w:pPr>
              <w:spacing w:after="0"/>
              <w:rPr>
                <w:sz w:val="24"/>
                <w:szCs w:val="24"/>
                <w:color w:val="auto"/>
              </w:rPr>
            </w:pPr>
          </w:p>
        </w:tc>
        <w:tc>
          <w:tcPr>
            <w:tcW w:w="7360" w:type="dxa"/>
            <w:vAlign w:val="bottom"/>
          </w:tcPr>
          <w:p>
            <w:pPr>
              <w:spacing w:after="0"/>
              <w:rPr>
                <w:sz w:val="24"/>
                <w:szCs w:val="24"/>
                <w:color w:val="auto"/>
              </w:rPr>
            </w:pPr>
          </w:p>
        </w:tc>
        <w:tc>
          <w:tcPr>
            <w:tcW w:w="340" w:type="dxa"/>
            <w:vAlign w:val="bottom"/>
            <w:tcBorders>
              <w:bottom w:val="single" w:sz="8" w:color="auto"/>
            </w:tcBorders>
          </w:tcPr>
          <w:p>
            <w:pPr>
              <w:spacing w:after="0"/>
              <w:rPr>
                <w:sz w:val="24"/>
                <w:szCs w:val="24"/>
                <w:color w:val="auto"/>
              </w:rPr>
            </w:pPr>
          </w:p>
        </w:tc>
        <w:tc>
          <w:tcPr>
            <w:tcW w:w="1860" w:type="dxa"/>
            <w:vAlign w:val="bottom"/>
            <w:tcBorders>
              <w:bottom w:val="single" w:sz="8" w:color="auto"/>
            </w:tcBorders>
            <w:gridSpan w:val="3"/>
          </w:tcPr>
          <w:p>
            <w:pPr>
              <w:jc w:val="right"/>
              <w:ind w:right="60"/>
              <w:spacing w:after="0"/>
              <w:rPr>
                <w:sz w:val="20"/>
                <w:szCs w:val="20"/>
                <w:color w:val="auto"/>
              </w:rPr>
            </w:pPr>
            <w:r>
              <w:rPr>
                <w:rFonts w:ascii="Arial" w:cs="Arial" w:eastAsia="Arial" w:hAnsi="Arial"/>
                <w:sz w:val="18"/>
                <w:szCs w:val="18"/>
                <w:b w:val="1"/>
                <w:bCs w:val="1"/>
                <w:color w:val="auto"/>
              </w:rPr>
              <w:t>December 31,</w:t>
            </w:r>
          </w:p>
        </w:tc>
        <w:tc>
          <w:tcPr>
            <w:tcW w:w="102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r>
      <w:tr>
        <w:trPr>
          <w:trHeight w:val="210"/>
        </w:trPr>
        <w:tc>
          <w:tcPr>
            <w:tcW w:w="660" w:type="dxa"/>
            <w:vAlign w:val="bottom"/>
          </w:tcPr>
          <w:p>
            <w:pPr>
              <w:spacing w:after="0"/>
              <w:rPr>
                <w:sz w:val="18"/>
                <w:szCs w:val="18"/>
                <w:color w:val="auto"/>
              </w:rPr>
            </w:pPr>
          </w:p>
        </w:tc>
        <w:tc>
          <w:tcPr>
            <w:tcW w:w="7360" w:type="dxa"/>
            <w:vAlign w:val="bottom"/>
          </w:tcPr>
          <w:p>
            <w:pPr>
              <w:spacing w:after="0"/>
              <w:rPr>
                <w:sz w:val="20"/>
                <w:szCs w:val="20"/>
                <w:color w:val="auto"/>
              </w:rPr>
            </w:pPr>
            <w:r>
              <w:rPr>
                <w:rFonts w:ascii="Arial" w:cs="Arial" w:eastAsia="Arial" w:hAnsi="Arial"/>
                <w:sz w:val="18"/>
                <w:szCs w:val="18"/>
                <w:color w:val="auto"/>
              </w:rPr>
              <w:t>(in thousands)</w:t>
            </w:r>
          </w:p>
        </w:tc>
        <w:tc>
          <w:tcPr>
            <w:tcW w:w="340" w:type="dxa"/>
            <w:vAlign w:val="bottom"/>
            <w:tcBorders>
              <w:bottom w:val="single" w:sz="8" w:color="auto"/>
            </w:tcBorders>
          </w:tcPr>
          <w:p>
            <w:pPr>
              <w:spacing w:after="0"/>
              <w:rPr>
                <w:sz w:val="18"/>
                <w:szCs w:val="18"/>
                <w:color w:val="auto"/>
              </w:rPr>
            </w:pPr>
          </w:p>
        </w:tc>
        <w:tc>
          <w:tcPr>
            <w:tcW w:w="1280" w:type="dxa"/>
            <w:vAlign w:val="bottom"/>
            <w:tcBorders>
              <w:bottom w:val="single" w:sz="8" w:color="auto"/>
            </w:tcBorders>
          </w:tcPr>
          <w:p>
            <w:pPr>
              <w:jc w:val="right"/>
              <w:ind w:right="590"/>
              <w:spacing w:after="0"/>
              <w:rPr>
                <w:sz w:val="20"/>
                <w:szCs w:val="20"/>
                <w:color w:val="auto"/>
              </w:rPr>
            </w:pPr>
            <w:r>
              <w:rPr>
                <w:rFonts w:ascii="Arial" w:cs="Arial" w:eastAsia="Arial" w:hAnsi="Arial"/>
                <w:sz w:val="18"/>
                <w:szCs w:val="18"/>
                <w:b w:val="1"/>
                <w:bCs w:val="1"/>
                <w:color w:val="auto"/>
              </w:rPr>
              <w:t>2021</w:t>
            </w:r>
          </w:p>
        </w:tc>
        <w:tc>
          <w:tcPr>
            <w:tcW w:w="100" w:type="dxa"/>
            <w:vAlign w:val="bottom"/>
          </w:tcPr>
          <w:p>
            <w:pPr>
              <w:spacing w:after="0"/>
              <w:rPr>
                <w:sz w:val="18"/>
                <w:szCs w:val="18"/>
                <w:color w:val="auto"/>
              </w:rPr>
            </w:pPr>
          </w:p>
        </w:tc>
        <w:tc>
          <w:tcPr>
            <w:tcW w:w="480" w:type="dxa"/>
            <w:vAlign w:val="bottom"/>
            <w:tcBorders>
              <w:bottom w:val="single" w:sz="8" w:color="auto"/>
            </w:tcBorders>
          </w:tcPr>
          <w:p>
            <w:pPr>
              <w:spacing w:after="0"/>
              <w:rPr>
                <w:sz w:val="18"/>
                <w:szCs w:val="18"/>
                <w:color w:val="auto"/>
              </w:rPr>
            </w:pPr>
          </w:p>
        </w:tc>
        <w:tc>
          <w:tcPr>
            <w:tcW w:w="1020" w:type="dxa"/>
            <w:vAlign w:val="bottom"/>
            <w:tcBorders>
              <w:bottom w:val="single" w:sz="8" w:color="auto"/>
            </w:tcBorders>
          </w:tcPr>
          <w:p>
            <w:pPr>
              <w:jc w:val="right"/>
              <w:ind w:right="490"/>
              <w:spacing w:after="0"/>
              <w:rPr>
                <w:sz w:val="20"/>
                <w:szCs w:val="20"/>
                <w:color w:val="auto"/>
              </w:rPr>
            </w:pPr>
            <w:r>
              <w:rPr>
                <w:rFonts w:ascii="Arial" w:cs="Arial" w:eastAsia="Arial" w:hAnsi="Arial"/>
                <w:sz w:val="18"/>
                <w:szCs w:val="18"/>
                <w:b w:val="1"/>
                <w:bCs w:val="1"/>
                <w:color w:val="auto"/>
              </w:rPr>
              <w:t>2020</w:t>
            </w:r>
          </w:p>
        </w:tc>
        <w:tc>
          <w:tcPr>
            <w:tcW w:w="80" w:type="dxa"/>
            <w:vAlign w:val="bottom"/>
            <w:tcBorders>
              <w:bottom w:val="single" w:sz="8" w:color="auto"/>
            </w:tcBorders>
          </w:tcPr>
          <w:p>
            <w:pPr>
              <w:spacing w:after="0"/>
              <w:rPr>
                <w:sz w:val="18"/>
                <w:szCs w:val="18"/>
                <w:color w:val="auto"/>
              </w:rPr>
            </w:pPr>
          </w:p>
        </w:tc>
      </w:tr>
      <w:tr>
        <w:trPr>
          <w:trHeight w:val="210"/>
        </w:trPr>
        <w:tc>
          <w:tcPr>
            <w:tcW w:w="660" w:type="dxa"/>
            <w:vAlign w:val="bottom"/>
          </w:tcPr>
          <w:p>
            <w:pPr>
              <w:spacing w:after="0"/>
              <w:rPr>
                <w:sz w:val="18"/>
                <w:szCs w:val="18"/>
                <w:color w:val="auto"/>
              </w:rPr>
            </w:pPr>
          </w:p>
        </w:tc>
        <w:tc>
          <w:tcPr>
            <w:tcW w:w="7360" w:type="dxa"/>
            <w:vAlign w:val="bottom"/>
            <w:shd w:val="clear" w:color="auto" w:fill="CCEEFF"/>
          </w:tcPr>
          <w:p>
            <w:pPr>
              <w:spacing w:after="0"/>
              <w:rPr>
                <w:sz w:val="20"/>
                <w:szCs w:val="20"/>
                <w:color w:val="auto"/>
              </w:rPr>
            </w:pPr>
            <w:r>
              <w:rPr>
                <w:rFonts w:ascii="Arial" w:cs="Arial" w:eastAsia="Arial" w:hAnsi="Arial"/>
                <w:sz w:val="18"/>
                <w:szCs w:val="18"/>
                <w:color w:val="auto"/>
              </w:rPr>
              <w:t>Other long term assets (liabilities)</w:t>
            </w:r>
          </w:p>
        </w:tc>
        <w:tc>
          <w:tcPr>
            <w:tcW w:w="340" w:type="dxa"/>
            <w:vAlign w:val="bottom"/>
            <w:shd w:val="clear" w:color="auto" w:fill="CCEEFF"/>
          </w:tcPr>
          <w:p>
            <w:pPr>
              <w:jc w:val="right"/>
              <w:ind w:right="150"/>
              <w:spacing w:after="0"/>
              <w:rPr>
                <w:sz w:val="20"/>
                <w:szCs w:val="20"/>
                <w:color w:val="auto"/>
              </w:rPr>
            </w:pPr>
            <w:r>
              <w:rPr>
                <w:rFonts w:ascii="Arial" w:cs="Arial" w:eastAsia="Arial" w:hAnsi="Arial"/>
                <w:sz w:val="18"/>
                <w:szCs w:val="18"/>
                <w:color w:val="auto"/>
                <w:w w:val="79"/>
              </w:rPr>
              <w:t>$</w:t>
            </w:r>
          </w:p>
        </w:tc>
        <w:tc>
          <w:tcPr>
            <w:tcW w:w="128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4,690</w:t>
            </w:r>
          </w:p>
        </w:tc>
        <w:tc>
          <w:tcPr>
            <w:tcW w:w="58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w:t>
            </w:r>
          </w:p>
        </w:tc>
        <w:tc>
          <w:tcPr>
            <w:tcW w:w="110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(1,593)</w:t>
            </w:r>
          </w:p>
        </w:tc>
      </w:tr>
      <w:tr>
        <w:trPr>
          <w:trHeight w:val="216"/>
        </w:trPr>
        <w:tc>
          <w:tcPr>
            <w:tcW w:w="660" w:type="dxa"/>
            <w:vAlign w:val="bottom"/>
          </w:tcPr>
          <w:p>
            <w:pPr>
              <w:spacing w:after="0"/>
              <w:rPr>
                <w:sz w:val="18"/>
                <w:szCs w:val="18"/>
                <w:color w:val="auto"/>
              </w:rPr>
            </w:pPr>
          </w:p>
        </w:tc>
        <w:tc>
          <w:tcPr>
            <w:tcW w:w="7360" w:type="dxa"/>
            <w:vAlign w:val="bottom"/>
          </w:tcPr>
          <w:p>
            <w:pPr>
              <w:spacing w:after="0"/>
              <w:rPr>
                <w:sz w:val="20"/>
                <w:szCs w:val="20"/>
                <w:color w:val="auto"/>
              </w:rPr>
            </w:pPr>
            <w:r>
              <w:rPr>
                <w:rFonts w:ascii="Arial" w:cs="Arial" w:eastAsia="Arial" w:hAnsi="Arial"/>
                <w:sz w:val="18"/>
                <w:szCs w:val="18"/>
                <w:color w:val="auto"/>
              </w:rPr>
              <w:t>Deferred income tax liabilities</w:t>
            </w:r>
          </w:p>
        </w:tc>
        <w:tc>
          <w:tcPr>
            <w:tcW w:w="340" w:type="dxa"/>
            <w:vAlign w:val="bottom"/>
            <w:tcBorders>
              <w:bottom w:val="single" w:sz="8" w:color="auto"/>
            </w:tcBorders>
          </w:tcPr>
          <w:p>
            <w:pPr>
              <w:spacing w:after="0"/>
              <w:rPr>
                <w:sz w:val="18"/>
                <w:szCs w:val="18"/>
                <w:color w:val="auto"/>
              </w:rPr>
            </w:pPr>
          </w:p>
        </w:tc>
        <w:tc>
          <w:tcPr>
            <w:tcW w:w="12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(891)</w:t>
            </w:r>
          </w:p>
        </w:tc>
        <w:tc>
          <w:tcPr>
            <w:tcW w:w="100" w:type="dxa"/>
            <w:vAlign w:val="bottom"/>
          </w:tcPr>
          <w:p>
            <w:pPr>
              <w:spacing w:after="0"/>
              <w:rPr>
                <w:sz w:val="18"/>
                <w:szCs w:val="18"/>
                <w:color w:val="auto"/>
              </w:rPr>
            </w:pPr>
          </w:p>
        </w:tc>
        <w:tc>
          <w:tcPr>
            <w:tcW w:w="480" w:type="dxa"/>
            <w:vAlign w:val="bottom"/>
            <w:tcBorders>
              <w:bottom w:val="single" w:sz="8" w:color="auto"/>
            </w:tcBorders>
          </w:tcPr>
          <w:p>
            <w:pPr>
              <w:spacing w:after="0"/>
              <w:rPr>
                <w:sz w:val="18"/>
                <w:szCs w:val="18"/>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80" w:type="dxa"/>
            <w:vAlign w:val="bottom"/>
            <w:tcBorders>
              <w:bottom w:val="single" w:sz="8" w:color="auto"/>
            </w:tcBorders>
          </w:tcPr>
          <w:p>
            <w:pPr>
              <w:spacing w:after="0"/>
              <w:rPr>
                <w:sz w:val="18"/>
                <w:szCs w:val="18"/>
                <w:color w:val="auto"/>
              </w:rPr>
            </w:pPr>
          </w:p>
        </w:tc>
      </w:tr>
      <w:tr>
        <w:trPr>
          <w:trHeight w:val="250"/>
        </w:trPr>
        <w:tc>
          <w:tcPr>
            <w:tcW w:w="660" w:type="dxa"/>
            <w:vAlign w:val="bottom"/>
          </w:tcPr>
          <w:p>
            <w:pPr>
              <w:spacing w:after="0"/>
              <w:rPr>
                <w:sz w:val="21"/>
                <w:szCs w:val="21"/>
                <w:color w:val="auto"/>
              </w:rPr>
            </w:pPr>
          </w:p>
        </w:tc>
        <w:tc>
          <w:tcPr>
            <w:tcW w:w="7360" w:type="dxa"/>
            <w:vAlign w:val="bottom"/>
            <w:shd w:val="clear" w:color="auto" w:fill="CCEEFF"/>
          </w:tcPr>
          <w:p>
            <w:pPr>
              <w:spacing w:after="0"/>
              <w:rPr>
                <w:sz w:val="20"/>
                <w:szCs w:val="20"/>
                <w:color w:val="auto"/>
              </w:rPr>
            </w:pPr>
            <w:r>
              <w:rPr>
                <w:rFonts w:ascii="Arial" w:cs="Arial" w:eastAsia="Arial" w:hAnsi="Arial"/>
                <w:sz w:val="18"/>
                <w:szCs w:val="18"/>
                <w:color w:val="auto"/>
              </w:rPr>
              <w:t>Recognized in accumulated other comprehensive loss</w:t>
            </w:r>
          </w:p>
        </w:tc>
        <w:tc>
          <w:tcPr>
            <w:tcW w:w="340" w:type="dxa"/>
            <w:vAlign w:val="bottom"/>
            <w:shd w:val="clear" w:color="auto" w:fill="CCEEFF"/>
          </w:tcPr>
          <w:p>
            <w:pPr>
              <w:jc w:val="right"/>
              <w:ind w:right="150"/>
              <w:spacing w:after="0"/>
              <w:rPr>
                <w:sz w:val="20"/>
                <w:szCs w:val="20"/>
                <w:color w:val="auto"/>
              </w:rPr>
            </w:pPr>
            <w:r>
              <w:rPr>
                <w:rFonts w:ascii="Arial" w:cs="Arial" w:eastAsia="Arial" w:hAnsi="Arial"/>
                <w:sz w:val="18"/>
                <w:szCs w:val="18"/>
                <w:color w:val="auto"/>
                <w:w w:val="79"/>
              </w:rPr>
              <w:t>$</w:t>
            </w:r>
          </w:p>
        </w:tc>
        <w:tc>
          <w:tcPr>
            <w:tcW w:w="128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3,799</w:t>
            </w:r>
          </w:p>
        </w:tc>
        <w:tc>
          <w:tcPr>
            <w:tcW w:w="58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w:t>
            </w:r>
          </w:p>
        </w:tc>
        <w:tc>
          <w:tcPr>
            <w:tcW w:w="110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(1,593)</w:t>
            </w:r>
          </w:p>
        </w:tc>
      </w:tr>
      <w:tr>
        <w:trPr>
          <w:trHeight w:val="628"/>
        </w:trPr>
        <w:tc>
          <w:tcPr>
            <w:tcW w:w="660" w:type="dxa"/>
            <w:vAlign w:val="bottom"/>
          </w:tcPr>
          <w:p>
            <w:pPr>
              <w:spacing w:after="0"/>
              <w:rPr>
                <w:sz w:val="24"/>
                <w:szCs w:val="24"/>
                <w:color w:val="auto"/>
              </w:rPr>
            </w:pPr>
          </w:p>
        </w:tc>
        <w:tc>
          <w:tcPr>
            <w:tcW w:w="7360" w:type="dxa"/>
            <w:vAlign w:val="bottom"/>
            <w:tcBorders>
              <w:top w:val="single" w:sz="8" w:color="CCEEFF"/>
            </w:tcBorders>
          </w:tcPr>
          <w:p>
            <w:pPr>
              <w:ind w:left="4780"/>
              <w:spacing w:after="0"/>
              <w:rPr>
                <w:sz w:val="20"/>
                <w:szCs w:val="20"/>
                <w:color w:val="auto"/>
              </w:rPr>
            </w:pPr>
            <w:r>
              <w:rPr>
                <w:rFonts w:ascii="Arial" w:cs="Arial" w:eastAsia="Arial" w:hAnsi="Arial"/>
                <w:sz w:val="18"/>
                <w:szCs w:val="18"/>
                <w:color w:val="auto"/>
              </w:rPr>
              <w:t>F- 18</w:t>
            </w:r>
          </w:p>
        </w:tc>
        <w:tc>
          <w:tcPr>
            <w:tcW w:w="340" w:type="dxa"/>
            <w:vAlign w:val="bottom"/>
            <w:tcBorders>
              <w:top w:val="single" w:sz="8" w:color="auto"/>
            </w:tcBorders>
          </w:tcPr>
          <w:p>
            <w:pPr>
              <w:spacing w:after="0"/>
              <w:rPr>
                <w:sz w:val="24"/>
                <w:szCs w:val="24"/>
                <w:color w:val="auto"/>
              </w:rPr>
            </w:pPr>
          </w:p>
        </w:tc>
        <w:tc>
          <w:tcPr>
            <w:tcW w:w="1280" w:type="dxa"/>
            <w:vAlign w:val="bottom"/>
            <w:tcBorders>
              <w:top w:val="single" w:sz="8" w:color="auto"/>
            </w:tcBorders>
          </w:tcPr>
          <w:p>
            <w:pPr>
              <w:spacing w:after="0"/>
              <w:rPr>
                <w:sz w:val="24"/>
                <w:szCs w:val="24"/>
                <w:color w:val="auto"/>
              </w:rPr>
            </w:pPr>
          </w:p>
        </w:tc>
        <w:tc>
          <w:tcPr>
            <w:tcW w:w="100" w:type="dxa"/>
            <w:vAlign w:val="bottom"/>
            <w:tcBorders>
              <w:top w:val="single" w:sz="8" w:color="CCEEFF"/>
            </w:tcBorders>
          </w:tcPr>
          <w:p>
            <w:pPr>
              <w:spacing w:after="0"/>
              <w:rPr>
                <w:sz w:val="24"/>
                <w:szCs w:val="24"/>
                <w:color w:val="auto"/>
              </w:rPr>
            </w:pPr>
          </w:p>
        </w:tc>
        <w:tc>
          <w:tcPr>
            <w:tcW w:w="480" w:type="dxa"/>
            <w:vAlign w:val="bottom"/>
            <w:tcBorders>
              <w:top w:val="single" w:sz="8" w:color="auto"/>
            </w:tcBorders>
          </w:tcPr>
          <w:p>
            <w:pPr>
              <w:spacing w:after="0"/>
              <w:rPr>
                <w:sz w:val="24"/>
                <w:szCs w:val="24"/>
                <w:color w:val="auto"/>
              </w:rPr>
            </w:pPr>
          </w:p>
        </w:tc>
        <w:tc>
          <w:tcPr>
            <w:tcW w:w="1020" w:type="dxa"/>
            <w:vAlign w:val="bottom"/>
            <w:tcBorders>
              <w:top w:val="single" w:sz="8" w:color="auto"/>
            </w:tcBorders>
          </w:tcPr>
          <w:p>
            <w:pPr>
              <w:spacing w:after="0"/>
              <w:rPr>
                <w:sz w:val="24"/>
                <w:szCs w:val="24"/>
                <w:color w:val="auto"/>
              </w:rPr>
            </w:pPr>
          </w:p>
        </w:tc>
        <w:tc>
          <w:tcPr>
            <w:tcW w:w="80" w:type="dxa"/>
            <w:vAlign w:val="bottom"/>
            <w:tcBorders>
              <w:top w:val="single" w:sz="8" w:color="auto"/>
            </w:tcBorders>
          </w:tcPr>
          <w:p>
            <w:pPr>
              <w:spacing w:after="0"/>
              <w:rPr>
                <w:sz w:val="24"/>
                <w:szCs w:val="24"/>
                <w:color w:val="auto"/>
              </w:rPr>
            </w:pPr>
          </w:p>
        </w:tc>
      </w:tr>
      <w:tr>
        <w:trPr>
          <w:trHeight w:val="115"/>
        </w:trPr>
        <w:tc>
          <w:tcPr>
            <w:tcW w:w="660" w:type="dxa"/>
            <w:vAlign w:val="bottom"/>
            <w:tcBorders>
              <w:bottom w:val="single" w:sz="8" w:color="auto"/>
            </w:tcBorders>
          </w:tcPr>
          <w:p>
            <w:pPr>
              <w:spacing w:after="0"/>
              <w:rPr>
                <w:sz w:val="10"/>
                <w:szCs w:val="10"/>
                <w:color w:val="auto"/>
              </w:rPr>
            </w:pPr>
          </w:p>
        </w:tc>
        <w:tc>
          <w:tcPr>
            <w:tcW w:w="7360" w:type="dxa"/>
            <w:vAlign w:val="bottom"/>
            <w:tcBorders>
              <w:bottom w:val="single" w:sz="8" w:color="auto"/>
            </w:tcBorders>
          </w:tcPr>
          <w:p>
            <w:pPr>
              <w:spacing w:after="0"/>
              <w:rPr>
                <w:sz w:val="10"/>
                <w:szCs w:val="10"/>
                <w:color w:val="auto"/>
              </w:rPr>
            </w:pPr>
          </w:p>
        </w:tc>
        <w:tc>
          <w:tcPr>
            <w:tcW w:w="340" w:type="dxa"/>
            <w:vAlign w:val="bottom"/>
            <w:tcBorders>
              <w:bottom w:val="single" w:sz="8" w:color="auto"/>
            </w:tcBorders>
          </w:tcPr>
          <w:p>
            <w:pPr>
              <w:spacing w:after="0"/>
              <w:rPr>
                <w:sz w:val="10"/>
                <w:szCs w:val="10"/>
                <w:color w:val="auto"/>
              </w:rPr>
            </w:pPr>
          </w:p>
        </w:tc>
        <w:tc>
          <w:tcPr>
            <w:tcW w:w="1280" w:type="dxa"/>
            <w:vAlign w:val="bottom"/>
            <w:tcBorders>
              <w:bottom w:val="single" w:sz="8" w:color="auto"/>
            </w:tcBorders>
          </w:tcPr>
          <w:p>
            <w:pPr>
              <w:spacing w:after="0"/>
              <w:rPr>
                <w:sz w:val="10"/>
                <w:szCs w:val="10"/>
                <w:color w:val="auto"/>
              </w:rPr>
            </w:pPr>
          </w:p>
        </w:tc>
        <w:tc>
          <w:tcPr>
            <w:tcW w:w="100" w:type="dxa"/>
            <w:vAlign w:val="bottom"/>
            <w:tcBorders>
              <w:bottom w:val="single" w:sz="8" w:color="auto"/>
            </w:tcBorders>
          </w:tcPr>
          <w:p>
            <w:pPr>
              <w:spacing w:after="0"/>
              <w:rPr>
                <w:sz w:val="10"/>
                <w:szCs w:val="10"/>
                <w:color w:val="auto"/>
              </w:rPr>
            </w:pPr>
          </w:p>
        </w:tc>
        <w:tc>
          <w:tcPr>
            <w:tcW w:w="480" w:type="dxa"/>
            <w:vAlign w:val="bottom"/>
            <w:tcBorders>
              <w:bottom w:val="single" w:sz="8" w:color="auto"/>
            </w:tcBorders>
          </w:tcPr>
          <w:p>
            <w:pPr>
              <w:spacing w:after="0"/>
              <w:rPr>
                <w:sz w:val="10"/>
                <w:szCs w:val="10"/>
                <w:color w:val="auto"/>
              </w:rPr>
            </w:pPr>
          </w:p>
        </w:tc>
        <w:tc>
          <w:tcPr>
            <w:tcW w:w="1020" w:type="dxa"/>
            <w:vAlign w:val="bottom"/>
            <w:tcBorders>
              <w:bottom w:val="single" w:sz="8" w:color="auto"/>
            </w:tcBorders>
          </w:tcPr>
          <w:p>
            <w:pPr>
              <w:spacing w:after="0"/>
              <w:rPr>
                <w:sz w:val="10"/>
                <w:szCs w:val="10"/>
                <w:color w:val="auto"/>
              </w:rPr>
            </w:pPr>
          </w:p>
        </w:tc>
        <w:tc>
          <w:tcPr>
            <w:tcW w:w="80" w:type="dxa"/>
            <w:vAlign w:val="bottom"/>
          </w:tcPr>
          <w:p>
            <w:pPr>
              <w:spacing w:after="0"/>
              <w:rPr>
                <w:sz w:val="10"/>
                <w:szCs w:val="10"/>
                <w:color w:val="auto"/>
              </w:rPr>
            </w:pPr>
          </w:p>
        </w:tc>
      </w:tr>
    </w:tbl>
    <w:p>
      <w:pPr>
        <w:sectPr>
          <w:pgSz w:w="11900" w:h="16838" w:orient="portrait"/>
          <w:cols w:equalWidth="0" w:num="1">
            <w:col w:w="11320"/>
          </w:cols>
          <w:pgMar w:left="320" w:top="108" w:right="259" w:bottom="1440" w:gutter="0" w:footer="0" w:header="0"/>
        </w:sectPr>
      </w:pPr>
    </w:p>
    <w:bookmarkStart w:id="47" w:name="page48"/>
    <w:bookmarkEnd w:id="47"/>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The weighted average assumptions used in determining the net pension cost for these plans follows:</w:t>
      </w:r>
    </w:p>
    <w:p>
      <w:pPr>
        <w:spacing w:after="0" w:line="221" w:lineRule="exact"/>
        <w:rPr>
          <w:sz w:val="20"/>
          <w:szCs w:val="20"/>
          <w:color w:val="auto"/>
        </w:rPr>
      </w:pPr>
    </w:p>
    <w:p>
      <w:pPr>
        <w:ind w:left="8560"/>
        <w:spacing w:after="0"/>
        <w:rPr>
          <w:sz w:val="20"/>
          <w:szCs w:val="20"/>
          <w:color w:val="auto"/>
        </w:rPr>
      </w:pPr>
      <w:r>
        <w:rPr>
          <w:rFonts w:ascii="Arial" w:cs="Arial" w:eastAsia="Arial" w:hAnsi="Arial"/>
          <w:sz w:val="18"/>
          <w:szCs w:val="18"/>
          <w:b w:val="1"/>
          <w:bCs w:val="1"/>
          <w:color w:val="auto"/>
        </w:rPr>
        <w:t>Year Ended December 31,</w:t>
      </w:r>
    </w:p>
    <w:p>
      <w:pPr>
        <w:spacing w:after="0" w:line="27" w:lineRule="exact"/>
        <w:rPr>
          <w:sz w:val="20"/>
          <w:szCs w:val="20"/>
          <w:color w:val="auto"/>
        </w:rPr>
      </w:pPr>
    </w:p>
    <w:tbl>
      <w:tblPr>
        <w:tblLayout w:type="fixed"/>
        <w:tblInd w:w="660" w:type="dxa"/>
        <w:tblCellMar>
          <w:top w:w="0" w:type="dxa"/>
          <w:left w:w="0" w:type="dxa"/>
          <w:bottom w:w="0" w:type="dxa"/>
          <w:right w:w="0" w:type="dxa"/>
        </w:tblCellMar>
      </w:tblPr>
      <w:tr>
        <w:trPr>
          <w:trHeight w:val="209"/>
        </w:trPr>
        <w:tc>
          <w:tcPr>
            <w:tcW w:w="7300" w:type="dxa"/>
            <w:vAlign w:val="bottom"/>
          </w:tcPr>
          <w:p>
            <w:pPr>
              <w:spacing w:after="0"/>
              <w:rPr>
                <w:sz w:val="18"/>
                <w:szCs w:val="18"/>
                <w:color w:val="auto"/>
              </w:rPr>
            </w:pPr>
          </w:p>
        </w:tc>
        <w:tc>
          <w:tcPr>
            <w:tcW w:w="1080" w:type="dxa"/>
            <w:vAlign w:val="bottom"/>
            <w:tcBorders>
              <w:top w:val="single" w:sz="8" w:color="auto"/>
              <w:bottom w:val="single" w:sz="8" w:color="auto"/>
            </w:tcBorders>
          </w:tcPr>
          <w:p>
            <w:pPr>
              <w:jc w:val="right"/>
              <w:ind w:right="70"/>
              <w:spacing w:after="0"/>
              <w:rPr>
                <w:sz w:val="20"/>
                <w:szCs w:val="20"/>
                <w:color w:val="auto"/>
              </w:rPr>
            </w:pPr>
            <w:r>
              <w:rPr>
                <w:rFonts w:ascii="Arial" w:cs="Arial" w:eastAsia="Arial" w:hAnsi="Arial"/>
                <w:sz w:val="18"/>
                <w:szCs w:val="18"/>
                <w:b w:val="1"/>
                <w:bCs w:val="1"/>
                <w:color w:val="auto"/>
              </w:rPr>
              <w:t>2021</w:t>
            </w:r>
          </w:p>
        </w:tc>
        <w:tc>
          <w:tcPr>
            <w:tcW w:w="560" w:type="dxa"/>
            <w:vAlign w:val="bottom"/>
            <w:tcBorders>
              <w:top w:val="single" w:sz="8" w:color="auto"/>
              <w:bottom w:val="single" w:sz="8" w:color="auto"/>
            </w:tcBorders>
          </w:tcPr>
          <w:p>
            <w:pPr>
              <w:spacing w:after="0"/>
              <w:rPr>
                <w:sz w:val="18"/>
                <w:szCs w:val="18"/>
                <w:color w:val="auto"/>
              </w:rPr>
            </w:pPr>
          </w:p>
        </w:tc>
        <w:tc>
          <w:tcPr>
            <w:tcW w:w="80" w:type="dxa"/>
            <w:vAlign w:val="bottom"/>
            <w:tcBorders>
              <w:top w:val="single" w:sz="8" w:color="auto"/>
            </w:tcBorders>
          </w:tcPr>
          <w:p>
            <w:pPr>
              <w:spacing w:after="0"/>
              <w:rPr>
                <w:sz w:val="18"/>
                <w:szCs w:val="18"/>
                <w:color w:val="auto"/>
              </w:rPr>
            </w:pPr>
          </w:p>
        </w:tc>
        <w:tc>
          <w:tcPr>
            <w:tcW w:w="1640" w:type="dxa"/>
            <w:vAlign w:val="bottom"/>
            <w:tcBorders>
              <w:top w:val="single" w:sz="8" w:color="auto"/>
              <w:bottom w:val="single" w:sz="8" w:color="auto"/>
            </w:tcBorders>
          </w:tcPr>
          <w:p>
            <w:pPr>
              <w:jc w:val="right"/>
              <w:ind w:right="630"/>
              <w:spacing w:after="0"/>
              <w:rPr>
                <w:sz w:val="20"/>
                <w:szCs w:val="20"/>
                <w:color w:val="auto"/>
              </w:rPr>
            </w:pPr>
            <w:r>
              <w:rPr>
                <w:rFonts w:ascii="Arial" w:cs="Arial" w:eastAsia="Arial" w:hAnsi="Arial"/>
                <w:sz w:val="18"/>
                <w:szCs w:val="18"/>
                <w:b w:val="1"/>
                <w:bCs w:val="1"/>
                <w:color w:val="auto"/>
              </w:rPr>
              <w:t>2020</w:t>
            </w:r>
          </w:p>
        </w:tc>
      </w:tr>
      <w:tr>
        <w:trPr>
          <w:trHeight w:val="209"/>
        </w:trPr>
        <w:tc>
          <w:tcPr>
            <w:tcW w:w="83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Discount rate</w:t>
            </w: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w:t>
            </w:r>
          </w:p>
        </w:tc>
        <w:tc>
          <w:tcPr>
            <w:tcW w:w="17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1.4%</w:t>
            </w:r>
          </w:p>
        </w:tc>
      </w:tr>
      <w:tr>
        <w:trPr>
          <w:trHeight w:val="230"/>
        </w:trPr>
        <w:tc>
          <w:tcPr>
            <w:tcW w:w="8380" w:type="dxa"/>
            <w:vAlign w:val="bottom"/>
            <w:gridSpan w:val="2"/>
          </w:tcPr>
          <w:p>
            <w:pPr>
              <w:spacing w:after="0"/>
              <w:rPr>
                <w:sz w:val="20"/>
                <w:szCs w:val="20"/>
                <w:color w:val="auto"/>
              </w:rPr>
            </w:pPr>
            <w:r>
              <w:rPr>
                <w:rFonts w:ascii="Arial" w:cs="Arial" w:eastAsia="Arial" w:hAnsi="Arial"/>
                <w:sz w:val="18"/>
                <w:szCs w:val="18"/>
                <w:color w:val="auto"/>
              </w:rPr>
              <w:t>Expected return on assets</w:t>
            </w:r>
          </w:p>
        </w:tc>
        <w:tc>
          <w:tcPr>
            <w:tcW w:w="560" w:type="dxa"/>
            <w:vAlign w:val="bottom"/>
          </w:tcPr>
          <w:p>
            <w:pPr>
              <w:jc w:val="right"/>
              <w:spacing w:after="0"/>
              <w:rPr>
                <w:sz w:val="20"/>
                <w:szCs w:val="20"/>
                <w:color w:val="auto"/>
              </w:rPr>
            </w:pPr>
            <w:r>
              <w:rPr>
                <w:rFonts w:ascii="Arial" w:cs="Arial" w:eastAsia="Arial" w:hAnsi="Arial"/>
                <w:sz w:val="18"/>
                <w:szCs w:val="18"/>
                <w:color w:val="auto"/>
              </w:rPr>
              <w:t>2.8%</w:t>
            </w:r>
          </w:p>
        </w:tc>
        <w:tc>
          <w:tcPr>
            <w:tcW w:w="1720" w:type="dxa"/>
            <w:vAlign w:val="bottom"/>
            <w:gridSpan w:val="2"/>
          </w:tcPr>
          <w:p>
            <w:pPr>
              <w:jc w:val="right"/>
              <w:spacing w:after="0"/>
              <w:rPr>
                <w:sz w:val="20"/>
                <w:szCs w:val="20"/>
                <w:color w:val="auto"/>
              </w:rPr>
            </w:pPr>
            <w:r>
              <w:rPr>
                <w:rFonts w:ascii="Arial" w:cs="Arial" w:eastAsia="Arial" w:hAnsi="Arial"/>
                <w:sz w:val="18"/>
                <w:szCs w:val="18"/>
                <w:color w:val="auto"/>
              </w:rPr>
              <w:t>3.4%</w:t>
            </w:r>
          </w:p>
        </w:tc>
      </w:tr>
    </w:tbl>
    <w:p>
      <w:pPr>
        <w:spacing w:after="0" w:line="187" w:lineRule="exact"/>
        <w:rPr>
          <w:sz w:val="20"/>
          <w:szCs w:val="20"/>
          <w:color w:val="auto"/>
        </w:rPr>
      </w:pPr>
    </w:p>
    <w:p>
      <w:pPr>
        <w:jc w:val="both"/>
        <w:ind w:right="100" w:firstLine="648"/>
        <w:spacing w:after="0" w:line="277" w:lineRule="auto"/>
        <w:rPr>
          <w:sz w:val="20"/>
          <w:szCs w:val="20"/>
          <w:color w:val="auto"/>
        </w:rPr>
      </w:pPr>
      <w:r>
        <w:rPr>
          <w:rFonts w:ascii="Arial" w:cs="Arial" w:eastAsia="Arial" w:hAnsi="Arial"/>
          <w:sz w:val="18"/>
          <w:szCs w:val="18"/>
          <w:color w:val="auto"/>
        </w:rPr>
        <w:t>The discount rate assumptions used for pension accounting reflect the prevailing rates available on high-quality, fixed-income debt instruments with terms that match the average expected duration of the Company’s defined benefit pension plan obligations.</w:t>
      </w:r>
    </w:p>
    <w:p>
      <w:pPr>
        <w:spacing w:after="0" w:line="170" w:lineRule="exact"/>
        <w:rPr>
          <w:sz w:val="20"/>
          <w:szCs w:val="20"/>
          <w:color w:val="auto"/>
        </w:rPr>
      </w:pPr>
    </w:p>
    <w:p>
      <w:pPr>
        <w:jc w:val="both"/>
        <w:ind w:right="80" w:firstLine="648"/>
        <w:spacing w:after="0" w:line="259" w:lineRule="auto"/>
        <w:rPr>
          <w:sz w:val="20"/>
          <w:szCs w:val="20"/>
          <w:color w:val="auto"/>
        </w:rPr>
      </w:pPr>
      <w:r>
        <w:rPr>
          <w:rFonts w:ascii="Arial" w:cs="Arial" w:eastAsia="Arial" w:hAnsi="Arial"/>
          <w:sz w:val="18"/>
          <w:szCs w:val="18"/>
          <w:color w:val="auto"/>
        </w:rPr>
        <w:t>The Company’s mix of pension plan investments among asset classes also affects the long-term expected rate of return on plan assets. As of December 31, 2021, the Company’s actual asset mix approximated its target mix. Differences between actual and expected returns are recognized in the calculation of net periodic pension cost over the average remaining expected future working lifetime, which is approximately 8 years of active plan participants.</w:t>
      </w:r>
    </w:p>
    <w:p>
      <w:pPr>
        <w:spacing w:after="0" w:line="187" w:lineRule="exact"/>
        <w:rPr>
          <w:sz w:val="20"/>
          <w:szCs w:val="20"/>
          <w:color w:val="auto"/>
        </w:rPr>
      </w:pPr>
    </w:p>
    <w:p>
      <w:pPr>
        <w:ind w:left="660"/>
        <w:spacing w:after="0"/>
        <w:rPr>
          <w:sz w:val="20"/>
          <w:szCs w:val="20"/>
          <w:color w:val="auto"/>
        </w:rPr>
      </w:pPr>
      <w:r>
        <w:rPr>
          <w:rFonts w:ascii="Arial" w:cs="Arial" w:eastAsia="Arial" w:hAnsi="Arial"/>
          <w:sz w:val="16"/>
          <w:szCs w:val="16"/>
          <w:color w:val="auto"/>
        </w:rPr>
        <w:t>The fair value and asset allocations of the Company’s pension benefits as of December 31, 2021 and 2020 measurement dates were as follows:</w:t>
      </w:r>
    </w:p>
    <w:p>
      <w:pPr>
        <w:spacing w:after="0" w:line="244" w:lineRule="exact"/>
        <w:rPr>
          <w:sz w:val="20"/>
          <w:szCs w:val="20"/>
          <w:color w:val="auto"/>
        </w:rPr>
      </w:pPr>
    </w:p>
    <w:tbl>
      <w:tblPr>
        <w:tblLayout w:type="fixed"/>
        <w:tblInd w:w="660" w:type="dxa"/>
        <w:tblCellMar>
          <w:top w:w="0" w:type="dxa"/>
          <w:left w:w="0" w:type="dxa"/>
          <w:bottom w:w="0" w:type="dxa"/>
          <w:right w:w="0" w:type="dxa"/>
        </w:tblCellMar>
      </w:tblPr>
      <w:tr>
        <w:trPr>
          <w:trHeight w:val="234"/>
        </w:trPr>
        <w:tc>
          <w:tcPr>
            <w:tcW w:w="3900" w:type="dxa"/>
            <w:vAlign w:val="bottom"/>
          </w:tcPr>
          <w:p>
            <w:pPr>
              <w:spacing w:after="0"/>
              <w:rPr>
                <w:sz w:val="20"/>
                <w:szCs w:val="20"/>
                <w:color w:val="auto"/>
              </w:rPr>
            </w:pPr>
          </w:p>
        </w:tc>
        <w:tc>
          <w:tcPr>
            <w:tcW w:w="1320" w:type="dxa"/>
            <w:vAlign w:val="bottom"/>
          </w:tcPr>
          <w:p>
            <w:pPr>
              <w:spacing w:after="0"/>
              <w:rPr>
                <w:sz w:val="20"/>
                <w:szCs w:val="20"/>
                <w:color w:val="auto"/>
              </w:rPr>
            </w:pPr>
          </w:p>
        </w:tc>
        <w:tc>
          <w:tcPr>
            <w:tcW w:w="380" w:type="dxa"/>
            <w:vAlign w:val="bottom"/>
            <w:tcBorders>
              <w:bottom w:val="single" w:sz="8" w:color="auto"/>
            </w:tcBorders>
          </w:tcPr>
          <w:p>
            <w:pPr>
              <w:spacing w:after="0"/>
              <w:rPr>
                <w:sz w:val="20"/>
                <w:szCs w:val="20"/>
                <w:color w:val="auto"/>
              </w:rPr>
            </w:pPr>
          </w:p>
        </w:tc>
        <w:tc>
          <w:tcPr>
            <w:tcW w:w="880" w:type="dxa"/>
            <w:vAlign w:val="bottom"/>
            <w:tcBorders>
              <w:bottom w:val="single" w:sz="8" w:color="auto"/>
            </w:tcBorders>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420" w:type="dxa"/>
            <w:vAlign w:val="bottom"/>
            <w:tcBorders>
              <w:bottom w:val="single" w:sz="8" w:color="auto"/>
            </w:tcBorders>
          </w:tcPr>
          <w:p>
            <w:pPr>
              <w:spacing w:after="0"/>
              <w:rPr>
                <w:sz w:val="20"/>
                <w:szCs w:val="20"/>
                <w:color w:val="auto"/>
              </w:rPr>
            </w:pPr>
          </w:p>
        </w:tc>
        <w:tc>
          <w:tcPr>
            <w:tcW w:w="1520" w:type="dxa"/>
            <w:vAlign w:val="bottom"/>
            <w:tcBorders>
              <w:bottom w:val="single" w:sz="8" w:color="auto"/>
            </w:tcBorders>
            <w:gridSpan w:val="3"/>
          </w:tcPr>
          <w:p>
            <w:pPr>
              <w:jc w:val="right"/>
              <w:ind w:right="50"/>
              <w:spacing w:after="0"/>
              <w:rPr>
                <w:sz w:val="20"/>
                <w:szCs w:val="20"/>
                <w:color w:val="auto"/>
              </w:rPr>
            </w:pPr>
            <w:r>
              <w:rPr>
                <w:rFonts w:ascii="Arial" w:cs="Arial" w:eastAsia="Arial" w:hAnsi="Arial"/>
                <w:sz w:val="18"/>
                <w:szCs w:val="18"/>
                <w:b w:val="1"/>
                <w:bCs w:val="1"/>
                <w:color w:val="auto"/>
              </w:rPr>
              <w:t>December 31,</w:t>
            </w:r>
          </w:p>
        </w:tc>
        <w:tc>
          <w:tcPr>
            <w:tcW w:w="720" w:type="dxa"/>
            <w:vAlign w:val="bottom"/>
            <w:tcBorders>
              <w:bottom w:val="single" w:sz="8" w:color="auto"/>
            </w:tcBorders>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480" w:type="dxa"/>
            <w:vAlign w:val="bottom"/>
            <w:tcBorders>
              <w:bottom w:val="single" w:sz="8" w:color="auto"/>
            </w:tcBorders>
          </w:tcPr>
          <w:p>
            <w:pPr>
              <w:spacing w:after="0"/>
              <w:rPr>
                <w:sz w:val="20"/>
                <w:szCs w:val="20"/>
                <w:color w:val="auto"/>
              </w:rPr>
            </w:pPr>
          </w:p>
        </w:tc>
        <w:tc>
          <w:tcPr>
            <w:tcW w:w="840" w:type="dxa"/>
            <w:vAlign w:val="bottom"/>
            <w:tcBorders>
              <w:bottom w:val="single" w:sz="8" w:color="auto"/>
            </w:tcBorders>
          </w:tcPr>
          <w:p>
            <w:pPr>
              <w:spacing w:after="0"/>
              <w:rPr>
                <w:sz w:val="20"/>
                <w:szCs w:val="20"/>
                <w:color w:val="auto"/>
              </w:rPr>
            </w:pPr>
          </w:p>
        </w:tc>
      </w:tr>
      <w:tr>
        <w:trPr>
          <w:trHeight w:val="209"/>
        </w:trPr>
        <w:tc>
          <w:tcPr>
            <w:tcW w:w="3900" w:type="dxa"/>
            <w:vAlign w:val="bottom"/>
          </w:tcPr>
          <w:p>
            <w:pPr>
              <w:spacing w:after="0"/>
              <w:rPr>
                <w:sz w:val="20"/>
                <w:szCs w:val="20"/>
                <w:color w:val="auto"/>
              </w:rPr>
            </w:pPr>
            <w:r>
              <w:rPr>
                <w:rFonts w:ascii="Arial" w:cs="Arial" w:eastAsia="Arial" w:hAnsi="Arial"/>
                <w:sz w:val="18"/>
                <w:szCs w:val="18"/>
                <w:color w:val="auto"/>
              </w:rPr>
              <w:t>(in thousands)</w:t>
            </w:r>
          </w:p>
        </w:tc>
        <w:tc>
          <w:tcPr>
            <w:tcW w:w="1320" w:type="dxa"/>
            <w:vAlign w:val="bottom"/>
          </w:tcPr>
          <w:p>
            <w:pPr>
              <w:spacing w:after="0"/>
              <w:rPr>
                <w:sz w:val="18"/>
                <w:szCs w:val="18"/>
                <w:color w:val="auto"/>
              </w:rPr>
            </w:pPr>
          </w:p>
        </w:tc>
        <w:tc>
          <w:tcPr>
            <w:tcW w:w="380" w:type="dxa"/>
            <w:vAlign w:val="bottom"/>
            <w:tcBorders>
              <w:bottom w:val="single" w:sz="8" w:color="auto"/>
            </w:tcBorders>
          </w:tcPr>
          <w:p>
            <w:pPr>
              <w:spacing w:after="0"/>
              <w:rPr>
                <w:sz w:val="18"/>
                <w:szCs w:val="18"/>
                <w:color w:val="auto"/>
              </w:rPr>
            </w:pPr>
          </w:p>
        </w:tc>
        <w:tc>
          <w:tcPr>
            <w:tcW w:w="1400" w:type="dxa"/>
            <w:vAlign w:val="bottom"/>
            <w:tcBorders>
              <w:bottom w:val="single" w:sz="8" w:color="auto"/>
            </w:tcBorders>
            <w:gridSpan w:val="3"/>
          </w:tcPr>
          <w:p>
            <w:pPr>
              <w:jc w:val="right"/>
              <w:ind w:right="340"/>
              <w:spacing w:after="0"/>
              <w:rPr>
                <w:sz w:val="20"/>
                <w:szCs w:val="20"/>
                <w:color w:val="auto"/>
              </w:rPr>
            </w:pPr>
            <w:r>
              <w:rPr>
                <w:rFonts w:ascii="Arial" w:cs="Arial" w:eastAsia="Arial" w:hAnsi="Arial"/>
                <w:sz w:val="18"/>
                <w:szCs w:val="18"/>
                <w:b w:val="1"/>
                <w:bCs w:val="1"/>
                <w:color w:val="auto"/>
              </w:rPr>
              <w:t>2021</w:t>
            </w:r>
          </w:p>
        </w:tc>
        <w:tc>
          <w:tcPr>
            <w:tcW w:w="900" w:type="dxa"/>
            <w:vAlign w:val="bottom"/>
            <w:tcBorders>
              <w:bottom w:val="single" w:sz="8" w:color="auto"/>
            </w:tcBorders>
          </w:tcPr>
          <w:p>
            <w:pPr>
              <w:spacing w:after="0"/>
              <w:rPr>
                <w:sz w:val="18"/>
                <w:szCs w:val="18"/>
                <w:color w:val="auto"/>
              </w:rPr>
            </w:pPr>
          </w:p>
        </w:tc>
        <w:tc>
          <w:tcPr>
            <w:tcW w:w="80" w:type="dxa"/>
            <w:vAlign w:val="bottom"/>
          </w:tcPr>
          <w:p>
            <w:pPr>
              <w:spacing w:after="0"/>
              <w:rPr>
                <w:sz w:val="18"/>
                <w:szCs w:val="18"/>
                <w:color w:val="auto"/>
              </w:rPr>
            </w:pPr>
          </w:p>
        </w:tc>
        <w:tc>
          <w:tcPr>
            <w:tcW w:w="540" w:type="dxa"/>
            <w:vAlign w:val="bottom"/>
            <w:tcBorders>
              <w:bottom w:val="single" w:sz="8" w:color="auto"/>
            </w:tcBorders>
          </w:tcPr>
          <w:p>
            <w:pPr>
              <w:spacing w:after="0"/>
              <w:rPr>
                <w:sz w:val="18"/>
                <w:szCs w:val="18"/>
                <w:color w:val="auto"/>
              </w:rPr>
            </w:pPr>
          </w:p>
        </w:tc>
        <w:tc>
          <w:tcPr>
            <w:tcW w:w="1300" w:type="dxa"/>
            <w:vAlign w:val="bottom"/>
            <w:tcBorders>
              <w:bottom w:val="single" w:sz="8" w:color="auto"/>
            </w:tcBorders>
            <w:gridSpan w:val="3"/>
          </w:tcPr>
          <w:p>
            <w:pPr>
              <w:jc w:val="right"/>
              <w:ind w:right="400"/>
              <w:spacing w:after="0"/>
              <w:rPr>
                <w:sz w:val="20"/>
                <w:szCs w:val="20"/>
                <w:color w:val="auto"/>
              </w:rPr>
            </w:pPr>
            <w:r>
              <w:rPr>
                <w:rFonts w:ascii="Arial" w:cs="Arial" w:eastAsia="Arial" w:hAnsi="Arial"/>
                <w:sz w:val="18"/>
                <w:szCs w:val="18"/>
                <w:b w:val="1"/>
                <w:bCs w:val="1"/>
                <w:color w:val="auto"/>
              </w:rPr>
              <w:t>2020</w:t>
            </w:r>
          </w:p>
        </w:tc>
        <w:tc>
          <w:tcPr>
            <w:tcW w:w="840" w:type="dxa"/>
            <w:vAlign w:val="bottom"/>
            <w:tcBorders>
              <w:bottom w:val="single" w:sz="8" w:color="auto"/>
            </w:tcBorders>
          </w:tcPr>
          <w:p>
            <w:pPr>
              <w:spacing w:after="0"/>
              <w:rPr>
                <w:sz w:val="18"/>
                <w:szCs w:val="18"/>
                <w:color w:val="auto"/>
              </w:rPr>
            </w:pPr>
          </w:p>
        </w:tc>
      </w:tr>
      <w:tr>
        <w:trPr>
          <w:trHeight w:val="209"/>
        </w:trPr>
        <w:tc>
          <w:tcPr>
            <w:tcW w:w="3900" w:type="dxa"/>
            <w:vAlign w:val="bottom"/>
            <w:shd w:val="clear" w:color="auto" w:fill="CCEEFF"/>
          </w:tcPr>
          <w:p>
            <w:pPr>
              <w:spacing w:after="0"/>
              <w:rPr>
                <w:sz w:val="20"/>
                <w:szCs w:val="20"/>
                <w:color w:val="auto"/>
              </w:rPr>
            </w:pPr>
            <w:r>
              <w:rPr>
                <w:rFonts w:ascii="Arial" w:cs="Arial" w:eastAsia="Arial" w:hAnsi="Arial"/>
                <w:sz w:val="18"/>
                <w:szCs w:val="18"/>
                <w:color w:val="auto"/>
              </w:rPr>
              <w:t>Asset category:</w:t>
            </w:r>
          </w:p>
        </w:tc>
        <w:tc>
          <w:tcPr>
            <w:tcW w:w="132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r>
      <w:tr>
        <w:trPr>
          <w:trHeight w:val="216"/>
        </w:trPr>
        <w:tc>
          <w:tcPr>
            <w:tcW w:w="3900" w:type="dxa"/>
            <w:vAlign w:val="bottom"/>
          </w:tcPr>
          <w:p>
            <w:pPr>
              <w:ind w:left="160"/>
              <w:spacing w:after="0"/>
              <w:rPr>
                <w:sz w:val="20"/>
                <w:szCs w:val="20"/>
                <w:color w:val="auto"/>
              </w:rPr>
            </w:pPr>
            <w:r>
              <w:rPr>
                <w:rFonts w:ascii="Arial" w:cs="Arial" w:eastAsia="Arial" w:hAnsi="Arial"/>
                <w:sz w:val="18"/>
                <w:szCs w:val="18"/>
                <w:color w:val="auto"/>
              </w:rPr>
              <w:t>Equity securities</w:t>
            </w:r>
          </w:p>
        </w:tc>
        <w:tc>
          <w:tcPr>
            <w:tcW w:w="1700" w:type="dxa"/>
            <w:vAlign w:val="bottom"/>
            <w:gridSpan w:val="2"/>
          </w:tcPr>
          <w:p>
            <w:pPr>
              <w:jc w:val="right"/>
              <w:ind w:right="190"/>
              <w:spacing w:after="0"/>
              <w:rPr>
                <w:sz w:val="20"/>
                <w:szCs w:val="20"/>
                <w:color w:val="auto"/>
              </w:rPr>
            </w:pPr>
            <w:r>
              <w:rPr>
                <w:rFonts w:ascii="Arial" w:cs="Arial" w:eastAsia="Arial" w:hAnsi="Arial"/>
                <w:sz w:val="18"/>
                <w:szCs w:val="18"/>
                <w:color w:val="auto"/>
              </w:rPr>
              <w:t>$</w:t>
            </w:r>
          </w:p>
        </w:tc>
        <w:tc>
          <w:tcPr>
            <w:tcW w:w="880" w:type="dxa"/>
            <w:vAlign w:val="bottom"/>
          </w:tcPr>
          <w:p>
            <w:pPr>
              <w:jc w:val="right"/>
              <w:ind w:right="10"/>
              <w:spacing w:after="0"/>
              <w:rPr>
                <w:sz w:val="20"/>
                <w:szCs w:val="20"/>
                <w:color w:val="auto"/>
              </w:rPr>
            </w:pPr>
            <w:r>
              <w:rPr>
                <w:rFonts w:ascii="Arial" w:cs="Arial" w:eastAsia="Arial" w:hAnsi="Arial"/>
                <w:sz w:val="18"/>
                <w:szCs w:val="18"/>
                <w:color w:val="auto"/>
              </w:rPr>
              <w:t>14,295</w:t>
            </w:r>
          </w:p>
        </w:tc>
        <w:tc>
          <w:tcPr>
            <w:tcW w:w="10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52%</w:t>
            </w:r>
          </w:p>
        </w:tc>
        <w:tc>
          <w:tcPr>
            <w:tcW w:w="620" w:type="dxa"/>
            <w:vAlign w:val="bottom"/>
            <w:gridSpan w:val="2"/>
          </w:tcPr>
          <w:p>
            <w:pPr>
              <w:jc w:val="right"/>
              <w:ind w:right="350"/>
              <w:spacing w:after="0"/>
              <w:rPr>
                <w:sz w:val="20"/>
                <w:szCs w:val="20"/>
                <w:color w:val="auto"/>
              </w:rPr>
            </w:pPr>
            <w:r>
              <w:rPr>
                <w:rFonts w:ascii="Arial" w:cs="Arial" w:eastAsia="Arial" w:hAnsi="Arial"/>
                <w:sz w:val="18"/>
                <w:szCs w:val="18"/>
                <w:color w:val="auto"/>
              </w:rPr>
              <w:t>$</w:t>
            </w:r>
          </w:p>
        </w:tc>
        <w:tc>
          <w:tcPr>
            <w:tcW w:w="720" w:type="dxa"/>
            <w:vAlign w:val="bottom"/>
          </w:tcPr>
          <w:p>
            <w:pPr>
              <w:jc w:val="right"/>
              <w:ind w:right="10"/>
              <w:spacing w:after="0"/>
              <w:rPr>
                <w:sz w:val="20"/>
                <w:szCs w:val="20"/>
                <w:color w:val="auto"/>
              </w:rPr>
            </w:pPr>
            <w:r>
              <w:rPr>
                <w:rFonts w:ascii="Arial" w:cs="Arial" w:eastAsia="Arial" w:hAnsi="Arial"/>
                <w:sz w:val="18"/>
                <w:szCs w:val="18"/>
                <w:color w:val="auto"/>
              </w:rPr>
              <w:t>12,047</w:t>
            </w:r>
          </w:p>
        </w:tc>
        <w:tc>
          <w:tcPr>
            <w:tcW w:w="10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50%</w:t>
            </w:r>
          </w:p>
        </w:tc>
      </w:tr>
      <w:tr>
        <w:trPr>
          <w:trHeight w:val="216"/>
        </w:trPr>
        <w:tc>
          <w:tcPr>
            <w:tcW w:w="3900" w:type="dxa"/>
            <w:vAlign w:val="bottom"/>
            <w:shd w:val="clear" w:color="auto" w:fill="CCEEFF"/>
          </w:tcPr>
          <w:p>
            <w:pPr>
              <w:ind w:left="160"/>
              <w:spacing w:after="0"/>
              <w:rPr>
                <w:sz w:val="20"/>
                <w:szCs w:val="20"/>
                <w:color w:val="auto"/>
              </w:rPr>
            </w:pPr>
            <w:r>
              <w:rPr>
                <w:rFonts w:ascii="Arial" w:cs="Arial" w:eastAsia="Arial" w:hAnsi="Arial"/>
                <w:sz w:val="18"/>
                <w:szCs w:val="18"/>
                <w:color w:val="auto"/>
              </w:rPr>
              <w:t>Debt securities</w:t>
            </w:r>
          </w:p>
        </w:tc>
        <w:tc>
          <w:tcPr>
            <w:tcW w:w="132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88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4,720</w:t>
            </w:r>
          </w:p>
        </w:tc>
        <w:tc>
          <w:tcPr>
            <w:tcW w:w="10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w:t>
            </w:r>
          </w:p>
        </w:tc>
        <w:tc>
          <w:tcPr>
            <w:tcW w:w="8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72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4,605</w:t>
            </w:r>
          </w:p>
        </w:tc>
        <w:tc>
          <w:tcPr>
            <w:tcW w:w="10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w:t>
            </w:r>
          </w:p>
        </w:tc>
      </w:tr>
      <w:tr>
        <w:trPr>
          <w:trHeight w:val="216"/>
        </w:trPr>
        <w:tc>
          <w:tcPr>
            <w:tcW w:w="3900" w:type="dxa"/>
            <w:vAlign w:val="bottom"/>
          </w:tcPr>
          <w:p>
            <w:pPr>
              <w:ind w:left="160"/>
              <w:spacing w:after="0"/>
              <w:rPr>
                <w:sz w:val="20"/>
                <w:szCs w:val="20"/>
                <w:color w:val="auto"/>
              </w:rPr>
            </w:pPr>
            <w:r>
              <w:rPr>
                <w:rFonts w:ascii="Arial" w:cs="Arial" w:eastAsia="Arial" w:hAnsi="Arial"/>
                <w:sz w:val="18"/>
                <w:szCs w:val="18"/>
                <w:color w:val="auto"/>
              </w:rPr>
              <w:t>Liability driven investment funds</w:t>
            </w:r>
          </w:p>
        </w:tc>
        <w:tc>
          <w:tcPr>
            <w:tcW w:w="132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880" w:type="dxa"/>
            <w:vAlign w:val="bottom"/>
          </w:tcPr>
          <w:p>
            <w:pPr>
              <w:jc w:val="right"/>
              <w:ind w:right="10"/>
              <w:spacing w:after="0"/>
              <w:rPr>
                <w:sz w:val="20"/>
                <w:szCs w:val="20"/>
                <w:color w:val="auto"/>
              </w:rPr>
            </w:pPr>
            <w:r>
              <w:rPr>
                <w:rFonts w:ascii="Arial" w:cs="Arial" w:eastAsia="Arial" w:hAnsi="Arial"/>
                <w:sz w:val="18"/>
                <w:szCs w:val="18"/>
                <w:color w:val="auto"/>
              </w:rPr>
              <w:t>5,722</w:t>
            </w:r>
          </w:p>
        </w:tc>
        <w:tc>
          <w:tcPr>
            <w:tcW w:w="10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21%</w:t>
            </w:r>
          </w:p>
        </w:tc>
        <w:tc>
          <w:tcPr>
            <w:tcW w:w="8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720" w:type="dxa"/>
            <w:vAlign w:val="bottom"/>
          </w:tcPr>
          <w:p>
            <w:pPr>
              <w:jc w:val="right"/>
              <w:ind w:right="10"/>
              <w:spacing w:after="0"/>
              <w:rPr>
                <w:sz w:val="20"/>
                <w:szCs w:val="20"/>
                <w:color w:val="auto"/>
              </w:rPr>
            </w:pPr>
            <w:r>
              <w:rPr>
                <w:rFonts w:ascii="Arial" w:cs="Arial" w:eastAsia="Arial" w:hAnsi="Arial"/>
                <w:sz w:val="18"/>
                <w:szCs w:val="18"/>
                <w:color w:val="auto"/>
              </w:rPr>
              <w:t>5,168</w:t>
            </w:r>
          </w:p>
        </w:tc>
        <w:tc>
          <w:tcPr>
            <w:tcW w:w="10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22%</w:t>
            </w:r>
          </w:p>
        </w:tc>
      </w:tr>
      <w:tr>
        <w:trPr>
          <w:trHeight w:val="216"/>
        </w:trPr>
        <w:tc>
          <w:tcPr>
            <w:tcW w:w="3900" w:type="dxa"/>
            <w:vAlign w:val="bottom"/>
            <w:shd w:val="clear" w:color="auto" w:fill="CCEEFF"/>
          </w:tcPr>
          <w:p>
            <w:pPr>
              <w:ind w:left="160"/>
              <w:spacing w:after="0"/>
              <w:rPr>
                <w:sz w:val="20"/>
                <w:szCs w:val="20"/>
                <w:color w:val="auto"/>
              </w:rPr>
            </w:pPr>
            <w:r>
              <w:rPr>
                <w:rFonts w:ascii="Arial" w:cs="Arial" w:eastAsia="Arial" w:hAnsi="Arial"/>
                <w:sz w:val="18"/>
                <w:szCs w:val="18"/>
                <w:color w:val="auto"/>
              </w:rPr>
              <w:t>Cash and cash equivalents</w:t>
            </w:r>
          </w:p>
        </w:tc>
        <w:tc>
          <w:tcPr>
            <w:tcW w:w="132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88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1,907</w:t>
            </w:r>
          </w:p>
        </w:tc>
        <w:tc>
          <w:tcPr>
            <w:tcW w:w="10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w:t>
            </w:r>
          </w:p>
        </w:tc>
        <w:tc>
          <w:tcPr>
            <w:tcW w:w="8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72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1,860</w:t>
            </w:r>
          </w:p>
        </w:tc>
        <w:tc>
          <w:tcPr>
            <w:tcW w:w="10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w:t>
            </w:r>
          </w:p>
        </w:tc>
      </w:tr>
      <w:tr>
        <w:trPr>
          <w:trHeight w:val="216"/>
        </w:trPr>
        <w:tc>
          <w:tcPr>
            <w:tcW w:w="3900" w:type="dxa"/>
            <w:vAlign w:val="bottom"/>
          </w:tcPr>
          <w:p>
            <w:pPr>
              <w:ind w:left="160"/>
              <w:spacing w:after="0"/>
              <w:rPr>
                <w:sz w:val="20"/>
                <w:szCs w:val="20"/>
                <w:color w:val="auto"/>
              </w:rPr>
            </w:pPr>
            <w:r>
              <w:rPr>
                <w:rFonts w:ascii="Arial" w:cs="Arial" w:eastAsia="Arial" w:hAnsi="Arial"/>
                <w:sz w:val="18"/>
                <w:szCs w:val="18"/>
                <w:color w:val="auto"/>
              </w:rPr>
              <w:t>Other</w:t>
            </w:r>
          </w:p>
        </w:tc>
        <w:tc>
          <w:tcPr>
            <w:tcW w:w="1320" w:type="dxa"/>
            <w:vAlign w:val="bottom"/>
          </w:tcPr>
          <w:p>
            <w:pPr>
              <w:spacing w:after="0"/>
              <w:rPr>
                <w:sz w:val="18"/>
                <w:szCs w:val="18"/>
                <w:color w:val="auto"/>
              </w:rPr>
            </w:pPr>
          </w:p>
        </w:tc>
        <w:tc>
          <w:tcPr>
            <w:tcW w:w="380" w:type="dxa"/>
            <w:vAlign w:val="bottom"/>
            <w:tcBorders>
              <w:bottom w:val="single" w:sz="8" w:color="auto"/>
            </w:tcBorders>
          </w:tcPr>
          <w:p>
            <w:pPr>
              <w:spacing w:after="0"/>
              <w:rPr>
                <w:sz w:val="18"/>
                <w:szCs w:val="18"/>
                <w:color w:val="auto"/>
              </w:rPr>
            </w:pPr>
          </w:p>
        </w:tc>
        <w:tc>
          <w:tcPr>
            <w:tcW w:w="88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608</w:t>
            </w:r>
          </w:p>
        </w:tc>
        <w:tc>
          <w:tcPr>
            <w:tcW w:w="100" w:type="dxa"/>
            <w:vAlign w:val="bottom"/>
          </w:tcPr>
          <w:p>
            <w:pPr>
              <w:spacing w:after="0"/>
              <w:rPr>
                <w:sz w:val="18"/>
                <w:szCs w:val="18"/>
                <w:color w:val="auto"/>
              </w:rPr>
            </w:pPr>
          </w:p>
        </w:tc>
        <w:tc>
          <w:tcPr>
            <w:tcW w:w="420" w:type="dxa"/>
            <w:vAlign w:val="bottom"/>
            <w:tcBorders>
              <w:bottom w:val="single" w:sz="8" w:color="auto"/>
            </w:tcBorders>
          </w:tcPr>
          <w:p>
            <w:pPr>
              <w:spacing w:after="0"/>
              <w:rPr>
                <w:sz w:val="18"/>
                <w:szCs w:val="18"/>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w:t>
            </w:r>
          </w:p>
        </w:tc>
        <w:tc>
          <w:tcPr>
            <w:tcW w:w="80" w:type="dxa"/>
            <w:vAlign w:val="bottom"/>
          </w:tcPr>
          <w:p>
            <w:pPr>
              <w:spacing w:after="0"/>
              <w:rPr>
                <w:sz w:val="18"/>
                <w:szCs w:val="18"/>
                <w:color w:val="auto"/>
              </w:rPr>
            </w:pPr>
          </w:p>
        </w:tc>
        <w:tc>
          <w:tcPr>
            <w:tcW w:w="540" w:type="dxa"/>
            <w:vAlign w:val="bottom"/>
            <w:tcBorders>
              <w:bottom w:val="single" w:sz="8" w:color="auto"/>
            </w:tcBorders>
          </w:tcPr>
          <w:p>
            <w:pPr>
              <w:spacing w:after="0"/>
              <w:rPr>
                <w:sz w:val="18"/>
                <w:szCs w:val="18"/>
                <w:color w:val="auto"/>
              </w:rPr>
            </w:pPr>
          </w:p>
        </w:tc>
        <w:tc>
          <w:tcPr>
            <w:tcW w:w="72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246</w:t>
            </w:r>
          </w:p>
        </w:tc>
        <w:tc>
          <w:tcPr>
            <w:tcW w:w="100" w:type="dxa"/>
            <w:vAlign w:val="bottom"/>
          </w:tcPr>
          <w:p>
            <w:pPr>
              <w:spacing w:after="0"/>
              <w:rPr>
                <w:sz w:val="18"/>
                <w:szCs w:val="18"/>
                <w:color w:val="auto"/>
              </w:rPr>
            </w:pPr>
          </w:p>
        </w:tc>
        <w:tc>
          <w:tcPr>
            <w:tcW w:w="480" w:type="dxa"/>
            <w:vAlign w:val="bottom"/>
            <w:tcBorders>
              <w:bottom w:val="single" w:sz="8" w:color="auto"/>
            </w:tcBorders>
          </w:tcPr>
          <w:p>
            <w:pPr>
              <w:spacing w:after="0"/>
              <w:rPr>
                <w:sz w:val="18"/>
                <w:szCs w:val="18"/>
                <w:color w:val="auto"/>
              </w:rPr>
            </w:pP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w:t>
            </w:r>
          </w:p>
        </w:tc>
      </w:tr>
      <w:tr>
        <w:trPr>
          <w:trHeight w:val="250"/>
        </w:trPr>
        <w:tc>
          <w:tcPr>
            <w:tcW w:w="3900" w:type="dxa"/>
            <w:vAlign w:val="bottom"/>
            <w:tcBorders>
              <w:bottom w:val="single" w:sz="8" w:color="CCEEFF"/>
            </w:tcBorders>
            <w:shd w:val="clear" w:color="auto" w:fill="CCEEFF"/>
          </w:tcPr>
          <w:p>
            <w:pPr>
              <w:ind w:left="160"/>
              <w:spacing w:after="0"/>
              <w:rPr>
                <w:sz w:val="20"/>
                <w:szCs w:val="20"/>
                <w:color w:val="auto"/>
              </w:rPr>
            </w:pPr>
            <w:r>
              <w:rPr>
                <w:rFonts w:ascii="Arial" w:cs="Arial" w:eastAsia="Arial" w:hAnsi="Arial"/>
                <w:sz w:val="18"/>
                <w:szCs w:val="18"/>
                <w:color w:val="auto"/>
              </w:rPr>
              <w:t>Total</w:t>
            </w:r>
          </w:p>
        </w:tc>
        <w:tc>
          <w:tcPr>
            <w:tcW w:w="132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auto"/>
            </w:tcBorders>
            <w:shd w:val="clear" w:color="auto" w:fill="CCEEFF"/>
          </w:tcPr>
          <w:p>
            <w:pPr>
              <w:jc w:val="right"/>
              <w:ind w:right="190"/>
              <w:spacing w:after="0"/>
              <w:rPr>
                <w:sz w:val="20"/>
                <w:szCs w:val="20"/>
                <w:color w:val="auto"/>
              </w:rPr>
            </w:pPr>
            <w:r>
              <w:rPr>
                <w:rFonts w:ascii="Arial" w:cs="Arial" w:eastAsia="Arial" w:hAnsi="Arial"/>
                <w:sz w:val="18"/>
                <w:szCs w:val="18"/>
                <w:color w:val="auto"/>
                <w:w w:val="79"/>
              </w:rPr>
              <w:t>$</w:t>
            </w:r>
          </w:p>
        </w:tc>
        <w:tc>
          <w:tcPr>
            <w:tcW w:w="88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27,252</w:t>
            </w:r>
          </w:p>
        </w:tc>
        <w:tc>
          <w:tcPr>
            <w:tcW w:w="100" w:type="dxa"/>
            <w:vAlign w:val="bottom"/>
            <w:tcBorders>
              <w:bottom w:val="single" w:sz="8" w:color="CCEEFF"/>
            </w:tcBorders>
            <w:shd w:val="clear" w:color="auto" w:fill="CCEEFF"/>
          </w:tcPr>
          <w:p>
            <w:pPr>
              <w:spacing w:after="0"/>
              <w:rPr>
                <w:sz w:val="21"/>
                <w:szCs w:val="21"/>
                <w:color w:val="auto"/>
              </w:rPr>
            </w:pPr>
          </w:p>
        </w:tc>
        <w:tc>
          <w:tcPr>
            <w:tcW w:w="420" w:type="dxa"/>
            <w:vAlign w:val="bottom"/>
            <w:tcBorders>
              <w:bottom w:val="single" w:sz="8" w:color="auto"/>
            </w:tcBorders>
            <w:shd w:val="clear" w:color="auto" w:fill="CCEEFF"/>
          </w:tcPr>
          <w:p>
            <w:pPr>
              <w:spacing w:after="0"/>
              <w:rPr>
                <w:sz w:val="21"/>
                <w:szCs w:val="21"/>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100%</w:t>
            </w:r>
          </w:p>
        </w:tc>
        <w:tc>
          <w:tcPr>
            <w:tcW w:w="80" w:type="dxa"/>
            <w:vAlign w:val="bottom"/>
            <w:tcBorders>
              <w:bottom w:val="single" w:sz="8" w:color="CCEEFF"/>
            </w:tcBorders>
            <w:shd w:val="clear" w:color="auto" w:fill="CCEEFF"/>
          </w:tcPr>
          <w:p>
            <w:pPr>
              <w:spacing w:after="0"/>
              <w:rPr>
                <w:sz w:val="21"/>
                <w:szCs w:val="21"/>
                <w:color w:val="auto"/>
              </w:rPr>
            </w:pPr>
          </w:p>
        </w:tc>
        <w:tc>
          <w:tcPr>
            <w:tcW w:w="540" w:type="dxa"/>
            <w:vAlign w:val="bottom"/>
            <w:tcBorders>
              <w:bottom w:val="single" w:sz="8" w:color="auto"/>
            </w:tcBorders>
            <w:shd w:val="clear" w:color="auto" w:fill="CCEEFF"/>
          </w:tcPr>
          <w:p>
            <w:pPr>
              <w:jc w:val="right"/>
              <w:ind w:right="350"/>
              <w:spacing w:after="0"/>
              <w:rPr>
                <w:sz w:val="20"/>
                <w:szCs w:val="20"/>
                <w:color w:val="auto"/>
              </w:rPr>
            </w:pPr>
            <w:r>
              <w:rPr>
                <w:rFonts w:ascii="Arial" w:cs="Arial" w:eastAsia="Arial" w:hAnsi="Arial"/>
                <w:sz w:val="18"/>
                <w:szCs w:val="18"/>
                <w:color w:val="auto"/>
                <w:w w:val="79"/>
              </w:rPr>
              <w:t>$</w:t>
            </w:r>
          </w:p>
        </w:tc>
        <w:tc>
          <w:tcPr>
            <w:tcW w:w="72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23,926</w:t>
            </w:r>
          </w:p>
        </w:tc>
        <w:tc>
          <w:tcPr>
            <w:tcW w:w="100" w:type="dxa"/>
            <w:vAlign w:val="bottom"/>
            <w:tcBorders>
              <w:bottom w:val="single" w:sz="8" w:color="CCEEFF"/>
            </w:tcBorders>
            <w:shd w:val="clear" w:color="auto" w:fill="CCEEFF"/>
          </w:tcPr>
          <w:p>
            <w:pPr>
              <w:spacing w:after="0"/>
              <w:rPr>
                <w:sz w:val="21"/>
                <w:szCs w:val="21"/>
                <w:color w:val="auto"/>
              </w:rPr>
            </w:pPr>
          </w:p>
        </w:tc>
        <w:tc>
          <w:tcPr>
            <w:tcW w:w="480" w:type="dxa"/>
            <w:vAlign w:val="bottom"/>
            <w:tcBorders>
              <w:bottom w:val="single" w:sz="8" w:color="auto"/>
            </w:tcBorders>
            <w:shd w:val="clear" w:color="auto" w:fill="CCEEFF"/>
          </w:tcPr>
          <w:p>
            <w:pPr>
              <w:spacing w:after="0"/>
              <w:rPr>
                <w:sz w:val="21"/>
                <w:szCs w:val="21"/>
                <w:color w:val="auto"/>
              </w:rPr>
            </w:pPr>
          </w:p>
        </w:tc>
        <w:tc>
          <w:tcPr>
            <w:tcW w:w="8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100%</w:t>
            </w:r>
          </w:p>
        </w:tc>
      </w:tr>
    </w:tbl>
    <w:p>
      <w:pPr>
        <w:spacing w:after="0" w:line="202" w:lineRule="exact"/>
        <w:rPr>
          <w:sz w:val="20"/>
          <w:szCs w:val="20"/>
          <w:color w:val="auto"/>
        </w:rPr>
      </w:pPr>
    </w:p>
    <w:p>
      <w:pPr>
        <w:jc w:val="both"/>
        <w:ind w:right="80" w:firstLine="648"/>
        <w:spacing w:after="0" w:line="277" w:lineRule="auto"/>
        <w:rPr>
          <w:sz w:val="20"/>
          <w:szCs w:val="20"/>
          <w:color w:val="auto"/>
        </w:rPr>
      </w:pPr>
      <w:r>
        <w:rPr>
          <w:rFonts w:ascii="Arial" w:cs="Arial" w:eastAsia="Arial" w:hAnsi="Arial"/>
          <w:sz w:val="18"/>
          <w:szCs w:val="18"/>
          <w:color w:val="auto"/>
        </w:rPr>
        <w:t>Financial reporting standards define a fair value hierarchy that consists of three levels. The fair values of the plan assets by fair value hierarchy level as of December 31, 2021 and 2020, is as follows:</w:t>
      </w:r>
    </w:p>
    <w:p>
      <w:pPr>
        <w:spacing w:after="0" w:line="166" w:lineRule="exact"/>
        <w:rPr>
          <w:sz w:val="20"/>
          <w:szCs w:val="20"/>
          <w:color w:val="auto"/>
        </w:rPr>
      </w:pPr>
    </w:p>
    <w:tbl>
      <w:tblPr>
        <w:tblLayout w:type="fixed"/>
        <w:tblInd w:w="660" w:type="dxa"/>
        <w:tblCellMar>
          <w:top w:w="0" w:type="dxa"/>
          <w:left w:w="0" w:type="dxa"/>
          <w:bottom w:w="0" w:type="dxa"/>
          <w:right w:w="0" w:type="dxa"/>
        </w:tblCellMar>
      </w:tblPr>
      <w:tr>
        <w:trPr>
          <w:trHeight w:val="234"/>
        </w:trPr>
        <w:tc>
          <w:tcPr>
            <w:tcW w:w="7360" w:type="dxa"/>
            <w:vAlign w:val="bottom"/>
          </w:tcPr>
          <w:p>
            <w:pPr>
              <w:spacing w:after="0"/>
              <w:rPr>
                <w:sz w:val="20"/>
                <w:szCs w:val="20"/>
                <w:color w:val="auto"/>
              </w:rPr>
            </w:pPr>
          </w:p>
        </w:tc>
        <w:tc>
          <w:tcPr>
            <w:tcW w:w="340" w:type="dxa"/>
            <w:vAlign w:val="bottom"/>
            <w:tcBorders>
              <w:bottom w:val="single" w:sz="8" w:color="auto"/>
            </w:tcBorders>
          </w:tcPr>
          <w:p>
            <w:pPr>
              <w:spacing w:after="0"/>
              <w:rPr>
                <w:sz w:val="20"/>
                <w:szCs w:val="20"/>
                <w:color w:val="auto"/>
              </w:rPr>
            </w:pPr>
          </w:p>
        </w:tc>
        <w:tc>
          <w:tcPr>
            <w:tcW w:w="1860" w:type="dxa"/>
            <w:vAlign w:val="bottom"/>
            <w:tcBorders>
              <w:bottom w:val="single" w:sz="8" w:color="auto"/>
            </w:tcBorders>
            <w:gridSpan w:val="3"/>
          </w:tcPr>
          <w:p>
            <w:pPr>
              <w:jc w:val="right"/>
              <w:ind w:right="60"/>
              <w:spacing w:after="0"/>
              <w:rPr>
                <w:sz w:val="20"/>
                <w:szCs w:val="20"/>
                <w:color w:val="auto"/>
              </w:rPr>
            </w:pPr>
            <w:r>
              <w:rPr>
                <w:rFonts w:ascii="Arial" w:cs="Arial" w:eastAsia="Arial" w:hAnsi="Arial"/>
                <w:sz w:val="18"/>
                <w:szCs w:val="18"/>
                <w:b w:val="1"/>
                <w:bCs w:val="1"/>
                <w:color w:val="auto"/>
              </w:rPr>
              <w:t>December 31,</w:t>
            </w:r>
          </w:p>
        </w:tc>
        <w:tc>
          <w:tcPr>
            <w:tcW w:w="1100" w:type="dxa"/>
            <w:vAlign w:val="bottom"/>
            <w:tcBorders>
              <w:bottom w:val="single" w:sz="8" w:color="auto"/>
            </w:tcBorders>
          </w:tcPr>
          <w:p>
            <w:pPr>
              <w:spacing w:after="0"/>
              <w:rPr>
                <w:sz w:val="20"/>
                <w:szCs w:val="20"/>
                <w:color w:val="auto"/>
              </w:rPr>
            </w:pPr>
          </w:p>
        </w:tc>
      </w:tr>
      <w:tr>
        <w:trPr>
          <w:trHeight w:val="210"/>
        </w:trPr>
        <w:tc>
          <w:tcPr>
            <w:tcW w:w="7360" w:type="dxa"/>
            <w:vAlign w:val="bottom"/>
          </w:tcPr>
          <w:p>
            <w:pPr>
              <w:spacing w:after="0"/>
              <w:rPr>
                <w:sz w:val="20"/>
                <w:szCs w:val="20"/>
                <w:color w:val="auto"/>
              </w:rPr>
            </w:pPr>
            <w:r>
              <w:rPr>
                <w:rFonts w:ascii="Arial" w:cs="Arial" w:eastAsia="Arial" w:hAnsi="Arial"/>
                <w:sz w:val="18"/>
                <w:szCs w:val="18"/>
                <w:color w:val="auto"/>
              </w:rPr>
              <w:t>(in thousands)</w:t>
            </w:r>
          </w:p>
        </w:tc>
        <w:tc>
          <w:tcPr>
            <w:tcW w:w="340" w:type="dxa"/>
            <w:vAlign w:val="bottom"/>
            <w:tcBorders>
              <w:bottom w:val="single" w:sz="8" w:color="auto"/>
            </w:tcBorders>
          </w:tcPr>
          <w:p>
            <w:pPr>
              <w:spacing w:after="0"/>
              <w:rPr>
                <w:sz w:val="18"/>
                <w:szCs w:val="18"/>
                <w:color w:val="auto"/>
              </w:rPr>
            </w:pPr>
          </w:p>
        </w:tc>
        <w:tc>
          <w:tcPr>
            <w:tcW w:w="1280" w:type="dxa"/>
            <w:vAlign w:val="bottom"/>
            <w:tcBorders>
              <w:bottom w:val="single" w:sz="8" w:color="auto"/>
            </w:tcBorders>
          </w:tcPr>
          <w:p>
            <w:pPr>
              <w:jc w:val="right"/>
              <w:ind w:right="590"/>
              <w:spacing w:after="0"/>
              <w:rPr>
                <w:sz w:val="20"/>
                <w:szCs w:val="20"/>
                <w:color w:val="auto"/>
              </w:rPr>
            </w:pPr>
            <w:r>
              <w:rPr>
                <w:rFonts w:ascii="Arial" w:cs="Arial" w:eastAsia="Arial" w:hAnsi="Arial"/>
                <w:sz w:val="18"/>
                <w:szCs w:val="18"/>
                <w:b w:val="1"/>
                <w:bCs w:val="1"/>
                <w:color w:val="auto"/>
              </w:rPr>
              <w:t>2021</w:t>
            </w:r>
          </w:p>
        </w:tc>
        <w:tc>
          <w:tcPr>
            <w:tcW w:w="100" w:type="dxa"/>
            <w:vAlign w:val="bottom"/>
          </w:tcPr>
          <w:p>
            <w:pPr>
              <w:spacing w:after="0"/>
              <w:rPr>
                <w:sz w:val="18"/>
                <w:szCs w:val="18"/>
                <w:color w:val="auto"/>
              </w:rPr>
            </w:pPr>
          </w:p>
        </w:tc>
        <w:tc>
          <w:tcPr>
            <w:tcW w:w="480" w:type="dxa"/>
            <w:vAlign w:val="bottom"/>
            <w:tcBorders>
              <w:bottom w:val="single" w:sz="8" w:color="auto"/>
            </w:tcBorders>
          </w:tcPr>
          <w:p>
            <w:pPr>
              <w:spacing w:after="0"/>
              <w:rPr>
                <w:sz w:val="18"/>
                <w:szCs w:val="18"/>
                <w:color w:val="auto"/>
              </w:rPr>
            </w:pPr>
          </w:p>
        </w:tc>
        <w:tc>
          <w:tcPr>
            <w:tcW w:w="1100" w:type="dxa"/>
            <w:vAlign w:val="bottom"/>
            <w:tcBorders>
              <w:bottom w:val="single" w:sz="8" w:color="auto"/>
            </w:tcBorders>
          </w:tcPr>
          <w:p>
            <w:pPr>
              <w:jc w:val="right"/>
              <w:ind w:right="570"/>
              <w:spacing w:after="0"/>
              <w:rPr>
                <w:sz w:val="20"/>
                <w:szCs w:val="20"/>
                <w:color w:val="auto"/>
              </w:rPr>
            </w:pPr>
            <w:r>
              <w:rPr>
                <w:rFonts w:ascii="Arial" w:cs="Arial" w:eastAsia="Arial" w:hAnsi="Arial"/>
                <w:sz w:val="18"/>
                <w:szCs w:val="18"/>
                <w:b w:val="1"/>
                <w:bCs w:val="1"/>
                <w:color w:val="auto"/>
              </w:rPr>
              <w:t>2020</w:t>
            </w:r>
          </w:p>
        </w:tc>
      </w:tr>
      <w:tr>
        <w:trPr>
          <w:trHeight w:val="210"/>
        </w:trPr>
        <w:tc>
          <w:tcPr>
            <w:tcW w:w="7360" w:type="dxa"/>
            <w:vAlign w:val="bottom"/>
            <w:shd w:val="clear" w:color="auto" w:fill="CCEEFF"/>
          </w:tcPr>
          <w:p>
            <w:pPr>
              <w:spacing w:after="0"/>
              <w:rPr>
                <w:sz w:val="20"/>
                <w:szCs w:val="20"/>
                <w:color w:val="auto"/>
              </w:rPr>
            </w:pPr>
            <w:r>
              <w:rPr>
                <w:rFonts w:ascii="Arial" w:cs="Arial" w:eastAsia="Arial" w:hAnsi="Arial"/>
                <w:sz w:val="18"/>
                <w:szCs w:val="18"/>
                <w:color w:val="auto"/>
              </w:rPr>
              <w:t>Quoted Prices in Active Markets for Identical Assets (Level 1)</w:t>
            </w:r>
          </w:p>
        </w:tc>
        <w:tc>
          <w:tcPr>
            <w:tcW w:w="340" w:type="dxa"/>
            <w:vAlign w:val="bottom"/>
            <w:shd w:val="clear" w:color="auto" w:fill="CCEEFF"/>
          </w:tcPr>
          <w:p>
            <w:pPr>
              <w:jc w:val="right"/>
              <w:ind w:right="150"/>
              <w:spacing w:after="0"/>
              <w:rPr>
                <w:sz w:val="20"/>
                <w:szCs w:val="20"/>
                <w:color w:val="auto"/>
              </w:rPr>
            </w:pPr>
            <w:r>
              <w:rPr>
                <w:rFonts w:ascii="Arial" w:cs="Arial" w:eastAsia="Arial" w:hAnsi="Arial"/>
                <w:sz w:val="18"/>
                <w:szCs w:val="18"/>
                <w:color w:val="auto"/>
                <w:w w:val="79"/>
              </w:rPr>
              <w:t>$</w:t>
            </w:r>
          </w:p>
        </w:tc>
        <w:tc>
          <w:tcPr>
            <w:tcW w:w="128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1,907</w:t>
            </w:r>
          </w:p>
        </w:tc>
        <w:tc>
          <w:tcPr>
            <w:tcW w:w="58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w:t>
            </w:r>
          </w:p>
        </w:tc>
        <w:tc>
          <w:tcPr>
            <w:tcW w:w="110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1,860</w:t>
            </w:r>
          </w:p>
        </w:tc>
      </w:tr>
      <w:tr>
        <w:trPr>
          <w:trHeight w:val="216"/>
        </w:trPr>
        <w:tc>
          <w:tcPr>
            <w:tcW w:w="7360" w:type="dxa"/>
            <w:vAlign w:val="bottom"/>
          </w:tcPr>
          <w:p>
            <w:pPr>
              <w:spacing w:after="0"/>
              <w:rPr>
                <w:sz w:val="20"/>
                <w:szCs w:val="20"/>
                <w:color w:val="auto"/>
              </w:rPr>
            </w:pPr>
            <w:r>
              <w:rPr>
                <w:rFonts w:ascii="Arial" w:cs="Arial" w:eastAsia="Arial" w:hAnsi="Arial"/>
                <w:sz w:val="18"/>
                <w:szCs w:val="18"/>
                <w:color w:val="auto"/>
              </w:rPr>
              <w:t>Significant Other Observable Inputs (Level 2)</w:t>
            </w:r>
          </w:p>
        </w:tc>
        <w:tc>
          <w:tcPr>
            <w:tcW w:w="340" w:type="dxa"/>
            <w:vAlign w:val="bottom"/>
          </w:tcPr>
          <w:p>
            <w:pPr>
              <w:spacing w:after="0"/>
              <w:rPr>
                <w:sz w:val="18"/>
                <w:szCs w:val="18"/>
                <w:color w:val="auto"/>
              </w:rPr>
            </w:pPr>
          </w:p>
        </w:tc>
        <w:tc>
          <w:tcPr>
            <w:tcW w:w="1280" w:type="dxa"/>
            <w:vAlign w:val="bottom"/>
          </w:tcPr>
          <w:p>
            <w:pPr>
              <w:jc w:val="right"/>
              <w:ind w:right="30"/>
              <w:spacing w:after="0"/>
              <w:rPr>
                <w:sz w:val="20"/>
                <w:szCs w:val="20"/>
                <w:color w:val="auto"/>
              </w:rPr>
            </w:pPr>
            <w:r>
              <w:rPr>
                <w:rFonts w:ascii="Arial" w:cs="Arial" w:eastAsia="Arial" w:hAnsi="Arial"/>
                <w:sz w:val="18"/>
                <w:szCs w:val="18"/>
                <w:color w:val="auto"/>
              </w:rPr>
              <w:t>25,345</w:t>
            </w:r>
          </w:p>
        </w:tc>
        <w:tc>
          <w:tcPr>
            <w:tcW w:w="10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1100" w:type="dxa"/>
            <w:vAlign w:val="bottom"/>
          </w:tcPr>
          <w:p>
            <w:pPr>
              <w:jc w:val="right"/>
              <w:ind w:right="10"/>
              <w:spacing w:after="0"/>
              <w:rPr>
                <w:sz w:val="20"/>
                <w:szCs w:val="20"/>
                <w:color w:val="auto"/>
              </w:rPr>
            </w:pPr>
            <w:r>
              <w:rPr>
                <w:rFonts w:ascii="Arial" w:cs="Arial" w:eastAsia="Arial" w:hAnsi="Arial"/>
                <w:sz w:val="18"/>
                <w:szCs w:val="18"/>
                <w:color w:val="auto"/>
              </w:rPr>
              <w:t>22,066</w:t>
            </w:r>
          </w:p>
        </w:tc>
      </w:tr>
      <w:tr>
        <w:trPr>
          <w:trHeight w:val="216"/>
        </w:trPr>
        <w:tc>
          <w:tcPr>
            <w:tcW w:w="736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Significant Other Unobservable Inputs (Level 3)</w:t>
            </w:r>
          </w:p>
        </w:tc>
        <w:tc>
          <w:tcPr>
            <w:tcW w:w="340" w:type="dxa"/>
            <w:vAlign w:val="bottom"/>
            <w:tcBorders>
              <w:bottom w:val="single" w:sz="8" w:color="auto"/>
            </w:tcBorders>
            <w:shd w:val="clear" w:color="auto" w:fill="CCEEFF"/>
          </w:tcPr>
          <w:p>
            <w:pPr>
              <w:spacing w:after="0"/>
              <w:rPr>
                <w:sz w:val="18"/>
                <w:szCs w:val="18"/>
                <w:color w:val="auto"/>
              </w:rPr>
            </w:pPr>
          </w:p>
        </w:tc>
        <w:tc>
          <w:tcPr>
            <w:tcW w:w="128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rPr>
              <w:t>-</w:t>
            </w:r>
          </w:p>
        </w:tc>
        <w:tc>
          <w:tcPr>
            <w:tcW w:w="100" w:type="dxa"/>
            <w:vAlign w:val="bottom"/>
            <w:tcBorders>
              <w:bottom w:val="single" w:sz="8" w:color="CCEEFF"/>
            </w:tcBorders>
            <w:shd w:val="clear" w:color="auto" w:fill="CCEEFF"/>
          </w:tcPr>
          <w:p>
            <w:pPr>
              <w:spacing w:after="0"/>
              <w:rPr>
                <w:sz w:val="18"/>
                <w:szCs w:val="18"/>
                <w:color w:val="auto"/>
              </w:rPr>
            </w:pPr>
          </w:p>
        </w:tc>
        <w:tc>
          <w:tcPr>
            <w:tcW w:w="480" w:type="dxa"/>
            <w:vAlign w:val="bottom"/>
            <w:tcBorders>
              <w:bottom w:val="single" w:sz="8" w:color="auto"/>
            </w:tcBorders>
            <w:shd w:val="clear" w:color="auto" w:fill="CCEEFF"/>
          </w:tcPr>
          <w:p>
            <w:pPr>
              <w:spacing w:after="0"/>
              <w:rPr>
                <w:sz w:val="18"/>
                <w:szCs w:val="18"/>
                <w:color w:val="auto"/>
              </w:rPr>
            </w:pPr>
          </w:p>
        </w:tc>
        <w:tc>
          <w:tcPr>
            <w:tcW w:w="110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w:t>
            </w:r>
          </w:p>
        </w:tc>
      </w:tr>
      <w:tr>
        <w:trPr>
          <w:trHeight w:val="209"/>
        </w:trPr>
        <w:tc>
          <w:tcPr>
            <w:tcW w:w="7360" w:type="dxa"/>
            <w:vAlign w:val="bottom"/>
          </w:tcPr>
          <w:p>
            <w:pPr>
              <w:spacing w:after="0"/>
              <w:rPr>
                <w:sz w:val="20"/>
                <w:szCs w:val="20"/>
                <w:color w:val="auto"/>
              </w:rPr>
            </w:pPr>
            <w:r>
              <w:rPr>
                <w:rFonts w:ascii="Arial" w:cs="Arial" w:eastAsia="Arial" w:hAnsi="Arial"/>
                <w:sz w:val="18"/>
                <w:szCs w:val="18"/>
                <w:color w:val="auto"/>
              </w:rPr>
              <w:t>Total</w:t>
            </w:r>
          </w:p>
        </w:tc>
        <w:tc>
          <w:tcPr>
            <w:tcW w:w="340" w:type="dxa"/>
            <w:vAlign w:val="bottom"/>
          </w:tcPr>
          <w:p>
            <w:pPr>
              <w:jc w:val="right"/>
              <w:ind w:right="150"/>
              <w:spacing w:after="0"/>
              <w:rPr>
                <w:sz w:val="20"/>
                <w:szCs w:val="20"/>
                <w:color w:val="auto"/>
              </w:rPr>
            </w:pPr>
            <w:r>
              <w:rPr>
                <w:rFonts w:ascii="Arial" w:cs="Arial" w:eastAsia="Arial" w:hAnsi="Arial"/>
                <w:sz w:val="18"/>
                <w:szCs w:val="18"/>
                <w:color w:val="auto"/>
                <w:w w:val="79"/>
              </w:rPr>
              <w:t>$</w:t>
            </w:r>
          </w:p>
        </w:tc>
        <w:tc>
          <w:tcPr>
            <w:tcW w:w="1280" w:type="dxa"/>
            <w:vAlign w:val="bottom"/>
          </w:tcPr>
          <w:p>
            <w:pPr>
              <w:jc w:val="right"/>
              <w:ind w:right="30"/>
              <w:spacing w:after="0"/>
              <w:rPr>
                <w:sz w:val="20"/>
                <w:szCs w:val="20"/>
                <w:color w:val="auto"/>
              </w:rPr>
            </w:pPr>
            <w:r>
              <w:rPr>
                <w:rFonts w:ascii="Arial" w:cs="Arial" w:eastAsia="Arial" w:hAnsi="Arial"/>
                <w:sz w:val="18"/>
                <w:szCs w:val="18"/>
                <w:color w:val="auto"/>
              </w:rPr>
              <w:t>27,252</w:t>
            </w:r>
          </w:p>
        </w:tc>
        <w:tc>
          <w:tcPr>
            <w:tcW w:w="580" w:type="dxa"/>
            <w:vAlign w:val="bottom"/>
            <w:gridSpan w:val="2"/>
          </w:tcPr>
          <w:p>
            <w:pPr>
              <w:jc w:val="right"/>
              <w:ind w:right="380"/>
              <w:spacing w:after="0"/>
              <w:rPr>
                <w:sz w:val="20"/>
                <w:szCs w:val="20"/>
                <w:color w:val="auto"/>
              </w:rPr>
            </w:pPr>
            <w:r>
              <w:rPr>
                <w:rFonts w:ascii="Arial" w:cs="Arial" w:eastAsia="Arial" w:hAnsi="Arial"/>
                <w:sz w:val="18"/>
                <w:szCs w:val="18"/>
                <w:color w:val="auto"/>
              </w:rPr>
              <w:t>$</w:t>
            </w:r>
          </w:p>
        </w:tc>
        <w:tc>
          <w:tcPr>
            <w:tcW w:w="1100" w:type="dxa"/>
            <w:vAlign w:val="bottom"/>
          </w:tcPr>
          <w:p>
            <w:pPr>
              <w:jc w:val="right"/>
              <w:ind w:right="10"/>
              <w:spacing w:after="0"/>
              <w:rPr>
                <w:sz w:val="20"/>
                <w:szCs w:val="20"/>
                <w:color w:val="auto"/>
              </w:rPr>
            </w:pPr>
            <w:r>
              <w:rPr>
                <w:rFonts w:ascii="Arial" w:cs="Arial" w:eastAsia="Arial" w:hAnsi="Arial"/>
                <w:sz w:val="18"/>
                <w:szCs w:val="18"/>
                <w:color w:val="auto"/>
              </w:rPr>
              <w:t>23,926</w:t>
            </w:r>
          </w:p>
        </w:tc>
      </w:tr>
      <w:tr>
        <w:trPr>
          <w:trHeight w:val="20"/>
        </w:trPr>
        <w:tc>
          <w:tcPr>
            <w:tcW w:w="7360" w:type="dxa"/>
            <w:vAlign w:val="bottom"/>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12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r>
    </w:tbl>
    <w:p>
      <w:pPr>
        <w:spacing w:after="0" w:line="202" w:lineRule="exact"/>
        <w:rPr>
          <w:sz w:val="20"/>
          <w:szCs w:val="20"/>
          <w:color w:val="auto"/>
        </w:rPr>
      </w:pPr>
    </w:p>
    <w:p>
      <w:pPr>
        <w:jc w:val="both"/>
        <w:ind w:right="80" w:firstLine="648"/>
        <w:spacing w:after="0" w:line="286" w:lineRule="auto"/>
        <w:rPr>
          <w:sz w:val="20"/>
          <w:szCs w:val="20"/>
          <w:color w:val="auto"/>
        </w:rPr>
      </w:pPr>
      <w:r>
        <w:rPr>
          <w:rFonts w:ascii="Arial" w:cs="Arial" w:eastAsia="Arial" w:hAnsi="Arial"/>
          <w:sz w:val="17"/>
          <w:szCs w:val="17"/>
          <w:color w:val="auto"/>
        </w:rPr>
        <w:t>Level 1 assets consist of cash and cash equivalents held in the pension plans. The Level 2 assets primarily consist of investments in private investment funds that are valued using the net asset values provided by the trust or fund, including an insurance contract. Although these funds are not traded in an active market with quoted prices, the investments underlying the net asset value are based on quoted prices.</w:t>
      </w:r>
    </w:p>
    <w:p>
      <w:pPr>
        <w:spacing w:after="0" w:line="165" w:lineRule="exact"/>
        <w:rPr>
          <w:sz w:val="20"/>
          <w:szCs w:val="20"/>
          <w:color w:val="auto"/>
        </w:rPr>
      </w:pPr>
    </w:p>
    <w:p>
      <w:pPr>
        <w:jc w:val="both"/>
        <w:ind w:right="80" w:firstLine="648"/>
        <w:spacing w:after="0" w:line="259" w:lineRule="auto"/>
        <w:rPr>
          <w:sz w:val="20"/>
          <w:szCs w:val="20"/>
          <w:color w:val="auto"/>
        </w:rPr>
      </w:pPr>
      <w:r>
        <w:rPr>
          <w:rFonts w:ascii="Arial" w:cs="Arial" w:eastAsia="Arial" w:hAnsi="Arial"/>
          <w:sz w:val="18"/>
          <w:szCs w:val="18"/>
          <w:color w:val="auto"/>
        </w:rPr>
        <w:t>The Company expects to contribute approximately $1.1 million to its pension plans during 2022. The benefits expected to be paid from the pension plans are $0.7 million in 2022, $0.8 million in 2023, $0.7 million in 2024, $0.9 million in 2025 and $1.0 million in 2026. The expected benefits to be paid in the five years from 2027 to 2031 are $4.8 million. The expected benefits are based on the same assumptions used to measure the Company’s benefit obligations at December 31, 2021.</w:t>
      </w:r>
    </w:p>
    <w:p>
      <w:pPr>
        <w:spacing w:after="0" w:line="395" w:lineRule="exact"/>
        <w:rPr>
          <w:sz w:val="20"/>
          <w:szCs w:val="20"/>
          <w:color w:val="auto"/>
        </w:rPr>
      </w:pPr>
    </w:p>
    <w:p>
      <w:pPr>
        <w:jc w:val="center"/>
        <w:ind w:right="80"/>
        <w:spacing w:after="0"/>
        <w:rPr>
          <w:sz w:val="20"/>
          <w:szCs w:val="20"/>
          <w:color w:val="auto"/>
        </w:rPr>
      </w:pPr>
      <w:r>
        <w:rPr>
          <w:rFonts w:ascii="Arial" w:cs="Arial" w:eastAsia="Arial" w:hAnsi="Arial"/>
          <w:sz w:val="22"/>
          <w:szCs w:val="22"/>
          <w:color w:val="auto"/>
        </w:rPr>
        <w:t>F- 19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75565</wp:posOffset>
            </wp:positionV>
            <wp:extent cx="7132320" cy="1714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320"/>
          </w:cols>
          <w:pgMar w:left="320" w:top="125" w:right="259" w:bottom="1440" w:gutter="0" w:footer="0" w:header="0"/>
        </w:sectPr>
      </w:pPr>
    </w:p>
    <w:bookmarkStart w:id="48" w:name="page49"/>
    <w:bookmarkEnd w:id="48"/>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64" w:lineRule="exact"/>
        <w:rPr>
          <w:sz w:val="20"/>
          <w:szCs w:val="20"/>
          <w:color w:val="auto"/>
        </w:rPr>
      </w:pPr>
    </w:p>
    <w:p>
      <w:pPr>
        <w:ind w:left="1300" w:hanging="644"/>
        <w:spacing w:after="0"/>
        <w:tabs>
          <w:tab w:leader="none" w:pos="1300" w:val="left"/>
        </w:tabs>
        <w:numPr>
          <w:ilvl w:val="0"/>
          <w:numId w:val="22"/>
        </w:numPr>
        <w:rPr>
          <w:rFonts w:ascii="Arial" w:cs="Arial" w:eastAsia="Arial" w:hAnsi="Arial"/>
          <w:sz w:val="18"/>
          <w:szCs w:val="18"/>
          <w:b w:val="1"/>
          <w:bCs w:val="1"/>
          <w:color w:val="auto"/>
        </w:rPr>
      </w:pPr>
      <w:r>
        <w:rPr>
          <w:rFonts w:ascii="Arial" w:cs="Arial" w:eastAsia="Arial" w:hAnsi="Arial"/>
          <w:sz w:val="18"/>
          <w:szCs w:val="18"/>
          <w:b w:val="1"/>
          <w:bCs w:val="1"/>
          <w:color w:val="auto"/>
        </w:rPr>
        <w:t>Leases</w:t>
      </w:r>
    </w:p>
    <w:p>
      <w:pPr>
        <w:spacing w:after="0" w:line="256" w:lineRule="exact"/>
        <w:rPr>
          <w:sz w:val="20"/>
          <w:szCs w:val="20"/>
          <w:color w:val="auto"/>
        </w:rPr>
      </w:pPr>
    </w:p>
    <w:p>
      <w:pPr>
        <w:ind w:right="100" w:firstLine="648"/>
        <w:spacing w:after="0" w:line="277" w:lineRule="auto"/>
        <w:rPr>
          <w:sz w:val="20"/>
          <w:szCs w:val="20"/>
          <w:color w:val="auto"/>
        </w:rPr>
      </w:pPr>
      <w:r>
        <w:rPr>
          <w:rFonts w:ascii="Arial" w:cs="Arial" w:eastAsia="Arial" w:hAnsi="Arial"/>
          <w:sz w:val="18"/>
          <w:szCs w:val="18"/>
          <w:color w:val="auto"/>
        </w:rPr>
        <w:t>The Company has noncancelable operating leases for office space, manufacturing facilities, warehouse space, automobiles and equipment expiring at various dates through 2030.</w:t>
      </w:r>
    </w:p>
    <w:p>
      <w:pPr>
        <w:spacing w:after="0" w:line="170" w:lineRule="exact"/>
        <w:rPr>
          <w:sz w:val="20"/>
          <w:szCs w:val="20"/>
          <w:color w:val="auto"/>
        </w:rPr>
      </w:pPr>
    </w:p>
    <w:tbl>
      <w:tblPr>
        <w:tblLayout w:type="fixed"/>
        <w:tblInd w:w="660" w:type="dxa"/>
        <w:tblCellMar>
          <w:top w:w="0" w:type="dxa"/>
          <w:left w:w="0" w:type="dxa"/>
          <w:bottom w:w="0" w:type="dxa"/>
          <w:right w:w="0" w:type="dxa"/>
        </w:tblCellMar>
      </w:tblPr>
      <w:tr>
        <w:trPr>
          <w:trHeight w:val="230"/>
        </w:trPr>
        <w:tc>
          <w:tcPr>
            <w:tcW w:w="7200" w:type="dxa"/>
            <w:vAlign w:val="bottom"/>
          </w:tcPr>
          <w:p>
            <w:pPr>
              <w:spacing w:after="0"/>
              <w:rPr>
                <w:sz w:val="20"/>
                <w:szCs w:val="20"/>
                <w:color w:val="auto"/>
              </w:rPr>
            </w:pPr>
            <w:r>
              <w:rPr>
                <w:rFonts w:ascii="Arial" w:cs="Arial" w:eastAsia="Arial" w:hAnsi="Arial"/>
                <w:sz w:val="18"/>
                <w:szCs w:val="18"/>
                <w:color w:val="auto"/>
                <w:w w:val="90"/>
              </w:rPr>
              <w:t>The components of lease expense for the year ended December 31, 2021 and 2020 are as follows:</w:t>
            </w:r>
          </w:p>
        </w:tc>
        <w:tc>
          <w:tcPr>
            <w:tcW w:w="10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28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11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32"/>
        </w:trPr>
        <w:tc>
          <w:tcPr>
            <w:tcW w:w="72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300" w:type="dxa"/>
            <w:vAlign w:val="bottom"/>
            <w:tcBorders>
              <w:bottom w:val="single" w:sz="8" w:color="auto"/>
            </w:tcBorders>
          </w:tcPr>
          <w:p>
            <w:pPr>
              <w:spacing w:after="0"/>
              <w:rPr>
                <w:sz w:val="24"/>
                <w:szCs w:val="24"/>
                <w:color w:val="auto"/>
              </w:rPr>
            </w:pPr>
          </w:p>
        </w:tc>
        <w:tc>
          <w:tcPr>
            <w:tcW w:w="3000" w:type="dxa"/>
            <w:vAlign w:val="bottom"/>
            <w:tcBorders>
              <w:bottom w:val="single" w:sz="8" w:color="auto"/>
            </w:tcBorders>
            <w:gridSpan w:val="6"/>
          </w:tcPr>
          <w:p>
            <w:pPr>
              <w:jc w:val="right"/>
              <w:ind w:right="610"/>
              <w:spacing w:after="0"/>
              <w:rPr>
                <w:sz w:val="20"/>
                <w:szCs w:val="20"/>
                <w:color w:val="auto"/>
              </w:rPr>
            </w:pPr>
            <w:r>
              <w:rPr>
                <w:rFonts w:ascii="Arial" w:cs="Arial" w:eastAsia="Arial" w:hAnsi="Arial"/>
                <w:sz w:val="18"/>
                <w:szCs w:val="18"/>
                <w:b w:val="1"/>
                <w:bCs w:val="1"/>
                <w:color w:val="auto"/>
              </w:rPr>
              <w:t>Year Ended December 31,</w:t>
            </w:r>
          </w:p>
        </w:tc>
        <w:tc>
          <w:tcPr>
            <w:tcW w:w="0" w:type="dxa"/>
            <w:vAlign w:val="bottom"/>
          </w:tcPr>
          <w:p>
            <w:pPr>
              <w:spacing w:after="0"/>
              <w:rPr>
                <w:sz w:val="1"/>
                <w:szCs w:val="1"/>
                <w:color w:val="auto"/>
              </w:rPr>
            </w:pPr>
          </w:p>
        </w:tc>
      </w:tr>
      <w:tr>
        <w:trPr>
          <w:trHeight w:val="210"/>
        </w:trPr>
        <w:tc>
          <w:tcPr>
            <w:tcW w:w="7200" w:type="dxa"/>
            <w:vAlign w:val="bottom"/>
          </w:tcPr>
          <w:p>
            <w:pPr>
              <w:spacing w:after="0"/>
              <w:rPr>
                <w:sz w:val="20"/>
                <w:szCs w:val="20"/>
                <w:color w:val="auto"/>
              </w:rPr>
            </w:pPr>
            <w:r>
              <w:rPr>
                <w:rFonts w:ascii="Arial" w:cs="Arial" w:eastAsia="Arial" w:hAnsi="Arial"/>
                <w:sz w:val="18"/>
                <w:szCs w:val="18"/>
                <w:color w:val="auto"/>
              </w:rPr>
              <w:t>(in thousands)</w:t>
            </w:r>
          </w:p>
        </w:tc>
        <w:tc>
          <w:tcPr>
            <w:tcW w:w="1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1280" w:type="dxa"/>
            <w:vAlign w:val="bottom"/>
            <w:tcBorders>
              <w:bottom w:val="single" w:sz="8" w:color="auto"/>
            </w:tcBorders>
          </w:tcPr>
          <w:p>
            <w:pPr>
              <w:jc w:val="right"/>
              <w:ind w:right="550"/>
              <w:spacing w:after="0"/>
              <w:rPr>
                <w:sz w:val="20"/>
                <w:szCs w:val="20"/>
                <w:color w:val="auto"/>
              </w:rPr>
            </w:pPr>
            <w:r>
              <w:rPr>
                <w:rFonts w:ascii="Arial" w:cs="Arial" w:eastAsia="Arial" w:hAnsi="Arial"/>
                <w:sz w:val="18"/>
                <w:szCs w:val="18"/>
                <w:b w:val="1"/>
                <w:bCs w:val="1"/>
                <w:color w:val="auto"/>
              </w:rPr>
              <w:t>2021</w:t>
            </w:r>
          </w:p>
        </w:tc>
        <w:tc>
          <w:tcPr>
            <w:tcW w:w="40" w:type="dxa"/>
            <w:vAlign w:val="bottom"/>
            <w:tcBorders>
              <w:bottom w:val="single" w:sz="8" w:color="auto"/>
            </w:tcBorders>
          </w:tcPr>
          <w:p>
            <w:pPr>
              <w:spacing w:after="0"/>
              <w:rPr>
                <w:sz w:val="18"/>
                <w:szCs w:val="18"/>
                <w:color w:val="auto"/>
              </w:rPr>
            </w:pPr>
          </w:p>
        </w:tc>
        <w:tc>
          <w:tcPr>
            <w:tcW w:w="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420" w:type="dxa"/>
            <w:vAlign w:val="bottom"/>
            <w:tcBorders>
              <w:bottom w:val="single" w:sz="8" w:color="auto"/>
            </w:tcBorders>
          </w:tcPr>
          <w:p>
            <w:pPr>
              <w:spacing w:after="0"/>
              <w:rPr>
                <w:sz w:val="18"/>
                <w:szCs w:val="18"/>
                <w:color w:val="auto"/>
              </w:rPr>
            </w:pPr>
          </w:p>
        </w:tc>
        <w:tc>
          <w:tcPr>
            <w:tcW w:w="1160" w:type="dxa"/>
            <w:vAlign w:val="bottom"/>
            <w:tcBorders>
              <w:bottom w:val="single" w:sz="8" w:color="auto"/>
            </w:tcBorders>
          </w:tcPr>
          <w:p>
            <w:pPr>
              <w:jc w:val="right"/>
              <w:ind w:right="570"/>
              <w:spacing w:after="0"/>
              <w:rPr>
                <w:sz w:val="20"/>
                <w:szCs w:val="20"/>
                <w:color w:val="auto"/>
              </w:rPr>
            </w:pPr>
            <w:r>
              <w:rPr>
                <w:rFonts w:ascii="Arial" w:cs="Arial" w:eastAsia="Arial" w:hAnsi="Arial"/>
                <w:sz w:val="18"/>
                <w:szCs w:val="18"/>
                <w:b w:val="1"/>
                <w:bCs w:val="1"/>
                <w:color w:val="auto"/>
              </w:rPr>
              <w:t>2020</w:t>
            </w:r>
          </w:p>
        </w:tc>
        <w:tc>
          <w:tcPr>
            <w:tcW w:w="0" w:type="dxa"/>
            <w:vAlign w:val="bottom"/>
          </w:tcPr>
          <w:p>
            <w:pPr>
              <w:spacing w:after="0"/>
              <w:rPr>
                <w:sz w:val="1"/>
                <w:szCs w:val="1"/>
                <w:color w:val="auto"/>
              </w:rPr>
            </w:pPr>
          </w:p>
        </w:tc>
      </w:tr>
      <w:tr>
        <w:trPr>
          <w:trHeight w:val="209"/>
        </w:trPr>
        <w:tc>
          <w:tcPr>
            <w:tcW w:w="7200" w:type="dxa"/>
            <w:vAlign w:val="bottom"/>
            <w:shd w:val="clear" w:color="auto" w:fill="CCEEFF"/>
          </w:tcPr>
          <w:p>
            <w:pPr>
              <w:spacing w:after="0"/>
              <w:rPr>
                <w:sz w:val="20"/>
                <w:szCs w:val="20"/>
                <w:color w:val="auto"/>
              </w:rPr>
            </w:pPr>
            <w:r>
              <w:rPr>
                <w:rFonts w:ascii="Arial" w:cs="Arial" w:eastAsia="Arial" w:hAnsi="Arial"/>
                <w:sz w:val="18"/>
                <w:szCs w:val="18"/>
                <w:color w:val="auto"/>
              </w:rPr>
              <w:t>Operating lease cost</w:t>
            </w:r>
          </w:p>
        </w:tc>
        <w:tc>
          <w:tcPr>
            <w:tcW w:w="460" w:type="dxa"/>
            <w:vAlign w:val="bottom"/>
            <w:gridSpan w:val="3"/>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12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2,041</w:t>
            </w:r>
          </w:p>
        </w:tc>
        <w:tc>
          <w:tcPr>
            <w:tcW w:w="40" w:type="dxa"/>
            <w:vAlign w:val="bottom"/>
            <w:shd w:val="clear" w:color="auto" w:fill="CCEEFF"/>
          </w:tcPr>
          <w:p>
            <w:pPr>
              <w:spacing w:after="0"/>
              <w:rPr>
                <w:sz w:val="18"/>
                <w:szCs w:val="18"/>
                <w:color w:val="auto"/>
              </w:rPr>
            </w:pPr>
          </w:p>
        </w:tc>
        <w:tc>
          <w:tcPr>
            <w:tcW w:w="520" w:type="dxa"/>
            <w:vAlign w:val="bottom"/>
            <w:gridSpan w:val="3"/>
            <w:shd w:val="clear" w:color="auto" w:fill="CCEEFF"/>
          </w:tcPr>
          <w:p>
            <w:pPr>
              <w:jc w:val="right"/>
              <w:ind w:right="320"/>
              <w:spacing w:after="0"/>
              <w:rPr>
                <w:sz w:val="20"/>
                <w:szCs w:val="20"/>
                <w:color w:val="auto"/>
              </w:rPr>
            </w:pPr>
            <w:r>
              <w:rPr>
                <w:rFonts w:ascii="Arial" w:cs="Arial" w:eastAsia="Arial" w:hAnsi="Arial"/>
                <w:sz w:val="18"/>
                <w:szCs w:val="18"/>
                <w:color w:val="auto"/>
              </w:rPr>
              <w:t>$</w:t>
            </w:r>
          </w:p>
        </w:tc>
        <w:tc>
          <w:tcPr>
            <w:tcW w:w="116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2,153</w:t>
            </w:r>
          </w:p>
        </w:tc>
        <w:tc>
          <w:tcPr>
            <w:tcW w:w="0" w:type="dxa"/>
            <w:vAlign w:val="bottom"/>
          </w:tcPr>
          <w:p>
            <w:pPr>
              <w:spacing w:after="0"/>
              <w:rPr>
                <w:sz w:val="1"/>
                <w:szCs w:val="1"/>
                <w:color w:val="auto"/>
              </w:rPr>
            </w:pPr>
          </w:p>
        </w:tc>
      </w:tr>
      <w:tr>
        <w:trPr>
          <w:trHeight w:val="216"/>
        </w:trPr>
        <w:tc>
          <w:tcPr>
            <w:tcW w:w="7200" w:type="dxa"/>
            <w:vAlign w:val="bottom"/>
          </w:tcPr>
          <w:p>
            <w:pPr>
              <w:spacing w:after="0"/>
              <w:rPr>
                <w:sz w:val="20"/>
                <w:szCs w:val="20"/>
                <w:color w:val="auto"/>
              </w:rPr>
            </w:pPr>
            <w:r>
              <w:rPr>
                <w:rFonts w:ascii="Arial" w:cs="Arial" w:eastAsia="Arial" w:hAnsi="Arial"/>
                <w:sz w:val="18"/>
                <w:szCs w:val="18"/>
                <w:color w:val="auto"/>
              </w:rPr>
              <w:t>Short term lease cost</w:t>
            </w:r>
          </w:p>
        </w:tc>
        <w:tc>
          <w:tcPr>
            <w:tcW w:w="1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280" w:type="dxa"/>
            <w:vAlign w:val="bottom"/>
          </w:tcPr>
          <w:p>
            <w:pPr>
              <w:jc w:val="right"/>
              <w:spacing w:after="0"/>
              <w:rPr>
                <w:sz w:val="20"/>
                <w:szCs w:val="20"/>
                <w:color w:val="auto"/>
              </w:rPr>
            </w:pPr>
            <w:r>
              <w:rPr>
                <w:rFonts w:ascii="Arial" w:cs="Arial" w:eastAsia="Arial" w:hAnsi="Arial"/>
                <w:sz w:val="18"/>
                <w:szCs w:val="18"/>
                <w:color w:val="auto"/>
              </w:rPr>
              <w:t>196</w:t>
            </w:r>
          </w:p>
        </w:tc>
        <w:tc>
          <w:tcPr>
            <w:tcW w:w="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160" w:type="dxa"/>
            <w:vAlign w:val="bottom"/>
          </w:tcPr>
          <w:p>
            <w:pPr>
              <w:jc w:val="right"/>
              <w:ind w:right="10"/>
              <w:spacing w:after="0"/>
              <w:rPr>
                <w:sz w:val="20"/>
                <w:szCs w:val="20"/>
                <w:color w:val="auto"/>
              </w:rPr>
            </w:pPr>
            <w:r>
              <w:rPr>
                <w:rFonts w:ascii="Arial" w:cs="Arial" w:eastAsia="Arial" w:hAnsi="Arial"/>
                <w:sz w:val="18"/>
                <w:szCs w:val="18"/>
                <w:color w:val="auto"/>
              </w:rPr>
              <w:t>175</w:t>
            </w:r>
          </w:p>
        </w:tc>
        <w:tc>
          <w:tcPr>
            <w:tcW w:w="0" w:type="dxa"/>
            <w:vAlign w:val="bottom"/>
          </w:tcPr>
          <w:p>
            <w:pPr>
              <w:spacing w:after="0"/>
              <w:rPr>
                <w:sz w:val="1"/>
                <w:szCs w:val="1"/>
                <w:color w:val="auto"/>
              </w:rPr>
            </w:pPr>
          </w:p>
        </w:tc>
      </w:tr>
      <w:tr>
        <w:trPr>
          <w:trHeight w:val="216"/>
        </w:trPr>
        <w:tc>
          <w:tcPr>
            <w:tcW w:w="720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Sublease income</w:t>
            </w:r>
          </w:p>
        </w:tc>
        <w:tc>
          <w:tcPr>
            <w:tcW w:w="100" w:type="dxa"/>
            <w:vAlign w:val="bottom"/>
            <w:tcBorders>
              <w:bottom w:val="single" w:sz="8" w:color="CCEEFF"/>
            </w:tcBorders>
            <w:shd w:val="clear" w:color="auto" w:fill="CCEEFF"/>
          </w:tcPr>
          <w:p>
            <w:pPr>
              <w:spacing w:after="0"/>
              <w:rPr>
                <w:sz w:val="18"/>
                <w:szCs w:val="18"/>
                <w:color w:val="auto"/>
              </w:rPr>
            </w:pPr>
          </w:p>
        </w:tc>
        <w:tc>
          <w:tcPr>
            <w:tcW w:w="60" w:type="dxa"/>
            <w:vAlign w:val="bottom"/>
            <w:tcBorders>
              <w:bottom w:val="single" w:sz="8" w:color="CCEEFF"/>
            </w:tcBorders>
            <w:shd w:val="clear" w:color="auto" w:fill="CCEEFF"/>
          </w:tcPr>
          <w:p>
            <w:pPr>
              <w:spacing w:after="0"/>
              <w:rPr>
                <w:sz w:val="18"/>
                <w:szCs w:val="18"/>
                <w:color w:val="auto"/>
              </w:rPr>
            </w:pPr>
          </w:p>
        </w:tc>
        <w:tc>
          <w:tcPr>
            <w:tcW w:w="300" w:type="dxa"/>
            <w:vAlign w:val="bottom"/>
            <w:tcBorders>
              <w:bottom w:val="single" w:sz="8" w:color="auto"/>
            </w:tcBorders>
            <w:shd w:val="clear" w:color="auto" w:fill="CCEEFF"/>
          </w:tcPr>
          <w:p>
            <w:pPr>
              <w:spacing w:after="0"/>
              <w:rPr>
                <w:sz w:val="18"/>
                <w:szCs w:val="18"/>
                <w:color w:val="auto"/>
              </w:rPr>
            </w:pPr>
          </w:p>
        </w:tc>
        <w:tc>
          <w:tcPr>
            <w:tcW w:w="12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(102)</w:t>
            </w:r>
          </w:p>
        </w:tc>
        <w:tc>
          <w:tcPr>
            <w:tcW w:w="40" w:type="dxa"/>
            <w:vAlign w:val="bottom"/>
            <w:tcBorders>
              <w:bottom w:val="single" w:sz="8" w:color="auto"/>
            </w:tcBorders>
            <w:shd w:val="clear" w:color="auto" w:fill="CCEEFF"/>
          </w:tcPr>
          <w:p>
            <w:pPr>
              <w:spacing w:after="0"/>
              <w:rPr>
                <w:sz w:val="18"/>
                <w:szCs w:val="18"/>
                <w:color w:val="auto"/>
              </w:rPr>
            </w:pPr>
          </w:p>
        </w:tc>
        <w:tc>
          <w:tcPr>
            <w:tcW w:w="40" w:type="dxa"/>
            <w:vAlign w:val="bottom"/>
            <w:tcBorders>
              <w:bottom w:val="single" w:sz="8" w:color="CCEEFF"/>
            </w:tcBorders>
            <w:shd w:val="clear" w:color="auto" w:fill="CCEEFF"/>
          </w:tcPr>
          <w:p>
            <w:pPr>
              <w:spacing w:after="0"/>
              <w:rPr>
                <w:sz w:val="18"/>
                <w:szCs w:val="18"/>
                <w:color w:val="auto"/>
              </w:rPr>
            </w:pPr>
          </w:p>
        </w:tc>
        <w:tc>
          <w:tcPr>
            <w:tcW w:w="60" w:type="dxa"/>
            <w:vAlign w:val="bottom"/>
            <w:tcBorders>
              <w:bottom w:val="single" w:sz="8" w:color="CCEEFF"/>
            </w:tcBorders>
            <w:shd w:val="clear" w:color="auto" w:fill="CCEEFF"/>
          </w:tcPr>
          <w:p>
            <w:pPr>
              <w:spacing w:after="0"/>
              <w:rPr>
                <w:sz w:val="18"/>
                <w:szCs w:val="18"/>
                <w:color w:val="auto"/>
              </w:rPr>
            </w:pPr>
          </w:p>
        </w:tc>
        <w:tc>
          <w:tcPr>
            <w:tcW w:w="420" w:type="dxa"/>
            <w:vAlign w:val="bottom"/>
            <w:tcBorders>
              <w:bottom w:val="single" w:sz="8" w:color="auto"/>
            </w:tcBorders>
            <w:shd w:val="clear" w:color="auto" w:fill="CCEEFF"/>
          </w:tcPr>
          <w:p>
            <w:pPr>
              <w:spacing w:after="0"/>
              <w:rPr>
                <w:sz w:val="18"/>
                <w:szCs w:val="18"/>
                <w:color w:val="auto"/>
              </w:rPr>
            </w:pPr>
          </w:p>
        </w:tc>
        <w:tc>
          <w:tcPr>
            <w:tcW w:w="1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(183)</w:t>
            </w:r>
          </w:p>
        </w:tc>
        <w:tc>
          <w:tcPr>
            <w:tcW w:w="0" w:type="dxa"/>
            <w:vAlign w:val="bottom"/>
          </w:tcPr>
          <w:p>
            <w:pPr>
              <w:spacing w:after="0"/>
              <w:rPr>
                <w:sz w:val="1"/>
                <w:szCs w:val="1"/>
                <w:color w:val="auto"/>
              </w:rPr>
            </w:pPr>
          </w:p>
        </w:tc>
      </w:tr>
      <w:tr>
        <w:trPr>
          <w:trHeight w:val="209"/>
        </w:trPr>
        <w:tc>
          <w:tcPr>
            <w:tcW w:w="7200" w:type="dxa"/>
            <w:vAlign w:val="bottom"/>
          </w:tcPr>
          <w:p>
            <w:pPr>
              <w:spacing w:after="0"/>
              <w:rPr>
                <w:sz w:val="20"/>
                <w:szCs w:val="20"/>
                <w:color w:val="auto"/>
              </w:rPr>
            </w:pPr>
            <w:r>
              <w:rPr>
                <w:rFonts w:ascii="Arial" w:cs="Arial" w:eastAsia="Arial" w:hAnsi="Arial"/>
                <w:sz w:val="18"/>
                <w:szCs w:val="18"/>
                <w:color w:val="auto"/>
              </w:rPr>
              <w:t>Total lease cost</w:t>
            </w:r>
          </w:p>
        </w:tc>
        <w:tc>
          <w:tcPr>
            <w:tcW w:w="460" w:type="dxa"/>
            <w:vAlign w:val="bottom"/>
            <w:gridSpan w:val="3"/>
          </w:tcPr>
          <w:p>
            <w:pPr>
              <w:jc w:val="right"/>
              <w:ind w:right="200"/>
              <w:spacing w:after="0"/>
              <w:rPr>
                <w:sz w:val="20"/>
                <w:szCs w:val="20"/>
                <w:color w:val="auto"/>
              </w:rPr>
            </w:pPr>
            <w:r>
              <w:rPr>
                <w:rFonts w:ascii="Arial" w:cs="Arial" w:eastAsia="Arial" w:hAnsi="Arial"/>
                <w:sz w:val="18"/>
                <w:szCs w:val="18"/>
                <w:color w:val="auto"/>
              </w:rPr>
              <w:t>$</w:t>
            </w:r>
          </w:p>
        </w:tc>
        <w:tc>
          <w:tcPr>
            <w:tcW w:w="1280" w:type="dxa"/>
            <w:vAlign w:val="bottom"/>
          </w:tcPr>
          <w:p>
            <w:pPr>
              <w:jc w:val="right"/>
              <w:spacing w:after="0"/>
              <w:rPr>
                <w:sz w:val="20"/>
                <w:szCs w:val="20"/>
                <w:color w:val="auto"/>
              </w:rPr>
            </w:pPr>
            <w:r>
              <w:rPr>
                <w:rFonts w:ascii="Arial" w:cs="Arial" w:eastAsia="Arial" w:hAnsi="Arial"/>
                <w:sz w:val="18"/>
                <w:szCs w:val="18"/>
                <w:color w:val="auto"/>
              </w:rPr>
              <w:t>2,135</w:t>
            </w:r>
          </w:p>
        </w:tc>
        <w:tc>
          <w:tcPr>
            <w:tcW w:w="40" w:type="dxa"/>
            <w:vAlign w:val="bottom"/>
          </w:tcPr>
          <w:p>
            <w:pPr>
              <w:spacing w:after="0"/>
              <w:rPr>
                <w:sz w:val="18"/>
                <w:szCs w:val="18"/>
                <w:color w:val="auto"/>
              </w:rPr>
            </w:pPr>
          </w:p>
        </w:tc>
        <w:tc>
          <w:tcPr>
            <w:tcW w:w="520" w:type="dxa"/>
            <w:vAlign w:val="bottom"/>
            <w:gridSpan w:val="3"/>
          </w:tcPr>
          <w:p>
            <w:pPr>
              <w:jc w:val="right"/>
              <w:ind w:right="320"/>
              <w:spacing w:after="0"/>
              <w:rPr>
                <w:sz w:val="20"/>
                <w:szCs w:val="20"/>
                <w:color w:val="auto"/>
              </w:rPr>
            </w:pPr>
            <w:r>
              <w:rPr>
                <w:rFonts w:ascii="Arial" w:cs="Arial" w:eastAsia="Arial" w:hAnsi="Arial"/>
                <w:sz w:val="18"/>
                <w:szCs w:val="18"/>
                <w:color w:val="auto"/>
              </w:rPr>
              <w:t>$</w:t>
            </w:r>
          </w:p>
        </w:tc>
        <w:tc>
          <w:tcPr>
            <w:tcW w:w="1160" w:type="dxa"/>
            <w:vAlign w:val="bottom"/>
          </w:tcPr>
          <w:p>
            <w:pPr>
              <w:jc w:val="right"/>
              <w:ind w:right="10"/>
              <w:spacing w:after="0"/>
              <w:rPr>
                <w:sz w:val="20"/>
                <w:szCs w:val="20"/>
                <w:color w:val="auto"/>
              </w:rPr>
            </w:pPr>
            <w:r>
              <w:rPr>
                <w:rFonts w:ascii="Arial" w:cs="Arial" w:eastAsia="Arial" w:hAnsi="Arial"/>
                <w:sz w:val="18"/>
                <w:szCs w:val="18"/>
                <w:color w:val="auto"/>
              </w:rPr>
              <w:t>2,145</w:t>
            </w:r>
          </w:p>
        </w:tc>
        <w:tc>
          <w:tcPr>
            <w:tcW w:w="0" w:type="dxa"/>
            <w:vAlign w:val="bottom"/>
          </w:tcPr>
          <w:p>
            <w:pPr>
              <w:spacing w:after="0"/>
              <w:rPr>
                <w:sz w:val="1"/>
                <w:szCs w:val="1"/>
                <w:color w:val="auto"/>
              </w:rPr>
            </w:pPr>
          </w:p>
        </w:tc>
      </w:tr>
      <w:tr>
        <w:trPr>
          <w:trHeight w:val="20"/>
        </w:trPr>
        <w:tc>
          <w:tcPr>
            <w:tcW w:w="7200" w:type="dxa"/>
            <w:vAlign w:val="bottom"/>
            <w:vMerge w:val="restart"/>
          </w:tcPr>
          <w:p>
            <w:pPr>
              <w:spacing w:after="0"/>
              <w:rPr>
                <w:sz w:val="20"/>
                <w:szCs w:val="20"/>
                <w:color w:val="auto"/>
              </w:rPr>
            </w:pPr>
            <w:r>
              <w:rPr>
                <w:rFonts w:ascii="Arial" w:cs="Arial" w:eastAsia="Arial" w:hAnsi="Arial"/>
                <w:sz w:val="18"/>
                <w:szCs w:val="18"/>
                <w:color w:val="auto"/>
                <w:w w:val="95"/>
              </w:rPr>
              <w:t>Supplemental cash flow information related to the Company’s operating leases was as follows:</w:t>
            </w:r>
          </w:p>
        </w:tc>
        <w:tc>
          <w:tcPr>
            <w:tcW w:w="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128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116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3"/>
        </w:trPr>
        <w:tc>
          <w:tcPr>
            <w:tcW w:w="7200" w:type="dxa"/>
            <w:vAlign w:val="bottom"/>
            <w:vMerge w:val="continue"/>
          </w:tcPr>
          <w:p>
            <w:pPr>
              <w:spacing w:after="0"/>
              <w:rPr>
                <w:sz w:val="24"/>
                <w:szCs w:val="24"/>
                <w:color w:val="auto"/>
              </w:rPr>
            </w:pPr>
          </w:p>
        </w:tc>
        <w:tc>
          <w:tcPr>
            <w:tcW w:w="1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32"/>
        </w:trPr>
        <w:tc>
          <w:tcPr>
            <w:tcW w:w="72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300" w:type="dxa"/>
            <w:vAlign w:val="bottom"/>
            <w:tcBorders>
              <w:bottom w:val="single" w:sz="8" w:color="auto"/>
            </w:tcBorders>
          </w:tcPr>
          <w:p>
            <w:pPr>
              <w:spacing w:after="0"/>
              <w:rPr>
                <w:sz w:val="24"/>
                <w:szCs w:val="24"/>
                <w:color w:val="auto"/>
              </w:rPr>
            </w:pPr>
          </w:p>
        </w:tc>
        <w:tc>
          <w:tcPr>
            <w:tcW w:w="3000" w:type="dxa"/>
            <w:vAlign w:val="bottom"/>
            <w:tcBorders>
              <w:bottom w:val="single" w:sz="8" w:color="auto"/>
            </w:tcBorders>
            <w:gridSpan w:val="6"/>
          </w:tcPr>
          <w:p>
            <w:pPr>
              <w:jc w:val="right"/>
              <w:ind w:right="610"/>
              <w:spacing w:after="0"/>
              <w:rPr>
                <w:sz w:val="20"/>
                <w:szCs w:val="20"/>
                <w:color w:val="auto"/>
              </w:rPr>
            </w:pPr>
            <w:r>
              <w:rPr>
                <w:rFonts w:ascii="Arial" w:cs="Arial" w:eastAsia="Arial" w:hAnsi="Arial"/>
                <w:sz w:val="18"/>
                <w:szCs w:val="18"/>
                <w:b w:val="1"/>
                <w:bCs w:val="1"/>
                <w:color w:val="auto"/>
              </w:rPr>
              <w:t>Year Ended December 31,</w:t>
            </w:r>
          </w:p>
        </w:tc>
        <w:tc>
          <w:tcPr>
            <w:tcW w:w="0" w:type="dxa"/>
            <w:vAlign w:val="bottom"/>
          </w:tcPr>
          <w:p>
            <w:pPr>
              <w:spacing w:after="0"/>
              <w:rPr>
                <w:sz w:val="1"/>
                <w:szCs w:val="1"/>
                <w:color w:val="auto"/>
              </w:rPr>
            </w:pPr>
          </w:p>
        </w:tc>
      </w:tr>
      <w:tr>
        <w:trPr>
          <w:trHeight w:val="210"/>
        </w:trPr>
        <w:tc>
          <w:tcPr>
            <w:tcW w:w="7200" w:type="dxa"/>
            <w:vAlign w:val="bottom"/>
          </w:tcPr>
          <w:p>
            <w:pPr>
              <w:spacing w:after="0"/>
              <w:rPr>
                <w:sz w:val="20"/>
                <w:szCs w:val="20"/>
                <w:color w:val="auto"/>
              </w:rPr>
            </w:pPr>
            <w:r>
              <w:rPr>
                <w:rFonts w:ascii="Arial" w:cs="Arial" w:eastAsia="Arial" w:hAnsi="Arial"/>
                <w:sz w:val="18"/>
                <w:szCs w:val="18"/>
                <w:color w:val="auto"/>
              </w:rPr>
              <w:t>(in thousands)</w:t>
            </w:r>
          </w:p>
        </w:tc>
        <w:tc>
          <w:tcPr>
            <w:tcW w:w="1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1280" w:type="dxa"/>
            <w:vAlign w:val="bottom"/>
            <w:tcBorders>
              <w:bottom w:val="single" w:sz="8" w:color="auto"/>
            </w:tcBorders>
          </w:tcPr>
          <w:p>
            <w:pPr>
              <w:jc w:val="right"/>
              <w:ind w:right="550"/>
              <w:spacing w:after="0"/>
              <w:rPr>
                <w:sz w:val="20"/>
                <w:szCs w:val="20"/>
                <w:color w:val="auto"/>
              </w:rPr>
            </w:pPr>
            <w:r>
              <w:rPr>
                <w:rFonts w:ascii="Arial" w:cs="Arial" w:eastAsia="Arial" w:hAnsi="Arial"/>
                <w:sz w:val="18"/>
                <w:szCs w:val="18"/>
                <w:b w:val="1"/>
                <w:bCs w:val="1"/>
                <w:color w:val="auto"/>
              </w:rPr>
              <w:t>2021</w:t>
            </w:r>
          </w:p>
        </w:tc>
        <w:tc>
          <w:tcPr>
            <w:tcW w:w="40" w:type="dxa"/>
            <w:vAlign w:val="bottom"/>
            <w:tcBorders>
              <w:bottom w:val="single" w:sz="8" w:color="auto"/>
            </w:tcBorders>
          </w:tcPr>
          <w:p>
            <w:pPr>
              <w:spacing w:after="0"/>
              <w:rPr>
                <w:sz w:val="18"/>
                <w:szCs w:val="18"/>
                <w:color w:val="auto"/>
              </w:rPr>
            </w:pPr>
          </w:p>
        </w:tc>
        <w:tc>
          <w:tcPr>
            <w:tcW w:w="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420" w:type="dxa"/>
            <w:vAlign w:val="bottom"/>
            <w:tcBorders>
              <w:bottom w:val="single" w:sz="8" w:color="auto"/>
            </w:tcBorders>
          </w:tcPr>
          <w:p>
            <w:pPr>
              <w:spacing w:after="0"/>
              <w:rPr>
                <w:sz w:val="18"/>
                <w:szCs w:val="18"/>
                <w:color w:val="auto"/>
              </w:rPr>
            </w:pPr>
          </w:p>
        </w:tc>
        <w:tc>
          <w:tcPr>
            <w:tcW w:w="1160" w:type="dxa"/>
            <w:vAlign w:val="bottom"/>
            <w:tcBorders>
              <w:bottom w:val="single" w:sz="8" w:color="auto"/>
            </w:tcBorders>
          </w:tcPr>
          <w:p>
            <w:pPr>
              <w:jc w:val="right"/>
              <w:ind w:right="570"/>
              <w:spacing w:after="0"/>
              <w:rPr>
                <w:sz w:val="20"/>
                <w:szCs w:val="20"/>
                <w:color w:val="auto"/>
              </w:rPr>
            </w:pPr>
            <w:r>
              <w:rPr>
                <w:rFonts w:ascii="Arial" w:cs="Arial" w:eastAsia="Arial" w:hAnsi="Arial"/>
                <w:sz w:val="18"/>
                <w:szCs w:val="18"/>
                <w:b w:val="1"/>
                <w:bCs w:val="1"/>
                <w:color w:val="auto"/>
              </w:rPr>
              <w:t>2020</w:t>
            </w:r>
          </w:p>
        </w:tc>
        <w:tc>
          <w:tcPr>
            <w:tcW w:w="0" w:type="dxa"/>
            <w:vAlign w:val="bottom"/>
          </w:tcPr>
          <w:p>
            <w:pPr>
              <w:spacing w:after="0"/>
              <w:rPr>
                <w:sz w:val="1"/>
                <w:szCs w:val="1"/>
                <w:color w:val="auto"/>
              </w:rPr>
            </w:pPr>
          </w:p>
        </w:tc>
      </w:tr>
      <w:tr>
        <w:trPr>
          <w:trHeight w:val="209"/>
        </w:trPr>
        <w:tc>
          <w:tcPr>
            <w:tcW w:w="7200" w:type="dxa"/>
            <w:vAlign w:val="bottom"/>
            <w:shd w:val="clear" w:color="auto" w:fill="CCEEFF"/>
          </w:tcPr>
          <w:p>
            <w:pPr>
              <w:spacing w:after="0"/>
              <w:rPr>
                <w:sz w:val="20"/>
                <w:szCs w:val="20"/>
                <w:color w:val="auto"/>
              </w:rPr>
            </w:pPr>
            <w:r>
              <w:rPr>
                <w:rFonts w:ascii="Arial" w:cs="Arial" w:eastAsia="Arial" w:hAnsi="Arial"/>
                <w:sz w:val="18"/>
                <w:szCs w:val="18"/>
                <w:color w:val="auto"/>
              </w:rPr>
              <w:t>Cash paid for amounts included in the measurement of lease liabilities:</w:t>
            </w:r>
          </w:p>
        </w:tc>
        <w:tc>
          <w:tcPr>
            <w:tcW w:w="460" w:type="dxa"/>
            <w:vAlign w:val="bottom"/>
            <w:gridSpan w:val="3"/>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12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2,365</w:t>
            </w:r>
          </w:p>
        </w:tc>
        <w:tc>
          <w:tcPr>
            <w:tcW w:w="40" w:type="dxa"/>
            <w:vAlign w:val="bottom"/>
            <w:shd w:val="clear" w:color="auto" w:fill="CCEEFF"/>
          </w:tcPr>
          <w:p>
            <w:pPr>
              <w:spacing w:after="0"/>
              <w:rPr>
                <w:sz w:val="18"/>
                <w:szCs w:val="18"/>
                <w:color w:val="auto"/>
              </w:rPr>
            </w:pPr>
          </w:p>
        </w:tc>
        <w:tc>
          <w:tcPr>
            <w:tcW w:w="520" w:type="dxa"/>
            <w:vAlign w:val="bottom"/>
            <w:gridSpan w:val="3"/>
            <w:shd w:val="clear" w:color="auto" w:fill="CCEEFF"/>
          </w:tcPr>
          <w:p>
            <w:pPr>
              <w:jc w:val="right"/>
              <w:ind w:right="320"/>
              <w:spacing w:after="0"/>
              <w:rPr>
                <w:sz w:val="20"/>
                <w:szCs w:val="20"/>
                <w:color w:val="auto"/>
              </w:rPr>
            </w:pPr>
            <w:r>
              <w:rPr>
                <w:rFonts w:ascii="Arial" w:cs="Arial" w:eastAsia="Arial" w:hAnsi="Arial"/>
                <w:sz w:val="18"/>
                <w:szCs w:val="18"/>
                <w:color w:val="auto"/>
              </w:rPr>
              <w:t>$</w:t>
            </w:r>
          </w:p>
        </w:tc>
        <w:tc>
          <w:tcPr>
            <w:tcW w:w="116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2,717</w:t>
            </w:r>
          </w:p>
        </w:tc>
        <w:tc>
          <w:tcPr>
            <w:tcW w:w="0" w:type="dxa"/>
            <w:vAlign w:val="bottom"/>
          </w:tcPr>
          <w:p>
            <w:pPr>
              <w:spacing w:after="0"/>
              <w:rPr>
                <w:sz w:val="1"/>
                <w:szCs w:val="1"/>
                <w:color w:val="auto"/>
              </w:rPr>
            </w:pPr>
          </w:p>
        </w:tc>
      </w:tr>
      <w:tr>
        <w:trPr>
          <w:trHeight w:val="230"/>
        </w:trPr>
        <w:tc>
          <w:tcPr>
            <w:tcW w:w="7200" w:type="dxa"/>
            <w:vAlign w:val="bottom"/>
          </w:tcPr>
          <w:p>
            <w:pPr>
              <w:spacing w:after="0"/>
              <w:rPr>
                <w:sz w:val="20"/>
                <w:szCs w:val="20"/>
                <w:color w:val="auto"/>
              </w:rPr>
            </w:pPr>
            <w:r>
              <w:rPr>
                <w:rFonts w:ascii="Arial" w:cs="Arial" w:eastAsia="Arial" w:hAnsi="Arial"/>
                <w:sz w:val="18"/>
                <w:szCs w:val="18"/>
                <w:color w:val="auto"/>
              </w:rPr>
              <w:t>Right of use assets obtained in exchange for lease obligations:</w:t>
            </w:r>
          </w:p>
        </w:tc>
        <w:tc>
          <w:tcPr>
            <w:tcW w:w="10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280" w:type="dxa"/>
            <w:vAlign w:val="bottom"/>
          </w:tcPr>
          <w:p>
            <w:pPr>
              <w:jc w:val="right"/>
              <w:spacing w:after="0"/>
              <w:rPr>
                <w:sz w:val="20"/>
                <w:szCs w:val="20"/>
                <w:color w:val="auto"/>
              </w:rPr>
            </w:pPr>
            <w:r>
              <w:rPr>
                <w:rFonts w:ascii="Arial" w:cs="Arial" w:eastAsia="Arial" w:hAnsi="Arial"/>
                <w:sz w:val="18"/>
                <w:szCs w:val="18"/>
                <w:color w:val="auto"/>
              </w:rPr>
              <w:t>524</w:t>
            </w:r>
          </w:p>
        </w:tc>
        <w:tc>
          <w:tcPr>
            <w:tcW w:w="4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1160" w:type="dxa"/>
            <w:vAlign w:val="bottom"/>
          </w:tcPr>
          <w:p>
            <w:pPr>
              <w:jc w:val="right"/>
              <w:ind w:right="10"/>
              <w:spacing w:after="0"/>
              <w:rPr>
                <w:sz w:val="20"/>
                <w:szCs w:val="20"/>
                <w:color w:val="auto"/>
              </w:rPr>
            </w:pPr>
            <w:r>
              <w:rPr>
                <w:rFonts w:ascii="Arial" w:cs="Arial" w:eastAsia="Arial" w:hAnsi="Arial"/>
                <w:sz w:val="18"/>
                <w:szCs w:val="18"/>
                <w:color w:val="auto"/>
              </w:rPr>
              <w:t>455</w:t>
            </w:r>
          </w:p>
        </w:tc>
        <w:tc>
          <w:tcPr>
            <w:tcW w:w="0" w:type="dxa"/>
            <w:vAlign w:val="bottom"/>
          </w:tcPr>
          <w:p>
            <w:pPr>
              <w:spacing w:after="0"/>
              <w:rPr>
                <w:sz w:val="1"/>
                <w:szCs w:val="1"/>
                <w:color w:val="auto"/>
              </w:rPr>
            </w:pPr>
          </w:p>
        </w:tc>
      </w:tr>
      <w:tr>
        <w:trPr>
          <w:trHeight w:val="418"/>
        </w:trPr>
        <w:tc>
          <w:tcPr>
            <w:tcW w:w="7200" w:type="dxa"/>
            <w:vAlign w:val="bottom"/>
          </w:tcPr>
          <w:p>
            <w:pPr>
              <w:spacing w:after="0"/>
              <w:rPr>
                <w:sz w:val="20"/>
                <w:szCs w:val="20"/>
                <w:color w:val="auto"/>
              </w:rPr>
            </w:pPr>
            <w:r>
              <w:rPr>
                <w:rFonts w:ascii="Arial" w:cs="Arial" w:eastAsia="Arial" w:hAnsi="Arial"/>
                <w:sz w:val="18"/>
                <w:szCs w:val="18"/>
                <w:color w:val="auto"/>
                <w:w w:val="90"/>
              </w:rPr>
              <w:t>Supplemental balance sheet information related to the Company’s operating leases was as follows:</w:t>
            </w:r>
          </w:p>
        </w:tc>
        <w:tc>
          <w:tcPr>
            <w:tcW w:w="1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32"/>
        </w:trPr>
        <w:tc>
          <w:tcPr>
            <w:tcW w:w="72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0" w:type="dxa"/>
            <w:vAlign w:val="bottom"/>
            <w:tcBorders>
              <w:bottom w:val="single" w:sz="8" w:color="auto"/>
            </w:tcBorders>
          </w:tcPr>
          <w:p>
            <w:pPr>
              <w:spacing w:after="0"/>
              <w:rPr>
                <w:sz w:val="24"/>
                <w:szCs w:val="24"/>
                <w:color w:val="auto"/>
              </w:rPr>
            </w:pPr>
          </w:p>
        </w:tc>
        <w:tc>
          <w:tcPr>
            <w:tcW w:w="300" w:type="dxa"/>
            <w:vAlign w:val="bottom"/>
            <w:tcBorders>
              <w:bottom w:val="single" w:sz="8" w:color="auto"/>
            </w:tcBorders>
          </w:tcPr>
          <w:p>
            <w:pPr>
              <w:spacing w:after="0"/>
              <w:rPr>
                <w:sz w:val="24"/>
                <w:szCs w:val="24"/>
                <w:color w:val="auto"/>
              </w:rPr>
            </w:pPr>
          </w:p>
        </w:tc>
        <w:tc>
          <w:tcPr>
            <w:tcW w:w="1840" w:type="dxa"/>
            <w:vAlign w:val="bottom"/>
            <w:tcBorders>
              <w:bottom w:val="single" w:sz="8" w:color="auto"/>
            </w:tcBorders>
            <w:gridSpan w:val="5"/>
          </w:tcPr>
          <w:p>
            <w:pPr>
              <w:jc w:val="right"/>
              <w:ind w:right="80"/>
              <w:spacing w:after="0"/>
              <w:rPr>
                <w:sz w:val="20"/>
                <w:szCs w:val="20"/>
                <w:color w:val="auto"/>
              </w:rPr>
            </w:pPr>
            <w:r>
              <w:rPr>
                <w:rFonts w:ascii="Arial" w:cs="Arial" w:eastAsia="Arial" w:hAnsi="Arial"/>
                <w:sz w:val="18"/>
                <w:szCs w:val="18"/>
                <w:b w:val="1"/>
                <w:bCs w:val="1"/>
                <w:color w:val="auto"/>
              </w:rPr>
              <w:t>December 31,</w:t>
            </w:r>
          </w:p>
        </w:tc>
        <w:tc>
          <w:tcPr>
            <w:tcW w:w="116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09"/>
        </w:trPr>
        <w:tc>
          <w:tcPr>
            <w:tcW w:w="7200" w:type="dxa"/>
            <w:vAlign w:val="bottom"/>
          </w:tcPr>
          <w:p>
            <w:pPr>
              <w:spacing w:after="0"/>
              <w:rPr>
                <w:sz w:val="20"/>
                <w:szCs w:val="20"/>
                <w:color w:val="auto"/>
              </w:rPr>
            </w:pPr>
            <w:r>
              <w:rPr>
                <w:rFonts w:ascii="Arial" w:cs="Arial" w:eastAsia="Arial" w:hAnsi="Arial"/>
                <w:sz w:val="18"/>
                <w:szCs w:val="18"/>
                <w:color w:val="auto"/>
              </w:rPr>
              <w:t>(in thousands)</w:t>
            </w:r>
          </w:p>
        </w:tc>
        <w:tc>
          <w:tcPr>
            <w:tcW w:w="100" w:type="dxa"/>
            <w:vAlign w:val="bottom"/>
          </w:tcPr>
          <w:p>
            <w:pPr>
              <w:spacing w:after="0"/>
              <w:rPr>
                <w:sz w:val="18"/>
                <w:szCs w:val="18"/>
                <w:color w:val="auto"/>
              </w:rPr>
            </w:pPr>
          </w:p>
        </w:tc>
        <w:tc>
          <w:tcPr>
            <w:tcW w:w="60" w:type="dxa"/>
            <w:vAlign w:val="bottom"/>
            <w:tcBorders>
              <w:bottom w:val="single" w:sz="8" w:color="auto"/>
            </w:tcBorders>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1280" w:type="dxa"/>
            <w:vAlign w:val="bottom"/>
            <w:tcBorders>
              <w:bottom w:val="single" w:sz="8" w:color="auto"/>
            </w:tcBorders>
          </w:tcPr>
          <w:p>
            <w:pPr>
              <w:jc w:val="right"/>
              <w:ind w:right="630"/>
              <w:spacing w:after="0"/>
              <w:rPr>
                <w:sz w:val="20"/>
                <w:szCs w:val="20"/>
                <w:color w:val="auto"/>
              </w:rPr>
            </w:pPr>
            <w:r>
              <w:rPr>
                <w:rFonts w:ascii="Arial" w:cs="Arial" w:eastAsia="Arial" w:hAnsi="Arial"/>
                <w:sz w:val="18"/>
                <w:szCs w:val="18"/>
                <w:b w:val="1"/>
                <w:bCs w:val="1"/>
                <w:color w:val="auto"/>
              </w:rPr>
              <w:t>2021</w:t>
            </w:r>
          </w:p>
        </w:tc>
        <w:tc>
          <w:tcPr>
            <w:tcW w:w="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60" w:type="dxa"/>
            <w:vAlign w:val="bottom"/>
            <w:tcBorders>
              <w:bottom w:val="single" w:sz="8" w:color="auto"/>
            </w:tcBorders>
          </w:tcPr>
          <w:p>
            <w:pPr>
              <w:spacing w:after="0"/>
              <w:rPr>
                <w:sz w:val="18"/>
                <w:szCs w:val="18"/>
                <w:color w:val="auto"/>
              </w:rPr>
            </w:pPr>
          </w:p>
        </w:tc>
        <w:tc>
          <w:tcPr>
            <w:tcW w:w="420" w:type="dxa"/>
            <w:vAlign w:val="bottom"/>
            <w:tcBorders>
              <w:bottom w:val="single" w:sz="8" w:color="auto"/>
            </w:tcBorders>
          </w:tcPr>
          <w:p>
            <w:pPr>
              <w:spacing w:after="0"/>
              <w:rPr>
                <w:sz w:val="18"/>
                <w:szCs w:val="18"/>
                <w:color w:val="auto"/>
              </w:rPr>
            </w:pPr>
          </w:p>
        </w:tc>
        <w:tc>
          <w:tcPr>
            <w:tcW w:w="1160" w:type="dxa"/>
            <w:vAlign w:val="bottom"/>
            <w:tcBorders>
              <w:bottom w:val="single" w:sz="8" w:color="auto"/>
            </w:tcBorders>
          </w:tcPr>
          <w:p>
            <w:pPr>
              <w:jc w:val="right"/>
              <w:ind w:right="630"/>
              <w:spacing w:after="0"/>
              <w:rPr>
                <w:sz w:val="20"/>
                <w:szCs w:val="20"/>
                <w:color w:val="auto"/>
              </w:rPr>
            </w:pPr>
            <w:r>
              <w:rPr>
                <w:rFonts w:ascii="Arial" w:cs="Arial" w:eastAsia="Arial" w:hAnsi="Arial"/>
                <w:sz w:val="18"/>
                <w:szCs w:val="18"/>
                <w:b w:val="1"/>
                <w:bCs w:val="1"/>
                <w:color w:val="auto"/>
              </w:rPr>
              <w:t>2020</w:t>
            </w:r>
          </w:p>
        </w:tc>
        <w:tc>
          <w:tcPr>
            <w:tcW w:w="0" w:type="dxa"/>
            <w:vAlign w:val="bottom"/>
          </w:tcPr>
          <w:p>
            <w:pPr>
              <w:spacing w:after="0"/>
              <w:rPr>
                <w:sz w:val="1"/>
                <w:szCs w:val="1"/>
                <w:color w:val="auto"/>
              </w:rPr>
            </w:pPr>
          </w:p>
        </w:tc>
      </w:tr>
      <w:tr>
        <w:trPr>
          <w:trHeight w:val="210"/>
        </w:trPr>
        <w:tc>
          <w:tcPr>
            <w:tcW w:w="7200" w:type="dxa"/>
            <w:vAlign w:val="bottom"/>
            <w:shd w:val="clear" w:color="auto" w:fill="CCEEFF"/>
          </w:tcPr>
          <w:p>
            <w:pPr>
              <w:spacing w:after="0"/>
              <w:rPr>
                <w:sz w:val="20"/>
                <w:szCs w:val="20"/>
                <w:color w:val="auto"/>
              </w:rPr>
            </w:pPr>
            <w:r>
              <w:rPr>
                <w:rFonts w:ascii="Arial" w:cs="Arial" w:eastAsia="Arial" w:hAnsi="Arial"/>
                <w:sz w:val="18"/>
                <w:szCs w:val="18"/>
                <w:color w:val="auto"/>
              </w:rPr>
              <w:t>Operating lease right-of use assets</w:t>
            </w:r>
          </w:p>
        </w:tc>
        <w:tc>
          <w:tcPr>
            <w:tcW w:w="460" w:type="dxa"/>
            <w:vAlign w:val="bottom"/>
            <w:gridSpan w:val="3"/>
            <w:shd w:val="clear" w:color="auto" w:fill="CCEEFF"/>
          </w:tcPr>
          <w:p>
            <w:pPr>
              <w:jc w:val="right"/>
              <w:ind w:right="280"/>
              <w:spacing w:after="0"/>
              <w:rPr>
                <w:sz w:val="20"/>
                <w:szCs w:val="20"/>
                <w:color w:val="auto"/>
              </w:rPr>
            </w:pPr>
            <w:r>
              <w:rPr>
                <w:rFonts w:ascii="Arial" w:cs="Arial" w:eastAsia="Arial" w:hAnsi="Arial"/>
                <w:sz w:val="18"/>
                <w:szCs w:val="18"/>
                <w:color w:val="auto"/>
              </w:rPr>
              <w:t>$</w:t>
            </w:r>
          </w:p>
        </w:tc>
        <w:tc>
          <w:tcPr>
            <w:tcW w:w="128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rPr>
              <w:t>6,897</w:t>
            </w:r>
          </w:p>
        </w:tc>
        <w:tc>
          <w:tcPr>
            <w:tcW w:w="40" w:type="dxa"/>
            <w:vAlign w:val="bottom"/>
            <w:shd w:val="clear" w:color="auto" w:fill="CCEEFF"/>
          </w:tcPr>
          <w:p>
            <w:pPr>
              <w:spacing w:after="0"/>
              <w:rPr>
                <w:sz w:val="18"/>
                <w:szCs w:val="18"/>
                <w:color w:val="auto"/>
              </w:rPr>
            </w:pPr>
          </w:p>
        </w:tc>
        <w:tc>
          <w:tcPr>
            <w:tcW w:w="520" w:type="dxa"/>
            <w:vAlign w:val="bottom"/>
            <w:gridSpan w:val="3"/>
            <w:shd w:val="clear" w:color="auto" w:fill="CCEEFF"/>
          </w:tcPr>
          <w:p>
            <w:pPr>
              <w:jc w:val="right"/>
              <w:ind w:right="380"/>
              <w:spacing w:after="0"/>
              <w:rPr>
                <w:sz w:val="20"/>
                <w:szCs w:val="20"/>
                <w:color w:val="auto"/>
              </w:rPr>
            </w:pPr>
            <w:r>
              <w:rPr>
                <w:rFonts w:ascii="Arial" w:cs="Arial" w:eastAsia="Arial" w:hAnsi="Arial"/>
                <w:sz w:val="18"/>
                <w:szCs w:val="18"/>
                <w:color w:val="auto"/>
              </w:rPr>
              <w:t>$</w:t>
            </w:r>
          </w:p>
        </w:tc>
        <w:tc>
          <w:tcPr>
            <w:tcW w:w="116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rPr>
              <w:t>7,761</w:t>
            </w:r>
          </w:p>
        </w:tc>
        <w:tc>
          <w:tcPr>
            <w:tcW w:w="0" w:type="dxa"/>
            <w:vAlign w:val="bottom"/>
          </w:tcPr>
          <w:p>
            <w:pPr>
              <w:spacing w:after="0"/>
              <w:rPr>
                <w:sz w:val="1"/>
                <w:szCs w:val="1"/>
                <w:color w:val="auto"/>
              </w:rPr>
            </w:pPr>
          </w:p>
        </w:tc>
      </w:tr>
      <w:tr>
        <w:trPr>
          <w:trHeight w:val="216"/>
        </w:trPr>
        <w:tc>
          <w:tcPr>
            <w:tcW w:w="7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60" w:type="dxa"/>
            <w:vAlign w:val="bottom"/>
            <w:gridSpan w:val="2"/>
          </w:tcPr>
          <w:p>
            <w:pPr>
              <w:spacing w:after="0"/>
              <w:rPr>
                <w:sz w:val="18"/>
                <w:szCs w:val="18"/>
                <w:color w:val="auto"/>
              </w:rPr>
            </w:pPr>
          </w:p>
        </w:tc>
        <w:tc>
          <w:tcPr>
            <w:tcW w:w="12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480" w:type="dxa"/>
            <w:vAlign w:val="bottom"/>
            <w:gridSpan w:val="2"/>
          </w:tcPr>
          <w:p>
            <w:pPr>
              <w:spacing w:after="0"/>
              <w:rPr>
                <w:sz w:val="18"/>
                <w:szCs w:val="18"/>
                <w:color w:val="auto"/>
              </w:rPr>
            </w:pPr>
          </w:p>
        </w:tc>
        <w:tc>
          <w:tcPr>
            <w:tcW w:w="1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200" w:type="dxa"/>
            <w:vAlign w:val="bottom"/>
            <w:shd w:val="clear" w:color="auto" w:fill="CCEEFF"/>
          </w:tcPr>
          <w:p>
            <w:pPr>
              <w:spacing w:after="0"/>
              <w:rPr>
                <w:sz w:val="20"/>
                <w:szCs w:val="20"/>
                <w:color w:val="auto"/>
              </w:rPr>
            </w:pPr>
            <w:r>
              <w:rPr>
                <w:rFonts w:ascii="Arial" w:cs="Arial" w:eastAsia="Arial" w:hAnsi="Arial"/>
                <w:sz w:val="18"/>
                <w:szCs w:val="18"/>
                <w:color w:val="auto"/>
              </w:rPr>
              <w:t>Operating lease liabilities, current</w:t>
            </w:r>
          </w:p>
        </w:tc>
        <w:tc>
          <w:tcPr>
            <w:tcW w:w="460" w:type="dxa"/>
            <w:vAlign w:val="bottom"/>
            <w:gridSpan w:val="3"/>
            <w:shd w:val="clear" w:color="auto" w:fill="CCEEFF"/>
          </w:tcPr>
          <w:p>
            <w:pPr>
              <w:jc w:val="right"/>
              <w:ind w:right="280"/>
              <w:spacing w:after="0"/>
              <w:rPr>
                <w:sz w:val="20"/>
                <w:szCs w:val="20"/>
                <w:color w:val="auto"/>
              </w:rPr>
            </w:pPr>
            <w:r>
              <w:rPr>
                <w:rFonts w:ascii="Arial" w:cs="Arial" w:eastAsia="Arial" w:hAnsi="Arial"/>
                <w:sz w:val="18"/>
                <w:szCs w:val="18"/>
                <w:color w:val="auto"/>
              </w:rPr>
              <w:t>$</w:t>
            </w:r>
          </w:p>
        </w:tc>
        <w:tc>
          <w:tcPr>
            <w:tcW w:w="128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rPr>
              <w:t>2,142</w:t>
            </w:r>
          </w:p>
        </w:tc>
        <w:tc>
          <w:tcPr>
            <w:tcW w:w="40" w:type="dxa"/>
            <w:vAlign w:val="bottom"/>
            <w:shd w:val="clear" w:color="auto" w:fill="CCEEFF"/>
          </w:tcPr>
          <w:p>
            <w:pPr>
              <w:spacing w:after="0"/>
              <w:rPr>
                <w:sz w:val="18"/>
                <w:szCs w:val="18"/>
                <w:color w:val="auto"/>
              </w:rPr>
            </w:pPr>
          </w:p>
        </w:tc>
        <w:tc>
          <w:tcPr>
            <w:tcW w:w="520" w:type="dxa"/>
            <w:vAlign w:val="bottom"/>
            <w:gridSpan w:val="3"/>
            <w:shd w:val="clear" w:color="auto" w:fill="CCEEFF"/>
          </w:tcPr>
          <w:p>
            <w:pPr>
              <w:jc w:val="right"/>
              <w:ind w:right="380"/>
              <w:spacing w:after="0"/>
              <w:rPr>
                <w:sz w:val="20"/>
                <w:szCs w:val="20"/>
                <w:color w:val="auto"/>
              </w:rPr>
            </w:pPr>
            <w:r>
              <w:rPr>
                <w:rFonts w:ascii="Arial" w:cs="Arial" w:eastAsia="Arial" w:hAnsi="Arial"/>
                <w:sz w:val="18"/>
                <w:szCs w:val="18"/>
                <w:color w:val="auto"/>
              </w:rPr>
              <w:t>$</w:t>
            </w:r>
          </w:p>
        </w:tc>
        <w:tc>
          <w:tcPr>
            <w:tcW w:w="116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rPr>
              <w:t>2,111</w:t>
            </w:r>
          </w:p>
        </w:tc>
        <w:tc>
          <w:tcPr>
            <w:tcW w:w="0" w:type="dxa"/>
            <w:vAlign w:val="bottom"/>
          </w:tcPr>
          <w:p>
            <w:pPr>
              <w:spacing w:after="0"/>
              <w:rPr>
                <w:sz w:val="1"/>
                <w:szCs w:val="1"/>
                <w:color w:val="auto"/>
              </w:rPr>
            </w:pPr>
          </w:p>
        </w:tc>
      </w:tr>
      <w:tr>
        <w:trPr>
          <w:trHeight w:val="216"/>
        </w:trPr>
        <w:tc>
          <w:tcPr>
            <w:tcW w:w="7200" w:type="dxa"/>
            <w:vAlign w:val="bottom"/>
          </w:tcPr>
          <w:p>
            <w:pPr>
              <w:spacing w:after="0"/>
              <w:rPr>
                <w:sz w:val="20"/>
                <w:szCs w:val="20"/>
                <w:color w:val="auto"/>
              </w:rPr>
            </w:pPr>
            <w:r>
              <w:rPr>
                <w:rFonts w:ascii="Arial" w:cs="Arial" w:eastAsia="Arial" w:hAnsi="Arial"/>
                <w:sz w:val="18"/>
                <w:szCs w:val="18"/>
                <w:color w:val="auto"/>
              </w:rPr>
              <w:t>Operating lease liabilities, long term</w:t>
            </w:r>
          </w:p>
        </w:tc>
        <w:tc>
          <w:tcPr>
            <w:tcW w:w="100" w:type="dxa"/>
            <w:vAlign w:val="bottom"/>
          </w:tcPr>
          <w:p>
            <w:pPr>
              <w:spacing w:after="0"/>
              <w:rPr>
                <w:sz w:val="18"/>
                <w:szCs w:val="18"/>
                <w:color w:val="auto"/>
              </w:rPr>
            </w:pPr>
          </w:p>
        </w:tc>
        <w:tc>
          <w:tcPr>
            <w:tcW w:w="60" w:type="dxa"/>
            <w:vAlign w:val="bottom"/>
            <w:tcBorders>
              <w:bottom w:val="single" w:sz="8" w:color="auto"/>
            </w:tcBorders>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1280" w:type="dxa"/>
            <w:vAlign w:val="bottom"/>
            <w:tcBorders>
              <w:bottom w:val="single" w:sz="8" w:color="auto"/>
            </w:tcBorders>
          </w:tcPr>
          <w:p>
            <w:pPr>
              <w:jc w:val="right"/>
              <w:ind w:right="70"/>
              <w:spacing w:after="0"/>
              <w:rPr>
                <w:sz w:val="20"/>
                <w:szCs w:val="20"/>
                <w:color w:val="auto"/>
              </w:rPr>
            </w:pPr>
            <w:r>
              <w:rPr>
                <w:rFonts w:ascii="Arial" w:cs="Arial" w:eastAsia="Arial" w:hAnsi="Arial"/>
                <w:sz w:val="18"/>
                <w:szCs w:val="18"/>
                <w:color w:val="auto"/>
              </w:rPr>
              <w:t>6,488</w:t>
            </w:r>
          </w:p>
        </w:tc>
        <w:tc>
          <w:tcPr>
            <w:tcW w:w="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60" w:type="dxa"/>
            <w:vAlign w:val="bottom"/>
            <w:tcBorders>
              <w:bottom w:val="single" w:sz="8" w:color="auto"/>
            </w:tcBorders>
          </w:tcPr>
          <w:p>
            <w:pPr>
              <w:spacing w:after="0"/>
              <w:rPr>
                <w:sz w:val="18"/>
                <w:szCs w:val="18"/>
                <w:color w:val="auto"/>
              </w:rPr>
            </w:pPr>
          </w:p>
        </w:tc>
        <w:tc>
          <w:tcPr>
            <w:tcW w:w="420" w:type="dxa"/>
            <w:vAlign w:val="bottom"/>
            <w:tcBorders>
              <w:bottom w:val="single" w:sz="8" w:color="auto"/>
            </w:tcBorders>
          </w:tcPr>
          <w:p>
            <w:pPr>
              <w:spacing w:after="0"/>
              <w:rPr>
                <w:sz w:val="18"/>
                <w:szCs w:val="18"/>
                <w:color w:val="auto"/>
              </w:rPr>
            </w:pPr>
          </w:p>
        </w:tc>
        <w:tc>
          <w:tcPr>
            <w:tcW w:w="1160" w:type="dxa"/>
            <w:vAlign w:val="bottom"/>
            <w:tcBorders>
              <w:bottom w:val="single" w:sz="8" w:color="auto"/>
            </w:tcBorders>
          </w:tcPr>
          <w:p>
            <w:pPr>
              <w:jc w:val="right"/>
              <w:ind w:right="70"/>
              <w:spacing w:after="0"/>
              <w:rPr>
                <w:sz w:val="20"/>
                <w:szCs w:val="20"/>
                <w:color w:val="auto"/>
              </w:rPr>
            </w:pPr>
            <w:r>
              <w:rPr>
                <w:rFonts w:ascii="Arial" w:cs="Arial" w:eastAsia="Arial" w:hAnsi="Arial"/>
                <w:sz w:val="18"/>
                <w:szCs w:val="18"/>
                <w:color w:val="auto"/>
              </w:rPr>
              <w:t>7,481</w:t>
            </w:r>
          </w:p>
        </w:tc>
        <w:tc>
          <w:tcPr>
            <w:tcW w:w="0" w:type="dxa"/>
            <w:vAlign w:val="bottom"/>
          </w:tcPr>
          <w:p>
            <w:pPr>
              <w:spacing w:after="0"/>
              <w:rPr>
                <w:sz w:val="1"/>
                <w:szCs w:val="1"/>
                <w:color w:val="auto"/>
              </w:rPr>
            </w:pPr>
          </w:p>
        </w:tc>
      </w:tr>
      <w:tr>
        <w:trPr>
          <w:trHeight w:val="250"/>
        </w:trPr>
        <w:tc>
          <w:tcPr>
            <w:tcW w:w="7200" w:type="dxa"/>
            <w:vAlign w:val="bottom"/>
            <w:shd w:val="clear" w:color="auto" w:fill="CCEEFF"/>
          </w:tcPr>
          <w:p>
            <w:pPr>
              <w:spacing w:after="0"/>
              <w:rPr>
                <w:sz w:val="20"/>
                <w:szCs w:val="20"/>
                <w:color w:val="auto"/>
              </w:rPr>
            </w:pPr>
            <w:r>
              <w:rPr>
                <w:rFonts w:ascii="Arial" w:cs="Arial" w:eastAsia="Arial" w:hAnsi="Arial"/>
                <w:sz w:val="18"/>
                <w:szCs w:val="18"/>
                <w:color w:val="auto"/>
              </w:rPr>
              <w:t>Total operating lease liabilities</w:t>
            </w:r>
          </w:p>
        </w:tc>
        <w:tc>
          <w:tcPr>
            <w:tcW w:w="460" w:type="dxa"/>
            <w:vAlign w:val="bottom"/>
            <w:gridSpan w:val="3"/>
            <w:shd w:val="clear" w:color="auto" w:fill="CCEEFF"/>
          </w:tcPr>
          <w:p>
            <w:pPr>
              <w:jc w:val="right"/>
              <w:ind w:right="280"/>
              <w:spacing w:after="0"/>
              <w:rPr>
                <w:sz w:val="20"/>
                <w:szCs w:val="20"/>
                <w:color w:val="auto"/>
              </w:rPr>
            </w:pPr>
            <w:r>
              <w:rPr>
                <w:rFonts w:ascii="Arial" w:cs="Arial" w:eastAsia="Arial" w:hAnsi="Arial"/>
                <w:sz w:val="18"/>
                <w:szCs w:val="18"/>
                <w:color w:val="auto"/>
              </w:rPr>
              <w:t>$</w:t>
            </w:r>
          </w:p>
        </w:tc>
        <w:tc>
          <w:tcPr>
            <w:tcW w:w="128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rPr>
              <w:t>8,630</w:t>
            </w:r>
          </w:p>
        </w:tc>
        <w:tc>
          <w:tcPr>
            <w:tcW w:w="40" w:type="dxa"/>
            <w:vAlign w:val="bottom"/>
            <w:shd w:val="clear" w:color="auto" w:fill="CCEEFF"/>
          </w:tcPr>
          <w:p>
            <w:pPr>
              <w:spacing w:after="0"/>
              <w:rPr>
                <w:sz w:val="21"/>
                <w:szCs w:val="21"/>
                <w:color w:val="auto"/>
              </w:rPr>
            </w:pPr>
          </w:p>
        </w:tc>
        <w:tc>
          <w:tcPr>
            <w:tcW w:w="520" w:type="dxa"/>
            <w:vAlign w:val="bottom"/>
            <w:gridSpan w:val="3"/>
            <w:shd w:val="clear" w:color="auto" w:fill="CCEEFF"/>
          </w:tcPr>
          <w:p>
            <w:pPr>
              <w:jc w:val="right"/>
              <w:ind w:right="380"/>
              <w:spacing w:after="0"/>
              <w:rPr>
                <w:sz w:val="20"/>
                <w:szCs w:val="20"/>
                <w:color w:val="auto"/>
              </w:rPr>
            </w:pPr>
            <w:r>
              <w:rPr>
                <w:rFonts w:ascii="Arial" w:cs="Arial" w:eastAsia="Arial" w:hAnsi="Arial"/>
                <w:sz w:val="18"/>
                <w:szCs w:val="18"/>
                <w:color w:val="auto"/>
              </w:rPr>
              <w:t>$</w:t>
            </w:r>
          </w:p>
        </w:tc>
        <w:tc>
          <w:tcPr>
            <w:tcW w:w="116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rPr>
              <w:t>9,592</w:t>
            </w:r>
          </w:p>
        </w:tc>
        <w:tc>
          <w:tcPr>
            <w:tcW w:w="0" w:type="dxa"/>
            <w:vAlign w:val="bottom"/>
          </w:tcPr>
          <w:p>
            <w:pPr>
              <w:spacing w:after="0"/>
              <w:rPr>
                <w:sz w:val="1"/>
                <w:szCs w:val="1"/>
                <w:color w:val="auto"/>
              </w:rPr>
            </w:pPr>
          </w:p>
        </w:tc>
      </w:tr>
      <w:tr>
        <w:trPr>
          <w:trHeight w:val="197"/>
        </w:trPr>
        <w:tc>
          <w:tcPr>
            <w:tcW w:w="7200" w:type="dxa"/>
            <w:vAlign w:val="bottom"/>
            <w:tcBorders>
              <w:top w:val="single" w:sz="8" w:color="CCEEFF"/>
            </w:tcBorders>
          </w:tcPr>
          <w:p>
            <w:pPr>
              <w:spacing w:after="0"/>
              <w:rPr>
                <w:sz w:val="17"/>
                <w:szCs w:val="17"/>
                <w:color w:val="auto"/>
              </w:rPr>
            </w:pPr>
          </w:p>
        </w:tc>
        <w:tc>
          <w:tcPr>
            <w:tcW w:w="100" w:type="dxa"/>
            <w:vAlign w:val="bottom"/>
            <w:tcBorders>
              <w:top w:val="single" w:sz="8" w:color="CCEEFF"/>
            </w:tcBorders>
          </w:tcPr>
          <w:p>
            <w:pPr>
              <w:spacing w:after="0"/>
              <w:rPr>
                <w:sz w:val="17"/>
                <w:szCs w:val="17"/>
                <w:color w:val="auto"/>
              </w:rPr>
            </w:pPr>
          </w:p>
        </w:tc>
        <w:tc>
          <w:tcPr>
            <w:tcW w:w="60" w:type="dxa"/>
            <w:vAlign w:val="bottom"/>
            <w:tcBorders>
              <w:top w:val="single" w:sz="8" w:color="auto"/>
            </w:tcBorders>
          </w:tcPr>
          <w:p>
            <w:pPr>
              <w:spacing w:after="0"/>
              <w:rPr>
                <w:sz w:val="17"/>
                <w:szCs w:val="17"/>
                <w:color w:val="auto"/>
              </w:rPr>
            </w:pPr>
          </w:p>
        </w:tc>
        <w:tc>
          <w:tcPr>
            <w:tcW w:w="300" w:type="dxa"/>
            <w:vAlign w:val="bottom"/>
            <w:tcBorders>
              <w:top w:val="single" w:sz="8" w:color="auto"/>
            </w:tcBorders>
          </w:tcPr>
          <w:p>
            <w:pPr>
              <w:spacing w:after="0"/>
              <w:rPr>
                <w:sz w:val="17"/>
                <w:szCs w:val="17"/>
                <w:color w:val="auto"/>
              </w:rPr>
            </w:pPr>
          </w:p>
        </w:tc>
        <w:tc>
          <w:tcPr>
            <w:tcW w:w="1280" w:type="dxa"/>
            <w:vAlign w:val="bottom"/>
            <w:tcBorders>
              <w:top w:val="single" w:sz="8" w:color="auto"/>
            </w:tcBorders>
          </w:tcPr>
          <w:p>
            <w:pPr>
              <w:spacing w:after="0"/>
              <w:rPr>
                <w:sz w:val="17"/>
                <w:szCs w:val="17"/>
                <w:color w:val="auto"/>
              </w:rPr>
            </w:pPr>
          </w:p>
        </w:tc>
        <w:tc>
          <w:tcPr>
            <w:tcW w:w="40" w:type="dxa"/>
            <w:vAlign w:val="bottom"/>
            <w:tcBorders>
              <w:top w:val="single" w:sz="8" w:color="CCEEFF"/>
            </w:tcBorders>
          </w:tcPr>
          <w:p>
            <w:pPr>
              <w:spacing w:after="0"/>
              <w:rPr>
                <w:sz w:val="17"/>
                <w:szCs w:val="17"/>
                <w:color w:val="auto"/>
              </w:rPr>
            </w:pPr>
          </w:p>
        </w:tc>
        <w:tc>
          <w:tcPr>
            <w:tcW w:w="40" w:type="dxa"/>
            <w:vAlign w:val="bottom"/>
            <w:tcBorders>
              <w:top w:val="single" w:sz="8" w:color="CCEEFF"/>
            </w:tcBorders>
          </w:tcPr>
          <w:p>
            <w:pPr>
              <w:spacing w:after="0"/>
              <w:rPr>
                <w:sz w:val="17"/>
                <w:szCs w:val="17"/>
                <w:color w:val="auto"/>
              </w:rPr>
            </w:pPr>
          </w:p>
        </w:tc>
        <w:tc>
          <w:tcPr>
            <w:tcW w:w="60" w:type="dxa"/>
            <w:vAlign w:val="bottom"/>
            <w:tcBorders>
              <w:top w:val="single" w:sz="8" w:color="auto"/>
            </w:tcBorders>
          </w:tcPr>
          <w:p>
            <w:pPr>
              <w:spacing w:after="0"/>
              <w:rPr>
                <w:sz w:val="17"/>
                <w:szCs w:val="17"/>
                <w:color w:val="auto"/>
              </w:rPr>
            </w:pPr>
          </w:p>
        </w:tc>
        <w:tc>
          <w:tcPr>
            <w:tcW w:w="420" w:type="dxa"/>
            <w:vAlign w:val="bottom"/>
            <w:tcBorders>
              <w:top w:val="single" w:sz="8" w:color="auto"/>
            </w:tcBorders>
          </w:tcPr>
          <w:p>
            <w:pPr>
              <w:spacing w:after="0"/>
              <w:rPr>
                <w:sz w:val="17"/>
                <w:szCs w:val="17"/>
                <w:color w:val="auto"/>
              </w:rPr>
            </w:pPr>
          </w:p>
        </w:tc>
        <w:tc>
          <w:tcPr>
            <w:tcW w:w="1160" w:type="dxa"/>
            <w:vAlign w:val="bottom"/>
            <w:tcBorders>
              <w:top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7200" w:type="dxa"/>
            <w:vAlign w:val="bottom"/>
            <w:shd w:val="clear" w:color="auto" w:fill="CCEEFF"/>
          </w:tcPr>
          <w:p>
            <w:pPr>
              <w:spacing w:after="0"/>
              <w:rPr>
                <w:sz w:val="20"/>
                <w:szCs w:val="20"/>
                <w:color w:val="auto"/>
              </w:rPr>
            </w:pPr>
            <w:r>
              <w:rPr>
                <w:rFonts w:ascii="Arial" w:cs="Arial" w:eastAsia="Arial" w:hAnsi="Arial"/>
                <w:sz w:val="18"/>
                <w:szCs w:val="18"/>
                <w:color w:val="auto"/>
              </w:rPr>
              <w:t>Weighted average remaining lease term (in years)</w:t>
            </w:r>
          </w:p>
        </w:tc>
        <w:tc>
          <w:tcPr>
            <w:tcW w:w="1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28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rPr>
              <w:t>6.7</w:t>
            </w:r>
          </w:p>
        </w:tc>
        <w:tc>
          <w:tcPr>
            <w:tcW w:w="4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116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rPr>
              <w:t>7.4</w:t>
            </w:r>
          </w:p>
        </w:tc>
        <w:tc>
          <w:tcPr>
            <w:tcW w:w="0" w:type="dxa"/>
            <w:vAlign w:val="bottom"/>
          </w:tcPr>
          <w:p>
            <w:pPr>
              <w:spacing w:after="0"/>
              <w:rPr>
                <w:sz w:val="1"/>
                <w:szCs w:val="1"/>
                <w:color w:val="auto"/>
              </w:rPr>
            </w:pPr>
          </w:p>
        </w:tc>
      </w:tr>
      <w:tr>
        <w:trPr>
          <w:trHeight w:val="230"/>
        </w:trPr>
        <w:tc>
          <w:tcPr>
            <w:tcW w:w="7200" w:type="dxa"/>
            <w:vAlign w:val="bottom"/>
          </w:tcPr>
          <w:p>
            <w:pPr>
              <w:spacing w:after="0"/>
              <w:rPr>
                <w:sz w:val="20"/>
                <w:szCs w:val="20"/>
                <w:color w:val="auto"/>
              </w:rPr>
            </w:pPr>
            <w:r>
              <w:rPr>
                <w:rFonts w:ascii="Arial" w:cs="Arial" w:eastAsia="Arial" w:hAnsi="Arial"/>
                <w:sz w:val="18"/>
                <w:szCs w:val="18"/>
                <w:color w:val="auto"/>
              </w:rPr>
              <w:t>Weighted average discount rate</w:t>
            </w:r>
          </w:p>
        </w:tc>
        <w:tc>
          <w:tcPr>
            <w:tcW w:w="10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280" w:type="dxa"/>
            <w:vAlign w:val="bottom"/>
          </w:tcPr>
          <w:p>
            <w:pPr>
              <w:jc w:val="right"/>
              <w:spacing w:after="0"/>
              <w:rPr>
                <w:sz w:val="20"/>
                <w:szCs w:val="20"/>
                <w:color w:val="auto"/>
              </w:rPr>
            </w:pPr>
            <w:r>
              <w:rPr>
                <w:rFonts w:ascii="Arial" w:cs="Arial" w:eastAsia="Arial" w:hAnsi="Arial"/>
                <w:sz w:val="18"/>
                <w:szCs w:val="18"/>
                <w:color w:val="auto"/>
              </w:rPr>
              <w:t>9.3%</w:t>
            </w:r>
          </w:p>
        </w:tc>
        <w:tc>
          <w:tcPr>
            <w:tcW w:w="4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9.3%</w:t>
            </w:r>
          </w:p>
        </w:tc>
        <w:tc>
          <w:tcPr>
            <w:tcW w:w="0" w:type="dxa"/>
            <w:vAlign w:val="bottom"/>
          </w:tcPr>
          <w:p>
            <w:pPr>
              <w:spacing w:after="0"/>
              <w:rPr>
                <w:sz w:val="1"/>
                <w:szCs w:val="1"/>
                <w:color w:val="auto"/>
              </w:rPr>
            </w:pPr>
          </w:p>
        </w:tc>
      </w:tr>
    </w:tbl>
    <w:p>
      <w:pPr>
        <w:spacing w:after="0" w:line="187" w:lineRule="exact"/>
        <w:rPr>
          <w:sz w:val="20"/>
          <w:szCs w:val="20"/>
          <w:color w:val="auto"/>
        </w:rPr>
      </w:pPr>
    </w:p>
    <w:p>
      <w:pPr>
        <w:ind w:left="660"/>
        <w:spacing w:after="0"/>
        <w:rPr>
          <w:sz w:val="20"/>
          <w:szCs w:val="20"/>
          <w:color w:val="auto"/>
        </w:rPr>
      </w:pPr>
      <w:r>
        <w:rPr>
          <w:rFonts w:ascii="Arial" w:cs="Arial" w:eastAsia="Arial" w:hAnsi="Arial"/>
          <w:sz w:val="18"/>
          <w:szCs w:val="18"/>
          <w:color w:val="auto"/>
        </w:rPr>
        <w:t>Future minimum lease payments for operating leases, with initial terms in excess of one year at December 31, 2021, are as follows:</w:t>
      </w:r>
    </w:p>
    <w:p>
      <w:pPr>
        <w:spacing w:after="0" w:line="225" w:lineRule="exact"/>
        <w:rPr>
          <w:sz w:val="20"/>
          <w:szCs w:val="20"/>
          <w:color w:val="auto"/>
        </w:rPr>
      </w:pPr>
    </w:p>
    <w:tbl>
      <w:tblPr>
        <w:tblLayout w:type="fixed"/>
        <w:tblInd w:w="660" w:type="dxa"/>
        <w:tblCellMar>
          <w:top w:w="0" w:type="dxa"/>
          <w:left w:w="0" w:type="dxa"/>
          <w:bottom w:w="0" w:type="dxa"/>
          <w:right w:w="0" w:type="dxa"/>
        </w:tblCellMar>
      </w:tblPr>
      <w:tr>
        <w:trPr>
          <w:trHeight w:val="230"/>
        </w:trPr>
        <w:tc>
          <w:tcPr>
            <w:tcW w:w="9060" w:type="dxa"/>
            <w:vAlign w:val="bottom"/>
          </w:tcPr>
          <w:p>
            <w:pPr>
              <w:spacing w:after="0"/>
              <w:rPr>
                <w:sz w:val="20"/>
                <w:szCs w:val="20"/>
                <w:color w:val="auto"/>
              </w:rPr>
            </w:pPr>
            <w:r>
              <w:rPr>
                <w:rFonts w:ascii="Arial" w:cs="Arial" w:eastAsia="Arial" w:hAnsi="Arial"/>
                <w:sz w:val="18"/>
                <w:szCs w:val="18"/>
                <w:color w:val="auto"/>
              </w:rPr>
              <w:t>(in thousands)</w:t>
            </w:r>
          </w:p>
        </w:tc>
        <w:tc>
          <w:tcPr>
            <w:tcW w:w="560" w:type="dxa"/>
            <w:vAlign w:val="bottom"/>
          </w:tcPr>
          <w:p>
            <w:pPr>
              <w:spacing w:after="0"/>
              <w:rPr>
                <w:sz w:val="20"/>
                <w:szCs w:val="20"/>
                <w:color w:val="auto"/>
              </w:rPr>
            </w:pPr>
          </w:p>
        </w:tc>
        <w:tc>
          <w:tcPr>
            <w:tcW w:w="1040" w:type="dxa"/>
            <w:vAlign w:val="bottom"/>
          </w:tcPr>
          <w:p>
            <w:pPr>
              <w:spacing w:after="0"/>
              <w:rPr>
                <w:sz w:val="20"/>
                <w:szCs w:val="20"/>
                <w:color w:val="auto"/>
              </w:rPr>
            </w:pPr>
          </w:p>
        </w:tc>
      </w:tr>
      <w:tr>
        <w:trPr>
          <w:trHeight w:val="216"/>
        </w:trPr>
        <w:tc>
          <w:tcPr>
            <w:tcW w:w="9060" w:type="dxa"/>
            <w:vAlign w:val="bottom"/>
            <w:shd w:val="clear" w:color="auto" w:fill="CCEEFF"/>
          </w:tcPr>
          <w:p>
            <w:pPr>
              <w:spacing w:after="0"/>
              <w:rPr>
                <w:sz w:val="20"/>
                <w:szCs w:val="20"/>
                <w:color w:val="auto"/>
              </w:rPr>
            </w:pPr>
            <w:r>
              <w:rPr>
                <w:rFonts w:ascii="Arial" w:cs="Arial" w:eastAsia="Arial" w:hAnsi="Arial"/>
                <w:sz w:val="18"/>
                <w:szCs w:val="18"/>
                <w:color w:val="auto"/>
              </w:rPr>
              <w:t>2022</w:t>
            </w:r>
          </w:p>
        </w:tc>
        <w:tc>
          <w:tcPr>
            <w:tcW w:w="560" w:type="dxa"/>
            <w:vAlign w:val="bottom"/>
            <w:shd w:val="clear" w:color="auto" w:fill="CCEEFF"/>
          </w:tcPr>
          <w:p>
            <w:pPr>
              <w:jc w:val="right"/>
              <w:ind w:right="370"/>
              <w:spacing w:after="0"/>
              <w:rPr>
                <w:sz w:val="20"/>
                <w:szCs w:val="20"/>
                <w:color w:val="auto"/>
              </w:rPr>
            </w:pPr>
            <w:r>
              <w:rPr>
                <w:rFonts w:ascii="Arial" w:cs="Arial" w:eastAsia="Arial" w:hAnsi="Arial"/>
                <w:sz w:val="18"/>
                <w:szCs w:val="18"/>
                <w:color w:val="auto"/>
                <w:w w:val="79"/>
              </w:rPr>
              <w:t>$</w:t>
            </w:r>
          </w:p>
        </w:tc>
        <w:tc>
          <w:tcPr>
            <w:tcW w:w="104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2,142</w:t>
            </w:r>
          </w:p>
        </w:tc>
      </w:tr>
      <w:tr>
        <w:trPr>
          <w:trHeight w:val="216"/>
        </w:trPr>
        <w:tc>
          <w:tcPr>
            <w:tcW w:w="9060" w:type="dxa"/>
            <w:vAlign w:val="bottom"/>
          </w:tcPr>
          <w:p>
            <w:pPr>
              <w:spacing w:after="0"/>
              <w:rPr>
                <w:sz w:val="20"/>
                <w:szCs w:val="20"/>
                <w:color w:val="auto"/>
              </w:rPr>
            </w:pPr>
            <w:r>
              <w:rPr>
                <w:rFonts w:ascii="Arial" w:cs="Arial" w:eastAsia="Arial" w:hAnsi="Arial"/>
                <w:sz w:val="18"/>
                <w:szCs w:val="18"/>
                <w:color w:val="auto"/>
              </w:rPr>
              <w:t>2023</w:t>
            </w:r>
          </w:p>
        </w:tc>
        <w:tc>
          <w:tcPr>
            <w:tcW w:w="560" w:type="dxa"/>
            <w:vAlign w:val="bottom"/>
          </w:tcPr>
          <w:p>
            <w:pPr>
              <w:spacing w:after="0"/>
              <w:rPr>
                <w:sz w:val="18"/>
                <w:szCs w:val="18"/>
                <w:color w:val="auto"/>
              </w:rPr>
            </w:pPr>
          </w:p>
        </w:tc>
        <w:tc>
          <w:tcPr>
            <w:tcW w:w="1040" w:type="dxa"/>
            <w:vAlign w:val="bottom"/>
          </w:tcPr>
          <w:p>
            <w:pPr>
              <w:jc w:val="right"/>
              <w:ind w:right="10"/>
              <w:spacing w:after="0"/>
              <w:rPr>
                <w:sz w:val="20"/>
                <w:szCs w:val="20"/>
                <w:color w:val="auto"/>
              </w:rPr>
            </w:pPr>
            <w:r>
              <w:rPr>
                <w:rFonts w:ascii="Arial" w:cs="Arial" w:eastAsia="Arial" w:hAnsi="Arial"/>
                <w:sz w:val="18"/>
                <w:szCs w:val="18"/>
                <w:color w:val="auto"/>
              </w:rPr>
              <w:t>2,122</w:t>
            </w:r>
          </w:p>
        </w:tc>
      </w:tr>
      <w:tr>
        <w:trPr>
          <w:trHeight w:val="216"/>
        </w:trPr>
        <w:tc>
          <w:tcPr>
            <w:tcW w:w="9060" w:type="dxa"/>
            <w:vAlign w:val="bottom"/>
            <w:shd w:val="clear" w:color="auto" w:fill="CCEEFF"/>
          </w:tcPr>
          <w:p>
            <w:pPr>
              <w:spacing w:after="0"/>
              <w:rPr>
                <w:sz w:val="20"/>
                <w:szCs w:val="20"/>
                <w:color w:val="auto"/>
              </w:rPr>
            </w:pPr>
            <w:r>
              <w:rPr>
                <w:rFonts w:ascii="Arial" w:cs="Arial" w:eastAsia="Arial" w:hAnsi="Arial"/>
                <w:sz w:val="18"/>
                <w:szCs w:val="18"/>
                <w:color w:val="auto"/>
              </w:rPr>
              <w:t>2024</w:t>
            </w:r>
          </w:p>
        </w:tc>
        <w:tc>
          <w:tcPr>
            <w:tcW w:w="560" w:type="dxa"/>
            <w:vAlign w:val="bottom"/>
            <w:shd w:val="clear" w:color="auto" w:fill="CCEEFF"/>
          </w:tcPr>
          <w:p>
            <w:pPr>
              <w:spacing w:after="0"/>
              <w:rPr>
                <w:sz w:val="18"/>
                <w:szCs w:val="18"/>
                <w:color w:val="auto"/>
              </w:rPr>
            </w:pPr>
          </w:p>
        </w:tc>
        <w:tc>
          <w:tcPr>
            <w:tcW w:w="104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1,768</w:t>
            </w:r>
          </w:p>
        </w:tc>
      </w:tr>
      <w:tr>
        <w:trPr>
          <w:trHeight w:val="216"/>
        </w:trPr>
        <w:tc>
          <w:tcPr>
            <w:tcW w:w="9060" w:type="dxa"/>
            <w:vAlign w:val="bottom"/>
          </w:tcPr>
          <w:p>
            <w:pPr>
              <w:spacing w:after="0"/>
              <w:rPr>
                <w:sz w:val="20"/>
                <w:szCs w:val="20"/>
                <w:color w:val="auto"/>
              </w:rPr>
            </w:pPr>
            <w:r>
              <w:rPr>
                <w:rFonts w:ascii="Arial" w:cs="Arial" w:eastAsia="Arial" w:hAnsi="Arial"/>
                <w:sz w:val="18"/>
                <w:szCs w:val="18"/>
                <w:color w:val="auto"/>
              </w:rPr>
              <w:t>2025</w:t>
            </w:r>
          </w:p>
        </w:tc>
        <w:tc>
          <w:tcPr>
            <w:tcW w:w="560" w:type="dxa"/>
            <w:vAlign w:val="bottom"/>
          </w:tcPr>
          <w:p>
            <w:pPr>
              <w:spacing w:after="0"/>
              <w:rPr>
                <w:sz w:val="18"/>
                <w:szCs w:val="18"/>
                <w:color w:val="auto"/>
              </w:rPr>
            </w:pPr>
          </w:p>
        </w:tc>
        <w:tc>
          <w:tcPr>
            <w:tcW w:w="1040" w:type="dxa"/>
            <w:vAlign w:val="bottom"/>
          </w:tcPr>
          <w:p>
            <w:pPr>
              <w:jc w:val="right"/>
              <w:ind w:right="10"/>
              <w:spacing w:after="0"/>
              <w:rPr>
                <w:sz w:val="20"/>
                <w:szCs w:val="20"/>
                <w:color w:val="auto"/>
              </w:rPr>
            </w:pPr>
            <w:r>
              <w:rPr>
                <w:rFonts w:ascii="Arial" w:cs="Arial" w:eastAsia="Arial" w:hAnsi="Arial"/>
                <w:sz w:val="18"/>
                <w:szCs w:val="18"/>
                <w:color w:val="auto"/>
              </w:rPr>
              <w:t>1,014</w:t>
            </w:r>
          </w:p>
        </w:tc>
      </w:tr>
      <w:tr>
        <w:trPr>
          <w:trHeight w:val="216"/>
        </w:trPr>
        <w:tc>
          <w:tcPr>
            <w:tcW w:w="9060" w:type="dxa"/>
            <w:vAlign w:val="bottom"/>
            <w:shd w:val="clear" w:color="auto" w:fill="CCEEFF"/>
          </w:tcPr>
          <w:p>
            <w:pPr>
              <w:spacing w:after="0"/>
              <w:rPr>
                <w:sz w:val="20"/>
                <w:szCs w:val="20"/>
                <w:color w:val="auto"/>
              </w:rPr>
            </w:pPr>
            <w:r>
              <w:rPr>
                <w:rFonts w:ascii="Arial" w:cs="Arial" w:eastAsia="Arial" w:hAnsi="Arial"/>
                <w:sz w:val="18"/>
                <w:szCs w:val="18"/>
                <w:color w:val="auto"/>
              </w:rPr>
              <w:t>2026</w:t>
            </w:r>
          </w:p>
        </w:tc>
        <w:tc>
          <w:tcPr>
            <w:tcW w:w="560" w:type="dxa"/>
            <w:vAlign w:val="bottom"/>
            <w:shd w:val="clear" w:color="auto" w:fill="CCEEFF"/>
          </w:tcPr>
          <w:p>
            <w:pPr>
              <w:spacing w:after="0"/>
              <w:rPr>
                <w:sz w:val="18"/>
                <w:szCs w:val="18"/>
                <w:color w:val="auto"/>
              </w:rPr>
            </w:pPr>
          </w:p>
        </w:tc>
        <w:tc>
          <w:tcPr>
            <w:tcW w:w="104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980</w:t>
            </w:r>
          </w:p>
        </w:tc>
      </w:tr>
      <w:tr>
        <w:trPr>
          <w:trHeight w:val="216"/>
        </w:trPr>
        <w:tc>
          <w:tcPr>
            <w:tcW w:w="9060" w:type="dxa"/>
            <w:vAlign w:val="bottom"/>
          </w:tcPr>
          <w:p>
            <w:pPr>
              <w:spacing w:after="0"/>
              <w:rPr>
                <w:sz w:val="20"/>
                <w:szCs w:val="20"/>
                <w:color w:val="auto"/>
              </w:rPr>
            </w:pPr>
            <w:r>
              <w:rPr>
                <w:rFonts w:ascii="Arial" w:cs="Arial" w:eastAsia="Arial" w:hAnsi="Arial"/>
                <w:sz w:val="18"/>
                <w:szCs w:val="18"/>
                <w:color w:val="auto"/>
              </w:rPr>
              <w:t>Thereafter</w:t>
            </w:r>
          </w:p>
        </w:tc>
        <w:tc>
          <w:tcPr>
            <w:tcW w:w="560" w:type="dxa"/>
            <w:vAlign w:val="bottom"/>
            <w:tcBorders>
              <w:bottom w:val="single" w:sz="8" w:color="auto"/>
            </w:tcBorders>
          </w:tcPr>
          <w:p>
            <w:pPr>
              <w:spacing w:after="0"/>
              <w:rPr>
                <w:sz w:val="18"/>
                <w:szCs w:val="18"/>
                <w:color w:val="auto"/>
              </w:rPr>
            </w:pPr>
          </w:p>
        </w:tc>
        <w:tc>
          <w:tcPr>
            <w:tcW w:w="104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3,869</w:t>
            </w:r>
          </w:p>
        </w:tc>
      </w:tr>
      <w:tr>
        <w:trPr>
          <w:trHeight w:val="210"/>
        </w:trPr>
        <w:tc>
          <w:tcPr>
            <w:tcW w:w="9060" w:type="dxa"/>
            <w:vAlign w:val="bottom"/>
            <w:shd w:val="clear" w:color="auto" w:fill="CCEEFF"/>
          </w:tcPr>
          <w:p>
            <w:pPr>
              <w:spacing w:after="0"/>
              <w:rPr>
                <w:sz w:val="20"/>
                <w:szCs w:val="20"/>
                <w:color w:val="auto"/>
              </w:rPr>
            </w:pPr>
            <w:r>
              <w:rPr>
                <w:rFonts w:ascii="Arial" w:cs="Arial" w:eastAsia="Arial" w:hAnsi="Arial"/>
                <w:sz w:val="18"/>
                <w:szCs w:val="18"/>
                <w:color w:val="auto"/>
              </w:rPr>
              <w:t>Total lease payments</w:t>
            </w:r>
          </w:p>
        </w:tc>
        <w:tc>
          <w:tcPr>
            <w:tcW w:w="560" w:type="dxa"/>
            <w:vAlign w:val="bottom"/>
            <w:shd w:val="clear" w:color="auto" w:fill="CCEEFF"/>
          </w:tcPr>
          <w:p>
            <w:pPr>
              <w:spacing w:after="0"/>
              <w:rPr>
                <w:sz w:val="18"/>
                <w:szCs w:val="18"/>
                <w:color w:val="auto"/>
              </w:rPr>
            </w:pPr>
          </w:p>
        </w:tc>
        <w:tc>
          <w:tcPr>
            <w:tcW w:w="104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11,895</w:t>
            </w:r>
          </w:p>
        </w:tc>
      </w:tr>
      <w:tr>
        <w:trPr>
          <w:trHeight w:val="216"/>
        </w:trPr>
        <w:tc>
          <w:tcPr>
            <w:tcW w:w="9060" w:type="dxa"/>
            <w:vAlign w:val="bottom"/>
          </w:tcPr>
          <w:p>
            <w:pPr>
              <w:spacing w:after="0"/>
              <w:rPr>
                <w:sz w:val="20"/>
                <w:szCs w:val="20"/>
                <w:color w:val="auto"/>
              </w:rPr>
            </w:pPr>
            <w:r>
              <w:rPr>
                <w:rFonts w:ascii="Arial" w:cs="Arial" w:eastAsia="Arial" w:hAnsi="Arial"/>
                <w:sz w:val="18"/>
                <w:szCs w:val="18"/>
                <w:color w:val="auto"/>
              </w:rPr>
              <w:t>Less interest</w:t>
            </w:r>
          </w:p>
        </w:tc>
        <w:tc>
          <w:tcPr>
            <w:tcW w:w="560" w:type="dxa"/>
            <w:vAlign w:val="bottom"/>
            <w:tcBorders>
              <w:bottom w:val="single" w:sz="8" w:color="auto"/>
            </w:tcBorders>
          </w:tcPr>
          <w:p>
            <w:pPr>
              <w:spacing w:after="0"/>
              <w:rPr>
                <w:sz w:val="18"/>
                <w:szCs w:val="18"/>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(3,265)</w:t>
            </w:r>
          </w:p>
        </w:tc>
      </w:tr>
      <w:tr>
        <w:trPr>
          <w:trHeight w:val="250"/>
        </w:trPr>
        <w:tc>
          <w:tcPr>
            <w:tcW w:w="906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Total operating lease liabilities</w:t>
            </w:r>
          </w:p>
        </w:tc>
        <w:tc>
          <w:tcPr>
            <w:tcW w:w="560" w:type="dxa"/>
            <w:vAlign w:val="bottom"/>
            <w:tcBorders>
              <w:bottom w:val="single" w:sz="8" w:color="auto"/>
            </w:tcBorders>
            <w:shd w:val="clear" w:color="auto" w:fill="CCEEFF"/>
          </w:tcPr>
          <w:p>
            <w:pPr>
              <w:jc w:val="right"/>
              <w:ind w:right="370"/>
              <w:spacing w:after="0"/>
              <w:rPr>
                <w:sz w:val="20"/>
                <w:szCs w:val="20"/>
                <w:color w:val="auto"/>
              </w:rPr>
            </w:pPr>
            <w:r>
              <w:rPr>
                <w:rFonts w:ascii="Arial" w:cs="Arial" w:eastAsia="Arial" w:hAnsi="Arial"/>
                <w:sz w:val="18"/>
                <w:szCs w:val="18"/>
                <w:color w:val="auto"/>
                <w:w w:val="79"/>
              </w:rPr>
              <w:t>$</w:t>
            </w:r>
          </w:p>
        </w:tc>
        <w:tc>
          <w:tcPr>
            <w:tcW w:w="104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8,630</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3" w:lineRule="exact"/>
        <w:rPr>
          <w:sz w:val="20"/>
          <w:szCs w:val="20"/>
          <w:color w:val="auto"/>
        </w:rPr>
      </w:pPr>
    </w:p>
    <w:p>
      <w:pPr>
        <w:jc w:val="center"/>
        <w:ind w:right="80"/>
        <w:spacing w:after="0"/>
        <w:rPr>
          <w:sz w:val="20"/>
          <w:szCs w:val="20"/>
          <w:color w:val="auto"/>
        </w:rPr>
      </w:pPr>
      <w:r>
        <w:rPr>
          <w:rFonts w:ascii="Arial" w:cs="Arial" w:eastAsia="Arial" w:hAnsi="Arial"/>
          <w:sz w:val="22"/>
          <w:szCs w:val="22"/>
          <w:color w:val="auto"/>
        </w:rPr>
        <w:t>F- 20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75565</wp:posOffset>
            </wp:positionV>
            <wp:extent cx="7132320" cy="1714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320"/>
          </w:cols>
          <w:pgMar w:left="320" w:top="125" w:right="259" w:bottom="1440" w:gutter="0" w:footer="0" w:header="0"/>
        </w:sectPr>
      </w:pPr>
    </w:p>
    <w:bookmarkStart w:id="49" w:name="page50"/>
    <w:bookmarkEnd w:id="49"/>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64" w:lineRule="exact"/>
        <w:rPr>
          <w:sz w:val="20"/>
          <w:szCs w:val="20"/>
          <w:color w:val="auto"/>
        </w:rPr>
      </w:pPr>
    </w:p>
    <w:p>
      <w:pPr>
        <w:ind w:left="1300" w:hanging="644"/>
        <w:spacing w:after="0"/>
        <w:tabs>
          <w:tab w:leader="none" w:pos="1300" w:val="left"/>
        </w:tabs>
        <w:numPr>
          <w:ilvl w:val="0"/>
          <w:numId w:val="23"/>
        </w:numPr>
        <w:rPr>
          <w:rFonts w:ascii="Arial" w:cs="Arial" w:eastAsia="Arial" w:hAnsi="Arial"/>
          <w:sz w:val="18"/>
          <w:szCs w:val="18"/>
          <w:b w:val="1"/>
          <w:bCs w:val="1"/>
          <w:color w:val="auto"/>
        </w:rPr>
      </w:pPr>
      <w:r>
        <w:rPr>
          <w:rFonts w:ascii="Arial" w:cs="Arial" w:eastAsia="Arial" w:hAnsi="Arial"/>
          <w:sz w:val="18"/>
          <w:szCs w:val="18"/>
          <w:b w:val="1"/>
          <w:bCs w:val="1"/>
          <w:color w:val="auto"/>
        </w:rPr>
        <w:t>Capital Stock and Stock-Based Compensation</w:t>
      </w:r>
    </w:p>
    <w:p>
      <w:pPr>
        <w:spacing w:after="0" w:line="256" w:lineRule="exact"/>
        <w:rPr>
          <w:sz w:val="20"/>
          <w:szCs w:val="20"/>
          <w:color w:val="auto"/>
        </w:rPr>
      </w:pPr>
    </w:p>
    <w:p>
      <w:pPr>
        <w:ind w:left="660"/>
        <w:spacing w:after="0"/>
        <w:rPr>
          <w:sz w:val="20"/>
          <w:szCs w:val="20"/>
          <w:color w:val="auto"/>
        </w:rPr>
      </w:pPr>
      <w:r>
        <w:rPr>
          <w:rFonts w:ascii="Arial" w:cs="Arial" w:eastAsia="Arial" w:hAnsi="Arial"/>
          <w:sz w:val="18"/>
          <w:szCs w:val="18"/>
          <w:i w:val="1"/>
          <w:iCs w:val="1"/>
          <w:color w:val="auto"/>
        </w:rPr>
        <w:t>Retirement of Treasury Stock</w:t>
      </w:r>
    </w:p>
    <w:p>
      <w:pPr>
        <w:spacing w:after="0" w:line="225"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In May 2021, the Company retired the 7,745,507 shares of common stock held by the Company as treasury shares and returned these shares to the status of authorized and unissued shares of common stock.</w:t>
      </w:r>
    </w:p>
    <w:p>
      <w:pPr>
        <w:spacing w:after="0" w:line="170" w:lineRule="exact"/>
        <w:rPr>
          <w:sz w:val="20"/>
          <w:szCs w:val="20"/>
          <w:color w:val="auto"/>
        </w:rPr>
      </w:pPr>
    </w:p>
    <w:p>
      <w:pPr>
        <w:ind w:left="660"/>
        <w:spacing w:after="0"/>
        <w:rPr>
          <w:sz w:val="20"/>
          <w:szCs w:val="20"/>
          <w:color w:val="auto"/>
        </w:rPr>
      </w:pPr>
      <w:r>
        <w:rPr>
          <w:rFonts w:ascii="Arial" w:cs="Arial" w:eastAsia="Arial" w:hAnsi="Arial"/>
          <w:sz w:val="18"/>
          <w:szCs w:val="18"/>
          <w:i w:val="1"/>
          <w:iCs w:val="1"/>
          <w:color w:val="auto"/>
        </w:rPr>
        <w:t>Preferred Stock</w:t>
      </w:r>
    </w:p>
    <w:p>
      <w:pPr>
        <w:spacing w:after="0" w:line="225" w:lineRule="exact"/>
        <w:rPr>
          <w:sz w:val="20"/>
          <w:szCs w:val="20"/>
          <w:color w:val="auto"/>
        </w:rPr>
      </w:pPr>
    </w:p>
    <w:p>
      <w:pPr>
        <w:jc w:val="both"/>
        <w:ind w:firstLine="648"/>
        <w:spacing w:after="0" w:line="263" w:lineRule="auto"/>
        <w:rPr>
          <w:sz w:val="20"/>
          <w:szCs w:val="20"/>
          <w:color w:val="auto"/>
        </w:rPr>
      </w:pPr>
      <w:r>
        <w:rPr>
          <w:rFonts w:ascii="Arial" w:cs="Arial" w:eastAsia="Arial" w:hAnsi="Arial"/>
          <w:sz w:val="18"/>
          <w:szCs w:val="18"/>
          <w:color w:val="auto"/>
        </w:rPr>
        <w:t>The Company’s Board of Directors has the authority to issue up to 5.0 million shares of preferred stock and to determine the price privileges and other terms of the shares. The Board of Directors may exercise this authority without any further approval of stockholders. As of December 31, 2021 and 2020, the Company had no preferred stock issued or outstanding.</w:t>
      </w:r>
    </w:p>
    <w:p>
      <w:pPr>
        <w:spacing w:after="0" w:line="184" w:lineRule="exact"/>
        <w:rPr>
          <w:sz w:val="20"/>
          <w:szCs w:val="20"/>
          <w:color w:val="auto"/>
        </w:rPr>
      </w:pPr>
    </w:p>
    <w:p>
      <w:pPr>
        <w:ind w:left="660"/>
        <w:spacing w:after="0"/>
        <w:rPr>
          <w:sz w:val="20"/>
          <w:szCs w:val="20"/>
          <w:color w:val="auto"/>
        </w:rPr>
      </w:pPr>
      <w:r>
        <w:rPr>
          <w:rFonts w:ascii="Arial" w:cs="Arial" w:eastAsia="Arial" w:hAnsi="Arial"/>
          <w:sz w:val="18"/>
          <w:szCs w:val="18"/>
          <w:i w:val="1"/>
          <w:iCs w:val="1"/>
          <w:color w:val="auto"/>
        </w:rPr>
        <w:t>Employee Stock Purchase Plan (</w:t>
      </w:r>
      <w:r>
        <w:rPr>
          <w:rFonts w:ascii="Arial" w:cs="Arial" w:eastAsia="Arial" w:hAnsi="Arial"/>
          <w:sz w:val="18"/>
          <w:szCs w:val="18"/>
          <w:color w:val="auto"/>
        </w:rPr>
        <w:t>“</w:t>
      </w:r>
      <w:r>
        <w:rPr>
          <w:rFonts w:ascii="Arial" w:cs="Arial" w:eastAsia="Arial" w:hAnsi="Arial"/>
          <w:sz w:val="18"/>
          <w:szCs w:val="18"/>
          <w:i w:val="1"/>
          <w:iCs w:val="1"/>
          <w:color w:val="auto"/>
        </w:rPr>
        <w:t>ESPP</w:t>
      </w:r>
      <w:r>
        <w:rPr>
          <w:rFonts w:ascii="Arial" w:cs="Arial" w:eastAsia="Arial" w:hAnsi="Arial"/>
          <w:sz w:val="18"/>
          <w:szCs w:val="18"/>
          <w:color w:val="auto"/>
        </w:rPr>
        <w:t>”</w:t>
      </w:r>
      <w:r>
        <w:rPr>
          <w:rFonts w:ascii="Arial" w:cs="Arial" w:eastAsia="Arial" w:hAnsi="Arial"/>
          <w:sz w:val="18"/>
          <w:szCs w:val="18"/>
          <w:i w:val="1"/>
          <w:iCs w:val="1"/>
          <w:color w:val="auto"/>
        </w:rPr>
        <w:t>)</w:t>
      </w:r>
    </w:p>
    <w:p>
      <w:pPr>
        <w:spacing w:after="0" w:line="225" w:lineRule="exact"/>
        <w:rPr>
          <w:sz w:val="20"/>
          <w:szCs w:val="20"/>
          <w:color w:val="auto"/>
        </w:rPr>
      </w:pPr>
    </w:p>
    <w:p>
      <w:pPr>
        <w:jc w:val="both"/>
        <w:ind w:firstLine="648"/>
        <w:spacing w:after="0" w:line="255" w:lineRule="auto"/>
        <w:rPr>
          <w:sz w:val="20"/>
          <w:szCs w:val="20"/>
          <w:color w:val="auto"/>
        </w:rPr>
      </w:pPr>
      <w:r>
        <w:rPr>
          <w:rFonts w:ascii="Arial" w:cs="Arial" w:eastAsia="Arial" w:hAnsi="Arial"/>
          <w:sz w:val="18"/>
          <w:szCs w:val="18"/>
          <w:color w:val="auto"/>
        </w:rPr>
        <w:t>Under the ESPP, participating employees can authorize the Company to withhold a portion of their base pay during consecutive six-month payment periods for the purchase of shares of the Company’s common stock. At the conclusion of the period, participating employees can purchase shares of the Company’s common stock at 85% of the lower of the fair market value of the Company’s common stock at the beginning or end of the period. Shares are issued under the ESPP for the six-month periods ending June 30 and December 31. There were 95,507 and 126,255 shares issued under the ESPP during the years ended December 31, 2021 and 2020, respectively. As of December 31, 2021, there were 96,834 shares available for issuance under the ESPP.</w:t>
      </w:r>
    </w:p>
    <w:p>
      <w:pPr>
        <w:spacing w:after="0" w:line="192" w:lineRule="exact"/>
        <w:rPr>
          <w:sz w:val="20"/>
          <w:szCs w:val="20"/>
          <w:color w:val="auto"/>
        </w:rPr>
      </w:pPr>
    </w:p>
    <w:p>
      <w:pPr>
        <w:ind w:left="660"/>
        <w:spacing w:after="0"/>
        <w:rPr>
          <w:sz w:val="20"/>
          <w:szCs w:val="20"/>
          <w:color w:val="auto"/>
        </w:rPr>
      </w:pPr>
      <w:r>
        <w:rPr>
          <w:rFonts w:ascii="Arial" w:cs="Arial" w:eastAsia="Arial" w:hAnsi="Arial"/>
          <w:sz w:val="18"/>
          <w:szCs w:val="18"/>
          <w:i w:val="1"/>
          <w:iCs w:val="1"/>
          <w:color w:val="auto"/>
        </w:rPr>
        <w:t>Equity Incentive Plans</w:t>
      </w:r>
    </w:p>
    <w:p>
      <w:pPr>
        <w:spacing w:after="0" w:line="225"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During 2021, the Company’s Board of Directors and stockholders adopted the 2021 Incentive Plan which authorizes approximately 2.2 million additional shares available for grants to officers, employees, non-employee directors and other key persons of the Company and its subsidiaries. Approximately 2.1 million shares available under the prior plan were also made available for issuance under the 2021 Incentive Plan. As of December 31, 2021, there were approximately 4.1 million shares available for issuance under the 2021 Incentive Plan.</w:t>
      </w:r>
    </w:p>
    <w:p>
      <w:pPr>
        <w:spacing w:after="0" w:line="187" w:lineRule="exact"/>
        <w:rPr>
          <w:sz w:val="20"/>
          <w:szCs w:val="20"/>
          <w:color w:val="auto"/>
        </w:rPr>
      </w:pPr>
    </w:p>
    <w:p>
      <w:pPr>
        <w:ind w:left="660"/>
        <w:spacing w:after="0"/>
        <w:rPr>
          <w:sz w:val="20"/>
          <w:szCs w:val="20"/>
          <w:color w:val="auto"/>
        </w:rPr>
      </w:pPr>
      <w:r>
        <w:rPr>
          <w:rFonts w:ascii="Arial" w:cs="Arial" w:eastAsia="Arial" w:hAnsi="Arial"/>
          <w:sz w:val="18"/>
          <w:szCs w:val="18"/>
          <w:i w:val="1"/>
          <w:iCs w:val="1"/>
          <w:color w:val="auto"/>
        </w:rPr>
        <w:t>Restricted Stock Units with a Market Condition</w:t>
      </w:r>
    </w:p>
    <w:p>
      <w:pPr>
        <w:spacing w:after="0" w:line="225"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The Company grants deferred stock awards of Market Condition RSUs (the “Market Condition RSUs”) to certain members of the Company’s management team. The vesting of the Market Condition RSUs is linked to the achievement of a relative total shareholder return of the Company’s common stock measured from the earlier of (i) the measurement period as set out in the award agreement or (ii) upon a change of control (measured relative to the Nasdaq Biotechnology or Russell 2000 index and based on a 20-day trading average price).</w:t>
      </w:r>
    </w:p>
    <w:p>
      <w:pPr>
        <w:spacing w:after="0" w:line="187" w:lineRule="exact"/>
        <w:rPr>
          <w:sz w:val="20"/>
          <w:szCs w:val="20"/>
          <w:color w:val="auto"/>
        </w:rPr>
      </w:pPr>
    </w:p>
    <w:p>
      <w:pPr>
        <w:jc w:val="both"/>
        <w:ind w:firstLine="648"/>
        <w:spacing w:after="0" w:line="257" w:lineRule="auto"/>
        <w:rPr>
          <w:sz w:val="20"/>
          <w:szCs w:val="20"/>
          <w:color w:val="auto"/>
        </w:rPr>
      </w:pPr>
      <w:r>
        <w:rPr>
          <w:rFonts w:ascii="Arial" w:cs="Arial" w:eastAsia="Arial" w:hAnsi="Arial"/>
          <w:sz w:val="18"/>
          <w:szCs w:val="18"/>
          <w:color w:val="auto"/>
        </w:rPr>
        <w:t>For Market Condition RSUs granted during the years ended December 31, 2021 and 2020, the total shareholder return of the Company’s common stock relative to the applicable index resulted in a positive performance factor adjustment and the issuance of 163,216 and 233,055 of additional awards during the year ended December 31, 2021 and 2020, respectively. Of the 860,155 Market Condition RSUs granted and subject to vesting as of December 31, 2021, there are 293,509 which remain subject to a relative total shareholder return measurement which can result in vesting rates ranging from -0-% to 150% of the target number.</w:t>
      </w:r>
    </w:p>
    <w:p>
      <w:pPr>
        <w:spacing w:after="0" w:line="188" w:lineRule="exact"/>
        <w:rPr>
          <w:sz w:val="20"/>
          <w:szCs w:val="20"/>
          <w:color w:val="auto"/>
        </w:rPr>
      </w:pPr>
    </w:p>
    <w:p>
      <w:pPr>
        <w:ind w:left="660"/>
        <w:spacing w:after="0"/>
        <w:rPr>
          <w:sz w:val="20"/>
          <w:szCs w:val="20"/>
          <w:color w:val="auto"/>
        </w:rPr>
      </w:pPr>
      <w:r>
        <w:rPr>
          <w:rFonts w:ascii="Arial" w:cs="Arial" w:eastAsia="Arial" w:hAnsi="Arial"/>
          <w:sz w:val="18"/>
          <w:szCs w:val="18"/>
          <w:i w:val="1"/>
          <w:iCs w:val="1"/>
          <w:color w:val="auto"/>
        </w:rPr>
        <w:t>Stock-Based Payment Awards</w:t>
      </w:r>
    </w:p>
    <w:p>
      <w:pPr>
        <w:spacing w:after="0" w:line="225"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The Company accounts for stock-based payment awards in accordance with the provisions of FASB ASC 718, which requires it to recognize compensation expense for all stock-based payment awards made to employees and directors including stock options, restricted stock units, Market Condition RSUs and employee stock purchases related to the ESPP. The Company has elected as an accounting policy to account for forfeitures for service-based awards as they occur, with no adjustment for estimated forfeitures.</w:t>
      </w:r>
    </w:p>
    <w:p>
      <w:pPr>
        <w:spacing w:after="0" w:line="200" w:lineRule="exact"/>
        <w:rPr>
          <w:sz w:val="20"/>
          <w:szCs w:val="20"/>
          <w:color w:val="auto"/>
        </w:rPr>
      </w:pPr>
    </w:p>
    <w:p>
      <w:pPr>
        <w:spacing w:after="0" w:line="200" w:lineRule="exact"/>
        <w:rPr>
          <w:sz w:val="20"/>
          <w:szCs w:val="20"/>
          <w:color w:val="auto"/>
        </w:rPr>
      </w:pPr>
    </w:p>
    <w:p>
      <w:pPr>
        <w:spacing w:after="0" w:line="21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F- 21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50" w:name="page51"/>
    <w:bookmarkEnd w:id="50"/>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52" w:lineRule="exact"/>
        <w:rPr>
          <w:sz w:val="20"/>
          <w:szCs w:val="20"/>
          <w:color w:val="auto"/>
        </w:rPr>
      </w:pPr>
    </w:p>
    <w:p>
      <w:pPr>
        <w:ind w:left="660"/>
        <w:spacing w:after="0"/>
        <w:rPr>
          <w:sz w:val="20"/>
          <w:szCs w:val="20"/>
          <w:color w:val="auto"/>
        </w:rPr>
      </w:pPr>
      <w:r>
        <w:rPr>
          <w:rFonts w:ascii="Arial" w:cs="Arial" w:eastAsia="Arial" w:hAnsi="Arial"/>
          <w:sz w:val="17"/>
          <w:szCs w:val="17"/>
          <w:color w:val="auto"/>
        </w:rPr>
        <w:t>Stock option and restricted stock unit activity under the Company’s Incentive Plans for the years ended December 31, 2021 and 2020 were as</w:t>
      </w:r>
    </w:p>
    <w:p>
      <w:pPr>
        <w:spacing w:after="0" w:line="35" w:lineRule="exact"/>
        <w:rPr>
          <w:sz w:val="20"/>
          <w:szCs w:val="20"/>
          <w:color w:val="auto"/>
        </w:rPr>
      </w:pPr>
    </w:p>
    <w:p>
      <w:pPr>
        <w:spacing w:after="0"/>
        <w:rPr>
          <w:sz w:val="20"/>
          <w:szCs w:val="20"/>
          <w:color w:val="auto"/>
        </w:rPr>
      </w:pPr>
      <w:r>
        <w:rPr>
          <w:rFonts w:ascii="Arial" w:cs="Arial" w:eastAsia="Arial" w:hAnsi="Arial"/>
          <w:sz w:val="18"/>
          <w:szCs w:val="18"/>
          <w:color w:val="auto"/>
        </w:rPr>
        <w:t>follows:</w:t>
      </w:r>
    </w:p>
    <w:p>
      <w:pPr>
        <w:spacing w:after="0" w:line="207" w:lineRule="exact"/>
        <w:rPr>
          <w:sz w:val="20"/>
          <w:szCs w:val="20"/>
          <w:color w:val="auto"/>
        </w:rPr>
      </w:pPr>
    </w:p>
    <w:tbl>
      <w:tblPr>
        <w:tblLayout w:type="fixed"/>
        <w:tblInd w:w="660" w:type="dxa"/>
        <w:tblCellMar>
          <w:top w:w="0" w:type="dxa"/>
          <w:left w:w="0" w:type="dxa"/>
          <w:bottom w:w="0" w:type="dxa"/>
          <w:right w:w="0" w:type="dxa"/>
        </w:tblCellMar>
      </w:tblPr>
      <w:tr>
        <w:trPr>
          <w:trHeight w:val="234"/>
        </w:trPr>
        <w:tc>
          <w:tcPr>
            <w:tcW w:w="2460" w:type="dxa"/>
            <w:vAlign w:val="bottom"/>
          </w:tcPr>
          <w:p>
            <w:pPr>
              <w:spacing w:after="0"/>
              <w:rPr>
                <w:sz w:val="20"/>
                <w:szCs w:val="20"/>
                <w:color w:val="auto"/>
              </w:rPr>
            </w:pPr>
          </w:p>
        </w:tc>
        <w:tc>
          <w:tcPr>
            <w:tcW w:w="2700" w:type="dxa"/>
            <w:vAlign w:val="bottom"/>
            <w:tcBorders>
              <w:bottom w:val="single" w:sz="8" w:color="auto"/>
            </w:tcBorders>
            <w:gridSpan w:val="4"/>
          </w:tcPr>
          <w:p>
            <w:pPr>
              <w:jc w:val="right"/>
              <w:ind w:right="770"/>
              <w:spacing w:after="0"/>
              <w:rPr>
                <w:sz w:val="20"/>
                <w:szCs w:val="20"/>
                <w:color w:val="auto"/>
              </w:rPr>
            </w:pPr>
            <w:r>
              <w:rPr>
                <w:rFonts w:ascii="Arial" w:cs="Arial" w:eastAsia="Arial" w:hAnsi="Arial"/>
                <w:sz w:val="18"/>
                <w:szCs w:val="18"/>
                <w:b w:val="1"/>
                <w:bCs w:val="1"/>
                <w:color w:val="auto"/>
              </w:rPr>
              <w:t>Stock Options</w:t>
            </w:r>
          </w:p>
        </w:tc>
        <w:tc>
          <w:tcPr>
            <w:tcW w:w="100" w:type="dxa"/>
            <w:vAlign w:val="bottom"/>
          </w:tcPr>
          <w:p>
            <w:pPr>
              <w:spacing w:after="0"/>
              <w:rPr>
                <w:sz w:val="20"/>
                <w:szCs w:val="20"/>
                <w:color w:val="auto"/>
              </w:rPr>
            </w:pPr>
          </w:p>
        </w:tc>
        <w:tc>
          <w:tcPr>
            <w:tcW w:w="2700" w:type="dxa"/>
            <w:vAlign w:val="bottom"/>
            <w:tcBorders>
              <w:bottom w:val="single" w:sz="8" w:color="auto"/>
            </w:tcBorders>
            <w:gridSpan w:val="4"/>
          </w:tcPr>
          <w:p>
            <w:pPr>
              <w:jc w:val="right"/>
              <w:ind w:right="450"/>
              <w:spacing w:after="0"/>
              <w:rPr>
                <w:sz w:val="20"/>
                <w:szCs w:val="20"/>
                <w:color w:val="auto"/>
              </w:rPr>
            </w:pPr>
            <w:r>
              <w:rPr>
                <w:rFonts w:ascii="Arial" w:cs="Arial" w:eastAsia="Arial" w:hAnsi="Arial"/>
                <w:sz w:val="18"/>
                <w:szCs w:val="18"/>
                <w:b w:val="1"/>
                <w:bCs w:val="1"/>
                <w:color w:val="auto"/>
              </w:rPr>
              <w:t>Restricted Stock Units</w:t>
            </w:r>
          </w:p>
        </w:tc>
        <w:tc>
          <w:tcPr>
            <w:tcW w:w="100" w:type="dxa"/>
            <w:vAlign w:val="bottom"/>
          </w:tcPr>
          <w:p>
            <w:pPr>
              <w:spacing w:after="0"/>
              <w:rPr>
                <w:sz w:val="20"/>
                <w:szCs w:val="20"/>
                <w:color w:val="auto"/>
              </w:rPr>
            </w:pPr>
          </w:p>
        </w:tc>
        <w:tc>
          <w:tcPr>
            <w:tcW w:w="2600" w:type="dxa"/>
            <w:vAlign w:val="bottom"/>
            <w:tcBorders>
              <w:bottom w:val="single" w:sz="8" w:color="auto"/>
            </w:tcBorders>
            <w:gridSpan w:val="4"/>
          </w:tcPr>
          <w:p>
            <w:pPr>
              <w:jc w:val="right"/>
              <w:ind w:right="290"/>
              <w:spacing w:after="0"/>
              <w:rPr>
                <w:sz w:val="20"/>
                <w:szCs w:val="20"/>
                <w:color w:val="auto"/>
              </w:rPr>
            </w:pPr>
            <w:r>
              <w:rPr>
                <w:rFonts w:ascii="Arial" w:cs="Arial" w:eastAsia="Arial" w:hAnsi="Arial"/>
                <w:sz w:val="18"/>
                <w:szCs w:val="18"/>
                <w:b w:val="1"/>
                <w:bCs w:val="1"/>
                <w:color w:val="auto"/>
              </w:rPr>
              <w:t>Market Condition RSU's</w:t>
            </w:r>
          </w:p>
        </w:tc>
        <w:tc>
          <w:tcPr>
            <w:tcW w:w="0" w:type="dxa"/>
            <w:vAlign w:val="bottom"/>
          </w:tcPr>
          <w:p>
            <w:pPr>
              <w:spacing w:after="0"/>
              <w:rPr>
                <w:sz w:val="1"/>
                <w:szCs w:val="1"/>
                <w:color w:val="auto"/>
              </w:rPr>
            </w:pPr>
          </w:p>
        </w:tc>
      </w:tr>
      <w:tr>
        <w:trPr>
          <w:trHeight w:val="191"/>
        </w:trPr>
        <w:tc>
          <w:tcPr>
            <w:tcW w:w="2460" w:type="dxa"/>
            <w:vAlign w:val="bottom"/>
          </w:tcPr>
          <w:p>
            <w:pPr>
              <w:spacing w:after="0"/>
              <w:rPr>
                <w:sz w:val="16"/>
                <w:szCs w:val="16"/>
                <w:color w:val="auto"/>
              </w:rPr>
            </w:pPr>
          </w:p>
        </w:tc>
        <w:tc>
          <w:tcPr>
            <w:tcW w:w="12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140" w:type="dxa"/>
            <w:vAlign w:val="bottom"/>
          </w:tcPr>
          <w:p>
            <w:pPr>
              <w:jc w:val="center"/>
              <w:ind w:right="190"/>
              <w:spacing w:after="0" w:line="191" w:lineRule="exact"/>
              <w:rPr>
                <w:sz w:val="20"/>
                <w:szCs w:val="20"/>
                <w:color w:val="auto"/>
              </w:rPr>
            </w:pPr>
            <w:r>
              <w:rPr>
                <w:rFonts w:ascii="Arial" w:cs="Arial" w:eastAsia="Arial" w:hAnsi="Arial"/>
                <w:sz w:val="18"/>
                <w:szCs w:val="18"/>
                <w:b w:val="1"/>
                <w:bCs w:val="1"/>
                <w:color w:val="auto"/>
                <w:w w:val="91"/>
              </w:rPr>
              <w:t>Weighted</w:t>
            </w:r>
          </w:p>
        </w:tc>
        <w:tc>
          <w:tcPr>
            <w:tcW w:w="100" w:type="dxa"/>
            <w:vAlign w:val="bottom"/>
          </w:tcPr>
          <w:p>
            <w:pPr>
              <w:spacing w:after="0"/>
              <w:rPr>
                <w:sz w:val="16"/>
                <w:szCs w:val="16"/>
                <w:color w:val="auto"/>
              </w:rPr>
            </w:pPr>
          </w:p>
        </w:tc>
        <w:tc>
          <w:tcPr>
            <w:tcW w:w="13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1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1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6"/>
        </w:trPr>
        <w:tc>
          <w:tcPr>
            <w:tcW w:w="2460" w:type="dxa"/>
            <w:vAlign w:val="bottom"/>
          </w:tcPr>
          <w:p>
            <w:pPr>
              <w:spacing w:after="0"/>
              <w:rPr>
                <w:sz w:val="18"/>
                <w:szCs w:val="18"/>
                <w:color w:val="auto"/>
              </w:rPr>
            </w:pPr>
          </w:p>
        </w:tc>
        <w:tc>
          <w:tcPr>
            <w:tcW w:w="1280" w:type="dxa"/>
            <w:vAlign w:val="bottom"/>
          </w:tcPr>
          <w:p>
            <w:pPr>
              <w:jc w:val="center"/>
              <w:ind w:right="10"/>
              <w:spacing w:after="0"/>
              <w:rPr>
                <w:sz w:val="20"/>
                <w:szCs w:val="20"/>
                <w:color w:val="auto"/>
              </w:rPr>
            </w:pPr>
            <w:r>
              <w:rPr>
                <w:rFonts w:ascii="Arial" w:cs="Arial" w:eastAsia="Arial" w:hAnsi="Arial"/>
                <w:sz w:val="18"/>
                <w:szCs w:val="18"/>
                <w:b w:val="1"/>
                <w:bCs w:val="1"/>
                <w:color w:val="auto"/>
                <w:w w:val="85"/>
              </w:rPr>
              <w:t>Stock</w:t>
            </w: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40" w:type="dxa"/>
            <w:vAlign w:val="bottom"/>
          </w:tcPr>
          <w:p>
            <w:pPr>
              <w:jc w:val="center"/>
              <w:ind w:right="190"/>
              <w:spacing w:after="0"/>
              <w:rPr>
                <w:sz w:val="20"/>
                <w:szCs w:val="20"/>
                <w:color w:val="auto"/>
              </w:rPr>
            </w:pPr>
            <w:r>
              <w:rPr>
                <w:rFonts w:ascii="Arial" w:cs="Arial" w:eastAsia="Arial" w:hAnsi="Arial"/>
                <w:sz w:val="18"/>
                <w:szCs w:val="18"/>
                <w:b w:val="1"/>
                <w:bCs w:val="1"/>
                <w:color w:val="auto"/>
                <w:w w:val="87"/>
              </w:rPr>
              <w:t>Average</w:t>
            </w:r>
          </w:p>
        </w:tc>
        <w:tc>
          <w:tcPr>
            <w:tcW w:w="100" w:type="dxa"/>
            <w:vAlign w:val="bottom"/>
          </w:tcPr>
          <w:p>
            <w:pPr>
              <w:spacing w:after="0"/>
              <w:rPr>
                <w:sz w:val="18"/>
                <w:szCs w:val="18"/>
                <w:color w:val="auto"/>
              </w:rPr>
            </w:pPr>
          </w:p>
        </w:tc>
        <w:tc>
          <w:tcPr>
            <w:tcW w:w="1300" w:type="dxa"/>
            <w:vAlign w:val="bottom"/>
          </w:tcPr>
          <w:p>
            <w:pPr>
              <w:jc w:val="center"/>
              <w:ind w:right="30"/>
              <w:spacing w:after="0"/>
              <w:rPr>
                <w:sz w:val="20"/>
                <w:szCs w:val="20"/>
                <w:color w:val="auto"/>
              </w:rPr>
            </w:pPr>
            <w:r>
              <w:rPr>
                <w:rFonts w:ascii="Arial" w:cs="Arial" w:eastAsia="Arial" w:hAnsi="Arial"/>
                <w:sz w:val="18"/>
                <w:szCs w:val="18"/>
                <w:b w:val="1"/>
                <w:bCs w:val="1"/>
                <w:color w:val="auto"/>
                <w:w w:val="88"/>
              </w:rPr>
              <w:t>Restricted</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60" w:type="dxa"/>
            <w:vAlign w:val="bottom"/>
          </w:tcPr>
          <w:p>
            <w:pPr>
              <w:jc w:val="center"/>
              <w:ind w:right="30"/>
              <w:spacing w:after="0"/>
              <w:rPr>
                <w:sz w:val="20"/>
                <w:szCs w:val="20"/>
                <w:color w:val="auto"/>
              </w:rPr>
            </w:pPr>
            <w:r>
              <w:rPr>
                <w:rFonts w:ascii="Arial" w:cs="Arial" w:eastAsia="Arial" w:hAnsi="Arial"/>
                <w:sz w:val="18"/>
                <w:szCs w:val="18"/>
                <w:b w:val="1"/>
                <w:bCs w:val="1"/>
                <w:color w:val="auto"/>
                <w:w w:val="99"/>
              </w:rPr>
              <w:t>Market</w:t>
            </w: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460" w:type="dxa"/>
            <w:vAlign w:val="bottom"/>
          </w:tcPr>
          <w:p>
            <w:pPr>
              <w:spacing w:after="0"/>
              <w:rPr>
                <w:sz w:val="18"/>
                <w:szCs w:val="18"/>
                <w:color w:val="auto"/>
              </w:rPr>
            </w:pPr>
          </w:p>
        </w:tc>
        <w:tc>
          <w:tcPr>
            <w:tcW w:w="12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60" w:type="dxa"/>
            <w:vAlign w:val="bottom"/>
          </w:tcPr>
          <w:p>
            <w:pPr>
              <w:jc w:val="center"/>
              <w:ind w:right="10"/>
              <w:spacing w:after="0"/>
              <w:rPr>
                <w:sz w:val="20"/>
                <w:szCs w:val="20"/>
                <w:color w:val="auto"/>
              </w:rPr>
            </w:pPr>
            <w:r>
              <w:rPr>
                <w:rFonts w:ascii="Arial" w:cs="Arial" w:eastAsia="Arial" w:hAnsi="Arial"/>
                <w:sz w:val="18"/>
                <w:szCs w:val="18"/>
                <w:b w:val="1"/>
                <w:bCs w:val="1"/>
                <w:color w:val="auto"/>
                <w:w w:val="90"/>
              </w:rPr>
              <w:t>Condition</w:t>
            </w: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460" w:type="dxa"/>
            <w:vAlign w:val="bottom"/>
          </w:tcPr>
          <w:p>
            <w:pPr>
              <w:spacing w:after="0"/>
              <w:rPr>
                <w:sz w:val="18"/>
                <w:szCs w:val="18"/>
                <w:color w:val="auto"/>
              </w:rPr>
            </w:pPr>
          </w:p>
        </w:tc>
        <w:tc>
          <w:tcPr>
            <w:tcW w:w="1280" w:type="dxa"/>
            <w:vAlign w:val="bottom"/>
          </w:tcPr>
          <w:p>
            <w:pPr>
              <w:jc w:val="center"/>
              <w:ind w:right="10"/>
              <w:spacing w:after="0"/>
              <w:rPr>
                <w:sz w:val="20"/>
                <w:szCs w:val="20"/>
                <w:color w:val="auto"/>
              </w:rPr>
            </w:pPr>
            <w:r>
              <w:rPr>
                <w:rFonts w:ascii="Arial" w:cs="Arial" w:eastAsia="Arial" w:hAnsi="Arial"/>
                <w:sz w:val="18"/>
                <w:szCs w:val="18"/>
                <w:b w:val="1"/>
                <w:bCs w:val="1"/>
                <w:color w:val="auto"/>
                <w:w w:val="91"/>
              </w:rPr>
              <w:t>Options</w:t>
            </w: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40" w:type="dxa"/>
            <w:vAlign w:val="bottom"/>
          </w:tcPr>
          <w:p>
            <w:pPr>
              <w:jc w:val="center"/>
              <w:ind w:right="190"/>
              <w:spacing w:after="0"/>
              <w:rPr>
                <w:sz w:val="20"/>
                <w:szCs w:val="20"/>
                <w:color w:val="auto"/>
              </w:rPr>
            </w:pPr>
            <w:r>
              <w:rPr>
                <w:rFonts w:ascii="Arial" w:cs="Arial" w:eastAsia="Arial" w:hAnsi="Arial"/>
                <w:sz w:val="18"/>
                <w:szCs w:val="18"/>
                <w:b w:val="1"/>
                <w:bCs w:val="1"/>
                <w:color w:val="auto"/>
                <w:w w:val="89"/>
              </w:rPr>
              <w:t>Exercise</w:t>
            </w:r>
          </w:p>
        </w:tc>
        <w:tc>
          <w:tcPr>
            <w:tcW w:w="100" w:type="dxa"/>
            <w:vAlign w:val="bottom"/>
          </w:tcPr>
          <w:p>
            <w:pPr>
              <w:spacing w:after="0"/>
              <w:rPr>
                <w:sz w:val="18"/>
                <w:szCs w:val="18"/>
                <w:color w:val="auto"/>
              </w:rPr>
            </w:pPr>
          </w:p>
        </w:tc>
        <w:tc>
          <w:tcPr>
            <w:tcW w:w="1300" w:type="dxa"/>
            <w:vAlign w:val="bottom"/>
          </w:tcPr>
          <w:p>
            <w:pPr>
              <w:jc w:val="center"/>
              <w:ind w:right="10"/>
              <w:spacing w:after="0"/>
              <w:rPr>
                <w:sz w:val="20"/>
                <w:szCs w:val="20"/>
                <w:color w:val="auto"/>
              </w:rPr>
            </w:pPr>
            <w:r>
              <w:rPr>
                <w:rFonts w:ascii="Arial" w:cs="Arial" w:eastAsia="Arial" w:hAnsi="Arial"/>
                <w:sz w:val="18"/>
                <w:szCs w:val="18"/>
                <w:b w:val="1"/>
                <w:bCs w:val="1"/>
                <w:color w:val="auto"/>
                <w:w w:val="88"/>
              </w:rPr>
              <w:t>Stock Units</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80" w:type="dxa"/>
            <w:vAlign w:val="bottom"/>
          </w:tcPr>
          <w:p>
            <w:pPr>
              <w:jc w:val="right"/>
              <w:ind w:right="170"/>
              <w:spacing w:after="0"/>
              <w:rPr>
                <w:sz w:val="20"/>
                <w:szCs w:val="20"/>
                <w:color w:val="auto"/>
              </w:rPr>
            </w:pPr>
            <w:r>
              <w:rPr>
                <w:rFonts w:ascii="Arial" w:cs="Arial" w:eastAsia="Arial" w:hAnsi="Arial"/>
                <w:sz w:val="18"/>
                <w:szCs w:val="18"/>
                <w:b w:val="1"/>
                <w:bCs w:val="1"/>
                <w:color w:val="auto"/>
                <w:w w:val="97"/>
              </w:rPr>
              <w:t>Grant Date</w:t>
            </w:r>
          </w:p>
        </w:tc>
        <w:tc>
          <w:tcPr>
            <w:tcW w:w="100" w:type="dxa"/>
            <w:vAlign w:val="bottom"/>
          </w:tcPr>
          <w:p>
            <w:pPr>
              <w:spacing w:after="0"/>
              <w:rPr>
                <w:sz w:val="18"/>
                <w:szCs w:val="18"/>
                <w:color w:val="auto"/>
              </w:rPr>
            </w:pPr>
          </w:p>
        </w:tc>
        <w:tc>
          <w:tcPr>
            <w:tcW w:w="1260" w:type="dxa"/>
            <w:vAlign w:val="bottom"/>
          </w:tcPr>
          <w:p>
            <w:pPr>
              <w:jc w:val="center"/>
              <w:ind w:right="10"/>
              <w:spacing w:after="0"/>
              <w:rPr>
                <w:sz w:val="20"/>
                <w:szCs w:val="20"/>
                <w:color w:val="auto"/>
              </w:rPr>
            </w:pPr>
            <w:r>
              <w:rPr>
                <w:rFonts w:ascii="Arial" w:cs="Arial" w:eastAsia="Arial" w:hAnsi="Arial"/>
                <w:sz w:val="18"/>
                <w:szCs w:val="18"/>
                <w:b w:val="1"/>
                <w:bCs w:val="1"/>
                <w:color w:val="auto"/>
                <w:w w:val="91"/>
              </w:rPr>
              <w:t>RSU's</w:t>
            </w: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40" w:type="dxa"/>
            <w:vAlign w:val="bottom"/>
          </w:tcPr>
          <w:p>
            <w:pPr>
              <w:jc w:val="right"/>
              <w:ind w:right="150"/>
              <w:spacing w:after="0"/>
              <w:rPr>
                <w:sz w:val="20"/>
                <w:szCs w:val="20"/>
                <w:color w:val="auto"/>
              </w:rPr>
            </w:pPr>
            <w:r>
              <w:rPr>
                <w:rFonts w:ascii="Arial" w:cs="Arial" w:eastAsia="Arial" w:hAnsi="Arial"/>
                <w:sz w:val="18"/>
                <w:szCs w:val="18"/>
                <w:b w:val="1"/>
                <w:bCs w:val="1"/>
                <w:color w:val="auto"/>
                <w:w w:val="95"/>
              </w:rPr>
              <w:t>Grant Date</w:t>
            </w:r>
          </w:p>
        </w:tc>
        <w:tc>
          <w:tcPr>
            <w:tcW w:w="0" w:type="dxa"/>
            <w:vAlign w:val="bottom"/>
          </w:tcPr>
          <w:p>
            <w:pPr>
              <w:spacing w:after="0"/>
              <w:rPr>
                <w:sz w:val="1"/>
                <w:szCs w:val="1"/>
                <w:color w:val="auto"/>
              </w:rPr>
            </w:pPr>
          </w:p>
        </w:tc>
      </w:tr>
      <w:tr>
        <w:trPr>
          <w:trHeight w:val="234"/>
        </w:trPr>
        <w:tc>
          <w:tcPr>
            <w:tcW w:w="2460" w:type="dxa"/>
            <w:vAlign w:val="bottom"/>
          </w:tcPr>
          <w:p>
            <w:pPr>
              <w:spacing w:after="0"/>
              <w:rPr>
                <w:sz w:val="20"/>
                <w:szCs w:val="20"/>
                <w:color w:val="auto"/>
              </w:rPr>
            </w:pPr>
          </w:p>
        </w:tc>
        <w:tc>
          <w:tcPr>
            <w:tcW w:w="1280" w:type="dxa"/>
            <w:vAlign w:val="bottom"/>
            <w:tcBorders>
              <w:bottom w:val="single" w:sz="8" w:color="auto"/>
            </w:tcBorders>
          </w:tcPr>
          <w:p>
            <w:pPr>
              <w:jc w:val="center"/>
              <w:ind w:right="30"/>
              <w:spacing w:after="0"/>
              <w:rPr>
                <w:sz w:val="20"/>
                <w:szCs w:val="20"/>
                <w:color w:val="auto"/>
              </w:rPr>
            </w:pPr>
            <w:r>
              <w:rPr>
                <w:rFonts w:ascii="Arial" w:cs="Arial" w:eastAsia="Arial" w:hAnsi="Arial"/>
                <w:sz w:val="18"/>
                <w:szCs w:val="18"/>
                <w:b w:val="1"/>
                <w:bCs w:val="1"/>
                <w:color w:val="auto"/>
                <w:w w:val="90"/>
              </w:rPr>
              <w:t>Outstanding</w:t>
            </w:r>
          </w:p>
        </w:tc>
        <w:tc>
          <w:tcPr>
            <w:tcW w:w="120" w:type="dxa"/>
            <w:vAlign w:val="bottom"/>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1140" w:type="dxa"/>
            <w:vAlign w:val="bottom"/>
            <w:tcBorders>
              <w:bottom w:val="single" w:sz="8" w:color="auto"/>
            </w:tcBorders>
          </w:tcPr>
          <w:p>
            <w:pPr>
              <w:jc w:val="center"/>
              <w:ind w:right="170"/>
              <w:spacing w:after="0"/>
              <w:rPr>
                <w:sz w:val="20"/>
                <w:szCs w:val="20"/>
                <w:color w:val="auto"/>
              </w:rPr>
            </w:pPr>
            <w:r>
              <w:rPr>
                <w:rFonts w:ascii="Arial" w:cs="Arial" w:eastAsia="Arial" w:hAnsi="Arial"/>
                <w:sz w:val="18"/>
                <w:szCs w:val="18"/>
                <w:b w:val="1"/>
                <w:bCs w:val="1"/>
                <w:color w:val="auto"/>
                <w:w w:val="90"/>
              </w:rPr>
              <w:t>Price</w:t>
            </w:r>
          </w:p>
        </w:tc>
        <w:tc>
          <w:tcPr>
            <w:tcW w:w="100" w:type="dxa"/>
            <w:vAlign w:val="bottom"/>
          </w:tcPr>
          <w:p>
            <w:pPr>
              <w:spacing w:after="0"/>
              <w:rPr>
                <w:sz w:val="20"/>
                <w:szCs w:val="20"/>
                <w:color w:val="auto"/>
              </w:rPr>
            </w:pPr>
          </w:p>
        </w:tc>
        <w:tc>
          <w:tcPr>
            <w:tcW w:w="1300" w:type="dxa"/>
            <w:vAlign w:val="bottom"/>
            <w:tcBorders>
              <w:bottom w:val="single" w:sz="8" w:color="auto"/>
            </w:tcBorders>
          </w:tcPr>
          <w:p>
            <w:pPr>
              <w:jc w:val="center"/>
              <w:ind w:right="10"/>
              <w:spacing w:after="0"/>
              <w:rPr>
                <w:sz w:val="20"/>
                <w:szCs w:val="20"/>
                <w:color w:val="auto"/>
              </w:rPr>
            </w:pPr>
            <w:r>
              <w:rPr>
                <w:rFonts w:ascii="Arial" w:cs="Arial" w:eastAsia="Arial" w:hAnsi="Arial"/>
                <w:sz w:val="18"/>
                <w:szCs w:val="18"/>
                <w:b w:val="1"/>
                <w:bCs w:val="1"/>
                <w:color w:val="auto"/>
                <w:w w:val="90"/>
              </w:rPr>
              <w:t>Outstanding</w:t>
            </w:r>
          </w:p>
        </w:tc>
        <w:tc>
          <w:tcPr>
            <w:tcW w:w="100" w:type="dxa"/>
            <w:vAlign w:val="bottom"/>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1180" w:type="dxa"/>
            <w:vAlign w:val="bottom"/>
            <w:tcBorders>
              <w:bottom w:val="single" w:sz="8" w:color="auto"/>
            </w:tcBorders>
          </w:tcPr>
          <w:p>
            <w:pPr>
              <w:jc w:val="right"/>
              <w:ind w:right="210"/>
              <w:spacing w:after="0"/>
              <w:rPr>
                <w:sz w:val="20"/>
                <w:szCs w:val="20"/>
                <w:color w:val="auto"/>
              </w:rPr>
            </w:pPr>
            <w:r>
              <w:rPr>
                <w:rFonts w:ascii="Arial" w:cs="Arial" w:eastAsia="Arial" w:hAnsi="Arial"/>
                <w:sz w:val="18"/>
                <w:szCs w:val="18"/>
                <w:b w:val="1"/>
                <w:bCs w:val="1"/>
                <w:color w:val="auto"/>
                <w:w w:val="99"/>
              </w:rPr>
              <w:t>Fair Value</w:t>
            </w:r>
          </w:p>
        </w:tc>
        <w:tc>
          <w:tcPr>
            <w:tcW w:w="100" w:type="dxa"/>
            <w:vAlign w:val="bottom"/>
          </w:tcPr>
          <w:p>
            <w:pPr>
              <w:spacing w:after="0"/>
              <w:rPr>
                <w:sz w:val="20"/>
                <w:szCs w:val="20"/>
                <w:color w:val="auto"/>
              </w:rPr>
            </w:pPr>
          </w:p>
        </w:tc>
        <w:tc>
          <w:tcPr>
            <w:tcW w:w="1260" w:type="dxa"/>
            <w:vAlign w:val="bottom"/>
            <w:tcBorders>
              <w:bottom w:val="single" w:sz="8" w:color="auto"/>
            </w:tcBorders>
          </w:tcPr>
          <w:p>
            <w:pPr>
              <w:jc w:val="center"/>
              <w:ind w:right="10"/>
              <w:spacing w:after="0"/>
              <w:rPr>
                <w:sz w:val="20"/>
                <w:szCs w:val="20"/>
                <w:color w:val="auto"/>
              </w:rPr>
            </w:pPr>
            <w:r>
              <w:rPr>
                <w:rFonts w:ascii="Arial" w:cs="Arial" w:eastAsia="Arial" w:hAnsi="Arial"/>
                <w:sz w:val="18"/>
                <w:szCs w:val="18"/>
                <w:b w:val="1"/>
                <w:bCs w:val="1"/>
                <w:color w:val="auto"/>
                <w:w w:val="90"/>
              </w:rPr>
              <w:t>Outstanding</w:t>
            </w:r>
          </w:p>
        </w:tc>
        <w:tc>
          <w:tcPr>
            <w:tcW w:w="80" w:type="dxa"/>
            <w:vAlign w:val="bottom"/>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1140" w:type="dxa"/>
            <w:vAlign w:val="bottom"/>
            <w:tcBorders>
              <w:bottom w:val="single" w:sz="8" w:color="auto"/>
            </w:tcBorders>
          </w:tcPr>
          <w:p>
            <w:pPr>
              <w:jc w:val="right"/>
              <w:ind w:right="170"/>
              <w:spacing w:after="0"/>
              <w:rPr>
                <w:sz w:val="20"/>
                <w:szCs w:val="20"/>
                <w:color w:val="auto"/>
              </w:rPr>
            </w:pPr>
            <w:r>
              <w:rPr>
                <w:rFonts w:ascii="Arial" w:cs="Arial" w:eastAsia="Arial" w:hAnsi="Arial"/>
                <w:sz w:val="18"/>
                <w:szCs w:val="18"/>
                <w:b w:val="1"/>
                <w:bCs w:val="1"/>
                <w:color w:val="auto"/>
                <w:w w:val="99"/>
              </w:rPr>
              <w:t>Fair Value</w:t>
            </w:r>
          </w:p>
        </w:tc>
        <w:tc>
          <w:tcPr>
            <w:tcW w:w="0" w:type="dxa"/>
            <w:vAlign w:val="bottom"/>
          </w:tcPr>
          <w:p>
            <w:pPr>
              <w:spacing w:after="0"/>
              <w:rPr>
                <w:sz w:val="1"/>
                <w:szCs w:val="1"/>
                <w:color w:val="auto"/>
              </w:rPr>
            </w:pPr>
          </w:p>
        </w:tc>
      </w:tr>
      <w:tr>
        <w:trPr>
          <w:trHeight w:val="209"/>
        </w:trPr>
        <w:tc>
          <w:tcPr>
            <w:tcW w:w="2460" w:type="dxa"/>
            <w:vAlign w:val="bottom"/>
            <w:shd w:val="clear" w:color="auto" w:fill="CCEEFF"/>
          </w:tcPr>
          <w:p>
            <w:pPr>
              <w:spacing w:after="0"/>
              <w:rPr>
                <w:sz w:val="20"/>
                <w:szCs w:val="20"/>
                <w:color w:val="auto"/>
              </w:rPr>
            </w:pPr>
            <w:r>
              <w:rPr>
                <w:rFonts w:ascii="Arial" w:cs="Arial" w:eastAsia="Arial" w:hAnsi="Arial"/>
                <w:sz w:val="18"/>
                <w:szCs w:val="18"/>
                <w:color w:val="auto"/>
                <w:w w:val="98"/>
              </w:rPr>
              <w:t>Balance at December 31, 2019</w:t>
            </w:r>
          </w:p>
        </w:tc>
        <w:tc>
          <w:tcPr>
            <w:tcW w:w="128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2,266,122</w:t>
            </w:r>
          </w:p>
        </w:tc>
        <w:tc>
          <w:tcPr>
            <w:tcW w:w="28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w:t>
            </w:r>
          </w:p>
        </w:tc>
        <w:tc>
          <w:tcPr>
            <w:tcW w:w="114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3.93</w:t>
            </w:r>
          </w:p>
        </w:tc>
        <w:tc>
          <w:tcPr>
            <w:tcW w:w="1400" w:type="dxa"/>
            <w:vAlign w:val="bottom"/>
            <w:gridSpan w:val="2"/>
            <w:shd w:val="clear" w:color="auto" w:fill="CCEEFF"/>
          </w:tcPr>
          <w:p>
            <w:pPr>
              <w:jc w:val="right"/>
              <w:ind w:right="30"/>
              <w:spacing w:after="0"/>
              <w:rPr>
                <w:sz w:val="20"/>
                <w:szCs w:val="20"/>
                <w:color w:val="auto"/>
              </w:rPr>
            </w:pPr>
            <w:r>
              <w:rPr>
                <w:rFonts w:ascii="Arial" w:cs="Arial" w:eastAsia="Arial" w:hAnsi="Arial"/>
                <w:sz w:val="18"/>
                <w:szCs w:val="18"/>
                <w:color w:val="auto"/>
              </w:rPr>
              <w:t>1,590,450</w:t>
            </w:r>
          </w:p>
        </w:tc>
        <w:tc>
          <w:tcPr>
            <w:tcW w:w="2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118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2.27</w:t>
            </w:r>
          </w:p>
        </w:tc>
        <w:tc>
          <w:tcPr>
            <w:tcW w:w="1360" w:type="dxa"/>
            <w:vAlign w:val="bottom"/>
            <w:gridSpan w:val="2"/>
            <w:shd w:val="clear" w:color="auto" w:fill="CCEEFF"/>
          </w:tcPr>
          <w:p>
            <w:pPr>
              <w:jc w:val="right"/>
              <w:ind w:right="10"/>
              <w:spacing w:after="0"/>
              <w:rPr>
                <w:sz w:val="20"/>
                <w:szCs w:val="20"/>
                <w:color w:val="auto"/>
              </w:rPr>
            </w:pPr>
            <w:r>
              <w:rPr>
                <w:rFonts w:ascii="Arial" w:cs="Arial" w:eastAsia="Arial" w:hAnsi="Arial"/>
                <w:sz w:val="18"/>
                <w:szCs w:val="18"/>
                <w:color w:val="auto"/>
              </w:rPr>
              <w:t>529,491</w:t>
            </w:r>
          </w:p>
        </w:tc>
        <w:tc>
          <w:tcPr>
            <w:tcW w:w="2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114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1.67</w:t>
            </w:r>
          </w:p>
        </w:tc>
        <w:tc>
          <w:tcPr>
            <w:tcW w:w="0" w:type="dxa"/>
            <w:vAlign w:val="bottom"/>
          </w:tcPr>
          <w:p>
            <w:pPr>
              <w:spacing w:after="0"/>
              <w:rPr>
                <w:sz w:val="1"/>
                <w:szCs w:val="1"/>
                <w:color w:val="auto"/>
              </w:rPr>
            </w:pPr>
          </w:p>
        </w:tc>
      </w:tr>
      <w:tr>
        <w:trPr>
          <w:trHeight w:val="216"/>
        </w:trPr>
        <w:tc>
          <w:tcPr>
            <w:tcW w:w="2460" w:type="dxa"/>
            <w:vAlign w:val="bottom"/>
          </w:tcPr>
          <w:p>
            <w:pPr>
              <w:ind w:left="160"/>
              <w:spacing w:after="0"/>
              <w:rPr>
                <w:sz w:val="20"/>
                <w:szCs w:val="20"/>
                <w:color w:val="auto"/>
              </w:rPr>
            </w:pPr>
            <w:r>
              <w:rPr>
                <w:rFonts w:ascii="Arial" w:cs="Arial" w:eastAsia="Arial" w:hAnsi="Arial"/>
                <w:sz w:val="18"/>
                <w:szCs w:val="18"/>
                <w:color w:val="auto"/>
              </w:rPr>
              <w:t>Granted</w:t>
            </w:r>
          </w:p>
        </w:tc>
        <w:tc>
          <w:tcPr>
            <w:tcW w:w="1280" w:type="dxa"/>
            <w:vAlign w:val="bottom"/>
          </w:tcPr>
          <w:p>
            <w:pPr>
              <w:jc w:val="right"/>
              <w:ind w:right="10"/>
              <w:spacing w:after="0"/>
              <w:rPr>
                <w:sz w:val="20"/>
                <w:szCs w:val="20"/>
                <w:color w:val="auto"/>
              </w:rPr>
            </w:pPr>
            <w:r>
              <w:rPr>
                <w:rFonts w:ascii="Arial" w:cs="Arial" w:eastAsia="Arial" w:hAnsi="Arial"/>
                <w:sz w:val="18"/>
                <w:szCs w:val="18"/>
                <w:color w:val="auto"/>
              </w:rPr>
              <w:t>894,154</w:t>
            </w: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40" w:type="dxa"/>
            <w:vAlign w:val="bottom"/>
          </w:tcPr>
          <w:p>
            <w:pPr>
              <w:jc w:val="right"/>
              <w:ind w:right="30"/>
              <w:spacing w:after="0"/>
              <w:rPr>
                <w:sz w:val="20"/>
                <w:szCs w:val="20"/>
                <w:color w:val="auto"/>
              </w:rPr>
            </w:pPr>
            <w:r>
              <w:rPr>
                <w:rFonts w:ascii="Arial" w:cs="Arial" w:eastAsia="Arial" w:hAnsi="Arial"/>
                <w:sz w:val="18"/>
                <w:szCs w:val="18"/>
                <w:color w:val="auto"/>
              </w:rPr>
              <w:t>2.61</w:t>
            </w:r>
          </w:p>
        </w:tc>
        <w:tc>
          <w:tcPr>
            <w:tcW w:w="1400" w:type="dxa"/>
            <w:vAlign w:val="bottom"/>
            <w:gridSpan w:val="2"/>
          </w:tcPr>
          <w:p>
            <w:pPr>
              <w:jc w:val="right"/>
              <w:ind w:right="30"/>
              <w:spacing w:after="0"/>
              <w:rPr>
                <w:sz w:val="20"/>
                <w:szCs w:val="20"/>
                <w:color w:val="auto"/>
              </w:rPr>
            </w:pPr>
            <w:r>
              <w:rPr>
                <w:rFonts w:ascii="Arial" w:cs="Arial" w:eastAsia="Arial" w:hAnsi="Arial"/>
                <w:sz w:val="18"/>
                <w:szCs w:val="18"/>
                <w:color w:val="auto"/>
              </w:rPr>
              <w:t>1,027,486</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80" w:type="dxa"/>
            <w:vAlign w:val="bottom"/>
          </w:tcPr>
          <w:p>
            <w:pPr>
              <w:jc w:val="right"/>
              <w:ind w:right="10"/>
              <w:spacing w:after="0"/>
              <w:rPr>
                <w:sz w:val="20"/>
                <w:szCs w:val="20"/>
                <w:color w:val="auto"/>
              </w:rPr>
            </w:pPr>
            <w:r>
              <w:rPr>
                <w:rFonts w:ascii="Arial" w:cs="Arial" w:eastAsia="Arial" w:hAnsi="Arial"/>
                <w:sz w:val="18"/>
                <w:szCs w:val="18"/>
                <w:color w:val="auto"/>
              </w:rPr>
              <w:t>2.75</w:t>
            </w:r>
          </w:p>
        </w:tc>
        <w:tc>
          <w:tcPr>
            <w:tcW w:w="1360" w:type="dxa"/>
            <w:vAlign w:val="bottom"/>
            <w:gridSpan w:val="2"/>
          </w:tcPr>
          <w:p>
            <w:pPr>
              <w:jc w:val="right"/>
              <w:ind w:right="10"/>
              <w:spacing w:after="0"/>
              <w:rPr>
                <w:sz w:val="20"/>
                <w:szCs w:val="20"/>
                <w:color w:val="auto"/>
              </w:rPr>
            </w:pPr>
            <w:r>
              <w:rPr>
                <w:rFonts w:ascii="Arial" w:cs="Arial" w:eastAsia="Arial" w:hAnsi="Arial"/>
                <w:sz w:val="18"/>
                <w:szCs w:val="18"/>
                <w:color w:val="auto"/>
              </w:rPr>
              <w:t>332,622</w:t>
            </w: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40" w:type="dxa"/>
            <w:vAlign w:val="bottom"/>
          </w:tcPr>
          <w:p>
            <w:pPr>
              <w:jc w:val="right"/>
              <w:ind w:right="10"/>
              <w:spacing w:after="0"/>
              <w:rPr>
                <w:sz w:val="20"/>
                <w:szCs w:val="20"/>
                <w:color w:val="auto"/>
              </w:rPr>
            </w:pPr>
            <w:r>
              <w:rPr>
                <w:rFonts w:ascii="Arial" w:cs="Arial" w:eastAsia="Arial" w:hAnsi="Arial"/>
                <w:sz w:val="18"/>
                <w:szCs w:val="18"/>
                <w:color w:val="auto"/>
              </w:rPr>
              <w:t>2.98</w:t>
            </w:r>
          </w:p>
        </w:tc>
        <w:tc>
          <w:tcPr>
            <w:tcW w:w="0" w:type="dxa"/>
            <w:vAlign w:val="bottom"/>
          </w:tcPr>
          <w:p>
            <w:pPr>
              <w:spacing w:after="0"/>
              <w:rPr>
                <w:sz w:val="1"/>
                <w:szCs w:val="1"/>
                <w:color w:val="auto"/>
              </w:rPr>
            </w:pPr>
          </w:p>
        </w:tc>
      </w:tr>
      <w:tr>
        <w:trPr>
          <w:trHeight w:val="216"/>
        </w:trPr>
        <w:tc>
          <w:tcPr>
            <w:tcW w:w="2460" w:type="dxa"/>
            <w:vAlign w:val="bottom"/>
            <w:shd w:val="clear" w:color="auto" w:fill="CCEEFF"/>
          </w:tcPr>
          <w:p>
            <w:pPr>
              <w:ind w:left="160"/>
              <w:spacing w:after="0"/>
              <w:rPr>
                <w:sz w:val="20"/>
                <w:szCs w:val="20"/>
                <w:color w:val="auto"/>
              </w:rPr>
            </w:pPr>
            <w:r>
              <w:rPr>
                <w:rFonts w:ascii="Arial" w:cs="Arial" w:eastAsia="Arial" w:hAnsi="Arial"/>
                <w:sz w:val="18"/>
                <w:szCs w:val="18"/>
                <w:color w:val="auto"/>
              </w:rPr>
              <w:t>Exercised</w:t>
            </w:r>
          </w:p>
        </w:tc>
        <w:tc>
          <w:tcPr>
            <w:tcW w:w="12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(253,853)</w:t>
            </w:r>
          </w:p>
        </w:tc>
        <w:tc>
          <w:tcPr>
            <w:tcW w:w="1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14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3.94</w:t>
            </w:r>
          </w:p>
        </w:tc>
        <w:tc>
          <w:tcPr>
            <w:tcW w:w="1400" w:type="dxa"/>
            <w:vAlign w:val="bottom"/>
            <w:gridSpan w:val="2"/>
            <w:shd w:val="clear" w:color="auto" w:fill="CCEEFF"/>
          </w:tcPr>
          <w:p>
            <w:pPr>
              <w:jc w:val="right"/>
              <w:ind w:right="3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8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1360" w:type="dxa"/>
            <w:vAlign w:val="bottom"/>
            <w:gridSpan w:val="2"/>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4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460" w:type="dxa"/>
            <w:vAlign w:val="bottom"/>
          </w:tcPr>
          <w:p>
            <w:pPr>
              <w:ind w:left="160"/>
              <w:spacing w:after="0"/>
              <w:rPr>
                <w:sz w:val="20"/>
                <w:szCs w:val="20"/>
                <w:color w:val="auto"/>
              </w:rPr>
            </w:pPr>
            <w:r>
              <w:rPr>
                <w:rFonts w:ascii="Arial" w:cs="Arial" w:eastAsia="Arial" w:hAnsi="Arial"/>
                <w:sz w:val="18"/>
                <w:szCs w:val="18"/>
                <w:color w:val="auto"/>
              </w:rPr>
              <w:t>Vested (RSUs)</w:t>
            </w:r>
          </w:p>
        </w:tc>
        <w:tc>
          <w:tcPr>
            <w:tcW w:w="1280" w:type="dxa"/>
            <w:vAlign w:val="bottom"/>
          </w:tcPr>
          <w:p>
            <w:pPr>
              <w:jc w:val="right"/>
              <w:ind w:right="1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40" w:type="dxa"/>
            <w:vAlign w:val="bottom"/>
          </w:tcPr>
          <w:p>
            <w:pPr>
              <w:jc w:val="right"/>
              <w:ind w:right="30"/>
              <w:spacing w:after="0"/>
              <w:rPr>
                <w:sz w:val="20"/>
                <w:szCs w:val="20"/>
                <w:color w:val="auto"/>
              </w:rPr>
            </w:pPr>
            <w:r>
              <w:rPr>
                <w:rFonts w:ascii="Arial" w:cs="Arial" w:eastAsia="Arial" w:hAnsi="Arial"/>
                <w:sz w:val="18"/>
                <w:szCs w:val="18"/>
                <w:color w:val="auto"/>
              </w:rPr>
              <w:t>-</w:t>
            </w:r>
          </w:p>
        </w:tc>
        <w:tc>
          <w:tcPr>
            <w:tcW w:w="1400" w:type="dxa"/>
            <w:vAlign w:val="bottom"/>
            <w:gridSpan w:val="2"/>
          </w:tcPr>
          <w:p>
            <w:pPr>
              <w:jc w:val="right"/>
              <w:spacing w:after="0"/>
              <w:rPr>
                <w:sz w:val="20"/>
                <w:szCs w:val="20"/>
                <w:color w:val="auto"/>
              </w:rPr>
            </w:pPr>
            <w:r>
              <w:rPr>
                <w:rFonts w:ascii="Arial" w:cs="Arial" w:eastAsia="Arial" w:hAnsi="Arial"/>
                <w:sz w:val="18"/>
                <w:szCs w:val="18"/>
                <w:color w:val="auto"/>
              </w:rPr>
              <w:t>(930,985)</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80" w:type="dxa"/>
            <w:vAlign w:val="bottom"/>
          </w:tcPr>
          <w:p>
            <w:pPr>
              <w:jc w:val="right"/>
              <w:ind w:right="10"/>
              <w:spacing w:after="0"/>
              <w:rPr>
                <w:sz w:val="20"/>
                <w:szCs w:val="20"/>
                <w:color w:val="auto"/>
              </w:rPr>
            </w:pPr>
            <w:r>
              <w:rPr>
                <w:rFonts w:ascii="Arial" w:cs="Arial" w:eastAsia="Arial" w:hAnsi="Arial"/>
                <w:sz w:val="18"/>
                <w:szCs w:val="18"/>
                <w:color w:val="auto"/>
              </w:rPr>
              <w:t>2.41</w:t>
            </w:r>
          </w:p>
        </w:tc>
        <w:tc>
          <w:tcPr>
            <w:tcW w:w="1360" w:type="dxa"/>
            <w:vAlign w:val="bottom"/>
            <w:gridSpan w:val="2"/>
          </w:tcPr>
          <w:p>
            <w:pPr>
              <w:jc w:val="right"/>
              <w:spacing w:after="0"/>
              <w:rPr>
                <w:sz w:val="20"/>
                <w:szCs w:val="20"/>
                <w:color w:val="auto"/>
              </w:rPr>
            </w:pPr>
            <w:r>
              <w:rPr>
                <w:rFonts w:ascii="Arial" w:cs="Arial" w:eastAsia="Arial" w:hAnsi="Arial"/>
                <w:sz w:val="18"/>
                <w:szCs w:val="18"/>
                <w:color w:val="auto"/>
              </w:rPr>
              <w:t>(240,205)</w:t>
            </w: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40" w:type="dxa"/>
            <w:vAlign w:val="bottom"/>
          </w:tcPr>
          <w:p>
            <w:pPr>
              <w:jc w:val="right"/>
              <w:ind w:right="10"/>
              <w:spacing w:after="0"/>
              <w:rPr>
                <w:sz w:val="20"/>
                <w:szCs w:val="20"/>
                <w:color w:val="auto"/>
              </w:rPr>
            </w:pPr>
            <w:r>
              <w:rPr>
                <w:rFonts w:ascii="Arial" w:cs="Arial" w:eastAsia="Arial" w:hAnsi="Arial"/>
                <w:sz w:val="18"/>
                <w:szCs w:val="18"/>
                <w:color w:val="auto"/>
              </w:rPr>
              <w:t>1.53</w:t>
            </w:r>
          </w:p>
        </w:tc>
        <w:tc>
          <w:tcPr>
            <w:tcW w:w="0" w:type="dxa"/>
            <w:vAlign w:val="bottom"/>
          </w:tcPr>
          <w:p>
            <w:pPr>
              <w:spacing w:after="0"/>
              <w:rPr>
                <w:sz w:val="1"/>
                <w:szCs w:val="1"/>
                <w:color w:val="auto"/>
              </w:rPr>
            </w:pPr>
          </w:p>
        </w:tc>
      </w:tr>
      <w:tr>
        <w:trPr>
          <w:trHeight w:val="216"/>
        </w:trPr>
        <w:tc>
          <w:tcPr>
            <w:tcW w:w="2460" w:type="dxa"/>
            <w:vAlign w:val="bottom"/>
            <w:shd w:val="clear" w:color="auto" w:fill="CCEEFF"/>
          </w:tcPr>
          <w:p>
            <w:pPr>
              <w:ind w:left="160"/>
              <w:spacing w:after="0"/>
              <w:rPr>
                <w:sz w:val="20"/>
                <w:szCs w:val="20"/>
                <w:color w:val="auto"/>
              </w:rPr>
            </w:pPr>
            <w:r>
              <w:rPr>
                <w:rFonts w:ascii="Arial" w:cs="Arial" w:eastAsia="Arial" w:hAnsi="Arial"/>
                <w:sz w:val="18"/>
                <w:szCs w:val="18"/>
                <w:color w:val="auto"/>
              </w:rPr>
              <w:t>Cancelled/Forfeited</w:t>
            </w:r>
          </w:p>
        </w:tc>
        <w:tc>
          <w:tcPr>
            <w:tcW w:w="12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(269,084)</w:t>
            </w:r>
          </w:p>
        </w:tc>
        <w:tc>
          <w:tcPr>
            <w:tcW w:w="1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14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3.68</w:t>
            </w:r>
          </w:p>
        </w:tc>
        <w:tc>
          <w:tcPr>
            <w:tcW w:w="14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(126,490)</w:t>
            </w: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8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3.13</w:t>
            </w:r>
          </w:p>
        </w:tc>
        <w:tc>
          <w:tcPr>
            <w:tcW w:w="13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(41,932)</w:t>
            </w: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4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3.04</w:t>
            </w:r>
          </w:p>
        </w:tc>
        <w:tc>
          <w:tcPr>
            <w:tcW w:w="0" w:type="dxa"/>
            <w:vAlign w:val="bottom"/>
          </w:tcPr>
          <w:p>
            <w:pPr>
              <w:spacing w:after="0"/>
              <w:rPr>
                <w:sz w:val="1"/>
                <w:szCs w:val="1"/>
                <w:color w:val="auto"/>
              </w:rPr>
            </w:pPr>
          </w:p>
        </w:tc>
      </w:tr>
      <w:tr>
        <w:trPr>
          <w:trHeight w:val="202"/>
        </w:trPr>
        <w:tc>
          <w:tcPr>
            <w:tcW w:w="2460" w:type="dxa"/>
            <w:vAlign w:val="bottom"/>
          </w:tcPr>
          <w:p>
            <w:pPr>
              <w:ind w:left="160"/>
              <w:spacing w:after="0" w:line="201" w:lineRule="exact"/>
              <w:rPr>
                <w:sz w:val="20"/>
                <w:szCs w:val="20"/>
                <w:color w:val="auto"/>
              </w:rPr>
            </w:pPr>
            <w:r>
              <w:rPr>
                <w:rFonts w:ascii="Arial" w:cs="Arial" w:eastAsia="Arial" w:hAnsi="Arial"/>
                <w:sz w:val="18"/>
                <w:szCs w:val="18"/>
                <w:color w:val="auto"/>
              </w:rPr>
              <w:t>Performance Factor</w:t>
            </w:r>
          </w:p>
        </w:tc>
        <w:tc>
          <w:tcPr>
            <w:tcW w:w="1280" w:type="dxa"/>
            <w:vAlign w:val="bottom"/>
            <w:vMerge w:val="restart"/>
          </w:tcPr>
          <w:p>
            <w:pPr>
              <w:jc w:val="right"/>
              <w:ind w:right="1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100" w:type="dxa"/>
            <w:vAlign w:val="bottom"/>
            <w:vMerge w:val="restart"/>
          </w:tcPr>
          <w:p>
            <w:pPr>
              <w:spacing w:after="0"/>
              <w:rPr>
                <w:sz w:val="17"/>
                <w:szCs w:val="17"/>
                <w:color w:val="auto"/>
              </w:rPr>
            </w:pPr>
          </w:p>
        </w:tc>
        <w:tc>
          <w:tcPr>
            <w:tcW w:w="1300" w:type="dxa"/>
            <w:vAlign w:val="bottom"/>
            <w:vMerge w:val="restart"/>
          </w:tcPr>
          <w:p>
            <w:pPr>
              <w:jc w:val="right"/>
              <w:ind w:right="3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180" w:type="dxa"/>
            <w:vAlign w:val="bottom"/>
          </w:tcPr>
          <w:p>
            <w:pPr>
              <w:spacing w:after="0"/>
              <w:rPr>
                <w:sz w:val="17"/>
                <w:szCs w:val="17"/>
                <w:color w:val="auto"/>
              </w:rPr>
            </w:pPr>
          </w:p>
        </w:tc>
        <w:tc>
          <w:tcPr>
            <w:tcW w:w="100" w:type="dxa"/>
            <w:vAlign w:val="bottom"/>
            <w:vMerge w:val="restart"/>
          </w:tcPr>
          <w:p>
            <w:pPr>
              <w:spacing w:after="0"/>
              <w:rPr>
                <w:sz w:val="17"/>
                <w:szCs w:val="17"/>
                <w:color w:val="auto"/>
              </w:rPr>
            </w:pPr>
          </w:p>
        </w:tc>
        <w:tc>
          <w:tcPr>
            <w:tcW w:w="1260" w:type="dxa"/>
            <w:vAlign w:val="bottom"/>
            <w:vMerge w:val="restart"/>
          </w:tcPr>
          <w:p>
            <w:pPr>
              <w:jc w:val="right"/>
              <w:ind w:right="10"/>
              <w:spacing w:after="0"/>
              <w:rPr>
                <w:sz w:val="20"/>
                <w:szCs w:val="20"/>
                <w:color w:val="auto"/>
              </w:rPr>
            </w:pPr>
            <w:r>
              <w:rPr>
                <w:rFonts w:ascii="Arial" w:cs="Arial" w:eastAsia="Arial" w:hAnsi="Arial"/>
                <w:sz w:val="18"/>
                <w:szCs w:val="18"/>
                <w:color w:val="auto"/>
              </w:rPr>
              <w:t>233,055</w:t>
            </w:r>
          </w:p>
        </w:tc>
        <w:tc>
          <w:tcPr>
            <w:tcW w:w="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22"/>
        </w:trPr>
        <w:tc>
          <w:tcPr>
            <w:tcW w:w="2460" w:type="dxa"/>
            <w:vAlign w:val="bottom"/>
          </w:tcPr>
          <w:p>
            <w:pPr>
              <w:ind w:left="160"/>
              <w:spacing w:after="0"/>
              <w:rPr>
                <w:sz w:val="20"/>
                <w:szCs w:val="20"/>
                <w:color w:val="auto"/>
              </w:rPr>
            </w:pPr>
            <w:r>
              <w:rPr>
                <w:rFonts w:ascii="Arial" w:cs="Arial" w:eastAsia="Arial" w:hAnsi="Arial"/>
                <w:sz w:val="18"/>
                <w:szCs w:val="18"/>
                <w:color w:val="auto"/>
              </w:rPr>
              <w:t>Adjustment</w:t>
            </w:r>
          </w:p>
        </w:tc>
        <w:tc>
          <w:tcPr>
            <w:tcW w:w="1280" w:type="dxa"/>
            <w:vAlign w:val="bottom"/>
            <w:tcBorders>
              <w:bottom w:val="single" w:sz="8" w:color="auto"/>
            </w:tcBorders>
            <w:vMerge w:val="continue"/>
          </w:tcPr>
          <w:p>
            <w:pPr>
              <w:spacing w:after="0"/>
              <w:rPr>
                <w:sz w:val="18"/>
                <w:szCs w:val="18"/>
                <w:color w:val="auto"/>
              </w:rPr>
            </w:pP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40" w:type="dxa"/>
            <w:vAlign w:val="bottom"/>
          </w:tcPr>
          <w:p>
            <w:pPr>
              <w:jc w:val="right"/>
              <w:ind w:right="30"/>
              <w:spacing w:after="0"/>
              <w:rPr>
                <w:sz w:val="20"/>
                <w:szCs w:val="20"/>
                <w:color w:val="auto"/>
              </w:rPr>
            </w:pPr>
            <w:r>
              <w:rPr>
                <w:rFonts w:ascii="Arial" w:cs="Arial" w:eastAsia="Arial" w:hAnsi="Arial"/>
                <w:sz w:val="18"/>
                <w:szCs w:val="18"/>
                <w:color w:val="auto"/>
              </w:rPr>
              <w:t>-</w:t>
            </w:r>
          </w:p>
        </w:tc>
        <w:tc>
          <w:tcPr>
            <w:tcW w:w="100" w:type="dxa"/>
            <w:vAlign w:val="bottom"/>
            <w:vMerge w:val="continue"/>
          </w:tcPr>
          <w:p>
            <w:pPr>
              <w:spacing w:after="0"/>
              <w:rPr>
                <w:sz w:val="18"/>
                <w:szCs w:val="18"/>
                <w:color w:val="auto"/>
              </w:rPr>
            </w:pPr>
          </w:p>
        </w:tc>
        <w:tc>
          <w:tcPr>
            <w:tcW w:w="1300" w:type="dxa"/>
            <w:vAlign w:val="bottom"/>
            <w:tcBorders>
              <w:bottom w:val="single" w:sz="8" w:color="auto"/>
            </w:tcBorders>
            <w:vMerge w:val="continue"/>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80" w:type="dxa"/>
            <w:vAlign w:val="bottom"/>
          </w:tcPr>
          <w:p>
            <w:pPr>
              <w:jc w:val="right"/>
              <w:ind w:right="10"/>
              <w:spacing w:after="0"/>
              <w:rPr>
                <w:sz w:val="20"/>
                <w:szCs w:val="20"/>
                <w:color w:val="auto"/>
              </w:rPr>
            </w:pPr>
            <w:r>
              <w:rPr>
                <w:rFonts w:ascii="Arial" w:cs="Arial" w:eastAsia="Arial" w:hAnsi="Arial"/>
                <w:sz w:val="18"/>
                <w:szCs w:val="18"/>
                <w:color w:val="auto"/>
              </w:rPr>
              <w:t>-</w:t>
            </w:r>
          </w:p>
        </w:tc>
        <w:tc>
          <w:tcPr>
            <w:tcW w:w="100" w:type="dxa"/>
            <w:vAlign w:val="bottom"/>
            <w:vMerge w:val="continue"/>
          </w:tcPr>
          <w:p>
            <w:pPr>
              <w:spacing w:after="0"/>
              <w:rPr>
                <w:sz w:val="18"/>
                <w:szCs w:val="18"/>
                <w:color w:val="auto"/>
              </w:rPr>
            </w:pPr>
          </w:p>
        </w:tc>
        <w:tc>
          <w:tcPr>
            <w:tcW w:w="1260" w:type="dxa"/>
            <w:vAlign w:val="bottom"/>
            <w:tcBorders>
              <w:bottom w:val="single" w:sz="8" w:color="auto"/>
            </w:tcBorders>
            <w:vMerge w:val="continue"/>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40" w:type="dxa"/>
            <w:vAlign w:val="bottom"/>
          </w:tcPr>
          <w:p>
            <w:pPr>
              <w:jc w:val="right"/>
              <w:ind w:right="10"/>
              <w:spacing w:after="0"/>
              <w:rPr>
                <w:sz w:val="20"/>
                <w:szCs w:val="20"/>
                <w:color w:val="auto"/>
              </w:rPr>
            </w:pPr>
            <w:r>
              <w:rPr>
                <w:rFonts w:ascii="Arial" w:cs="Arial" w:eastAsia="Arial" w:hAnsi="Arial"/>
                <w:sz w:val="18"/>
                <w:szCs w:val="18"/>
                <w:color w:val="auto"/>
              </w:rPr>
              <w:t>1.47</w:t>
            </w:r>
          </w:p>
        </w:tc>
        <w:tc>
          <w:tcPr>
            <w:tcW w:w="0" w:type="dxa"/>
            <w:vAlign w:val="bottom"/>
          </w:tcPr>
          <w:p>
            <w:pPr>
              <w:spacing w:after="0"/>
              <w:rPr>
                <w:sz w:val="1"/>
                <w:szCs w:val="1"/>
                <w:color w:val="auto"/>
              </w:rPr>
            </w:pPr>
          </w:p>
        </w:tc>
      </w:tr>
      <w:tr>
        <w:trPr>
          <w:trHeight w:val="210"/>
        </w:trPr>
        <w:tc>
          <w:tcPr>
            <w:tcW w:w="246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w w:val="98"/>
              </w:rPr>
              <w:t>Balance at December 31, 2020</w:t>
            </w:r>
          </w:p>
        </w:tc>
        <w:tc>
          <w:tcPr>
            <w:tcW w:w="128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2,637,339</w:t>
            </w:r>
          </w:p>
        </w:tc>
        <w:tc>
          <w:tcPr>
            <w:tcW w:w="120" w:type="dxa"/>
            <w:vAlign w:val="bottom"/>
            <w:tcBorders>
              <w:bottom w:val="single" w:sz="8" w:color="CCEEFF"/>
            </w:tcBorders>
            <w:shd w:val="clear" w:color="auto" w:fill="CCEEFF"/>
          </w:tcPr>
          <w:p>
            <w:pPr>
              <w:spacing w:after="0"/>
              <w:rPr>
                <w:sz w:val="18"/>
                <w:szCs w:val="18"/>
                <w:color w:val="auto"/>
              </w:rPr>
            </w:pPr>
          </w:p>
        </w:tc>
        <w:tc>
          <w:tcPr>
            <w:tcW w:w="160" w:type="dxa"/>
            <w:vAlign w:val="bottom"/>
            <w:tcBorders>
              <w:bottom w:val="single" w:sz="8" w:color="CCEEFF"/>
            </w:tcBorders>
            <w:shd w:val="clear" w:color="auto" w:fill="CCEEFF"/>
          </w:tcPr>
          <w:p>
            <w:pPr>
              <w:spacing w:after="0"/>
              <w:rPr>
                <w:sz w:val="18"/>
                <w:szCs w:val="18"/>
                <w:color w:val="auto"/>
              </w:rPr>
            </w:pPr>
          </w:p>
        </w:tc>
        <w:tc>
          <w:tcPr>
            <w:tcW w:w="11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3.51</w:t>
            </w:r>
          </w:p>
        </w:tc>
        <w:tc>
          <w:tcPr>
            <w:tcW w:w="100" w:type="dxa"/>
            <w:vAlign w:val="bottom"/>
            <w:tcBorders>
              <w:bottom w:val="single" w:sz="8" w:color="CCEEFF"/>
            </w:tcBorders>
            <w:shd w:val="clear" w:color="auto" w:fill="CCEEFF"/>
          </w:tcPr>
          <w:p>
            <w:pPr>
              <w:spacing w:after="0"/>
              <w:rPr>
                <w:sz w:val="18"/>
                <w:szCs w:val="18"/>
                <w:color w:val="auto"/>
              </w:rPr>
            </w:pPr>
          </w:p>
        </w:tc>
        <w:tc>
          <w:tcPr>
            <w:tcW w:w="130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rPr>
              <w:t>1,560,461</w:t>
            </w:r>
          </w:p>
        </w:tc>
        <w:tc>
          <w:tcPr>
            <w:tcW w:w="220" w:type="dxa"/>
            <w:vAlign w:val="bottom"/>
            <w:tcBorders>
              <w:bottom w:val="single" w:sz="8" w:color="CCEEFF"/>
            </w:tcBorders>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11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2.44</w:t>
            </w:r>
          </w:p>
        </w:tc>
        <w:tc>
          <w:tcPr>
            <w:tcW w:w="100" w:type="dxa"/>
            <w:vAlign w:val="bottom"/>
            <w:tcBorders>
              <w:bottom w:val="single" w:sz="8" w:color="CCEEFF"/>
            </w:tcBorders>
            <w:shd w:val="clear" w:color="auto" w:fill="CCEEFF"/>
          </w:tcPr>
          <w:p>
            <w:pPr>
              <w:spacing w:after="0"/>
              <w:rPr>
                <w:sz w:val="18"/>
                <w:szCs w:val="18"/>
                <w:color w:val="auto"/>
              </w:rPr>
            </w:pPr>
          </w:p>
        </w:tc>
        <w:tc>
          <w:tcPr>
            <w:tcW w:w="126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813,031</w:t>
            </w:r>
          </w:p>
        </w:tc>
        <w:tc>
          <w:tcPr>
            <w:tcW w:w="80" w:type="dxa"/>
            <w:vAlign w:val="bottom"/>
            <w:tcBorders>
              <w:bottom w:val="single" w:sz="8" w:color="CCEEFF"/>
            </w:tcBorders>
            <w:shd w:val="clear" w:color="auto" w:fill="CCEEFF"/>
          </w:tcPr>
          <w:p>
            <w:pPr>
              <w:spacing w:after="0"/>
              <w:rPr>
                <w:sz w:val="18"/>
                <w:szCs w:val="18"/>
                <w:color w:val="auto"/>
              </w:rPr>
            </w:pPr>
          </w:p>
        </w:tc>
        <w:tc>
          <w:tcPr>
            <w:tcW w:w="120" w:type="dxa"/>
            <w:vAlign w:val="bottom"/>
            <w:tcBorders>
              <w:bottom w:val="single" w:sz="8" w:color="CCEEFF"/>
            </w:tcBorders>
            <w:shd w:val="clear" w:color="auto" w:fill="CCEEFF"/>
          </w:tcPr>
          <w:p>
            <w:pPr>
              <w:spacing w:after="0"/>
              <w:rPr>
                <w:sz w:val="18"/>
                <w:szCs w:val="18"/>
                <w:color w:val="auto"/>
              </w:rPr>
            </w:pPr>
          </w:p>
        </w:tc>
        <w:tc>
          <w:tcPr>
            <w:tcW w:w="11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2.12</w:t>
            </w:r>
          </w:p>
        </w:tc>
        <w:tc>
          <w:tcPr>
            <w:tcW w:w="0" w:type="dxa"/>
            <w:vAlign w:val="bottom"/>
          </w:tcPr>
          <w:p>
            <w:pPr>
              <w:spacing w:after="0"/>
              <w:rPr>
                <w:sz w:val="1"/>
                <w:szCs w:val="1"/>
                <w:color w:val="auto"/>
              </w:rPr>
            </w:pPr>
          </w:p>
        </w:tc>
      </w:tr>
      <w:tr>
        <w:trPr>
          <w:trHeight w:val="209"/>
        </w:trPr>
        <w:tc>
          <w:tcPr>
            <w:tcW w:w="2460" w:type="dxa"/>
            <w:vAlign w:val="bottom"/>
          </w:tcPr>
          <w:p>
            <w:pPr>
              <w:ind w:left="160"/>
              <w:spacing w:after="0"/>
              <w:rPr>
                <w:sz w:val="20"/>
                <w:szCs w:val="20"/>
                <w:color w:val="auto"/>
              </w:rPr>
            </w:pPr>
            <w:r>
              <w:rPr>
                <w:rFonts w:ascii="Arial" w:cs="Arial" w:eastAsia="Arial" w:hAnsi="Arial"/>
                <w:sz w:val="18"/>
                <w:szCs w:val="18"/>
                <w:color w:val="auto"/>
              </w:rPr>
              <w:t>Granted</w:t>
            </w:r>
          </w:p>
        </w:tc>
        <w:tc>
          <w:tcPr>
            <w:tcW w:w="1280" w:type="dxa"/>
            <w:vAlign w:val="bottom"/>
          </w:tcPr>
          <w:p>
            <w:pPr>
              <w:jc w:val="right"/>
              <w:ind w:right="1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40" w:type="dxa"/>
            <w:vAlign w:val="bottom"/>
          </w:tcPr>
          <w:p>
            <w:pPr>
              <w:jc w:val="right"/>
              <w:ind w:right="30"/>
              <w:spacing w:after="0"/>
              <w:rPr>
                <w:sz w:val="20"/>
                <w:szCs w:val="20"/>
                <w:color w:val="auto"/>
              </w:rPr>
            </w:pPr>
            <w:r>
              <w:rPr>
                <w:rFonts w:ascii="Arial" w:cs="Arial" w:eastAsia="Arial" w:hAnsi="Arial"/>
                <w:sz w:val="18"/>
                <w:szCs w:val="18"/>
                <w:color w:val="auto"/>
              </w:rPr>
              <w:t>-</w:t>
            </w:r>
          </w:p>
        </w:tc>
        <w:tc>
          <w:tcPr>
            <w:tcW w:w="1400" w:type="dxa"/>
            <w:vAlign w:val="bottom"/>
            <w:gridSpan w:val="2"/>
          </w:tcPr>
          <w:p>
            <w:pPr>
              <w:jc w:val="right"/>
              <w:ind w:right="30"/>
              <w:spacing w:after="0"/>
              <w:rPr>
                <w:sz w:val="20"/>
                <w:szCs w:val="20"/>
                <w:color w:val="auto"/>
              </w:rPr>
            </w:pPr>
            <w:r>
              <w:rPr>
                <w:rFonts w:ascii="Arial" w:cs="Arial" w:eastAsia="Arial" w:hAnsi="Arial"/>
                <w:sz w:val="18"/>
                <w:szCs w:val="18"/>
                <w:color w:val="auto"/>
              </w:rPr>
              <w:t>820,831</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80" w:type="dxa"/>
            <w:vAlign w:val="bottom"/>
          </w:tcPr>
          <w:p>
            <w:pPr>
              <w:jc w:val="right"/>
              <w:ind w:right="10"/>
              <w:spacing w:after="0"/>
              <w:rPr>
                <w:sz w:val="20"/>
                <w:szCs w:val="20"/>
                <w:color w:val="auto"/>
              </w:rPr>
            </w:pPr>
            <w:r>
              <w:rPr>
                <w:rFonts w:ascii="Arial" w:cs="Arial" w:eastAsia="Arial" w:hAnsi="Arial"/>
                <w:sz w:val="18"/>
                <w:szCs w:val="18"/>
                <w:color w:val="auto"/>
              </w:rPr>
              <w:t>4.74</w:t>
            </w:r>
          </w:p>
        </w:tc>
        <w:tc>
          <w:tcPr>
            <w:tcW w:w="1360" w:type="dxa"/>
            <w:vAlign w:val="bottom"/>
            <w:gridSpan w:val="2"/>
          </w:tcPr>
          <w:p>
            <w:pPr>
              <w:jc w:val="right"/>
              <w:ind w:right="10"/>
              <w:spacing w:after="0"/>
              <w:rPr>
                <w:sz w:val="20"/>
                <w:szCs w:val="20"/>
                <w:color w:val="auto"/>
              </w:rPr>
            </w:pPr>
            <w:r>
              <w:rPr>
                <w:rFonts w:ascii="Arial" w:cs="Arial" w:eastAsia="Arial" w:hAnsi="Arial"/>
                <w:sz w:val="18"/>
                <w:szCs w:val="18"/>
                <w:color w:val="auto"/>
              </w:rPr>
              <w:t>293,509</w:t>
            </w: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40" w:type="dxa"/>
            <w:vAlign w:val="bottom"/>
          </w:tcPr>
          <w:p>
            <w:pPr>
              <w:jc w:val="right"/>
              <w:ind w:right="10"/>
              <w:spacing w:after="0"/>
              <w:rPr>
                <w:sz w:val="20"/>
                <w:szCs w:val="20"/>
                <w:color w:val="auto"/>
              </w:rPr>
            </w:pPr>
            <w:r>
              <w:rPr>
                <w:rFonts w:ascii="Arial" w:cs="Arial" w:eastAsia="Arial" w:hAnsi="Arial"/>
                <w:sz w:val="18"/>
                <w:szCs w:val="18"/>
                <w:color w:val="auto"/>
              </w:rPr>
              <w:t>4.61</w:t>
            </w:r>
          </w:p>
        </w:tc>
        <w:tc>
          <w:tcPr>
            <w:tcW w:w="0" w:type="dxa"/>
            <w:vAlign w:val="bottom"/>
          </w:tcPr>
          <w:p>
            <w:pPr>
              <w:spacing w:after="0"/>
              <w:rPr>
                <w:sz w:val="1"/>
                <w:szCs w:val="1"/>
                <w:color w:val="auto"/>
              </w:rPr>
            </w:pPr>
          </w:p>
        </w:tc>
      </w:tr>
      <w:tr>
        <w:trPr>
          <w:trHeight w:val="216"/>
        </w:trPr>
        <w:tc>
          <w:tcPr>
            <w:tcW w:w="2460" w:type="dxa"/>
            <w:vAlign w:val="bottom"/>
            <w:shd w:val="clear" w:color="auto" w:fill="CCEEFF"/>
          </w:tcPr>
          <w:p>
            <w:pPr>
              <w:ind w:left="160"/>
              <w:spacing w:after="0"/>
              <w:rPr>
                <w:sz w:val="20"/>
                <w:szCs w:val="20"/>
                <w:color w:val="auto"/>
              </w:rPr>
            </w:pPr>
            <w:r>
              <w:rPr>
                <w:rFonts w:ascii="Arial" w:cs="Arial" w:eastAsia="Arial" w:hAnsi="Arial"/>
                <w:sz w:val="18"/>
                <w:szCs w:val="18"/>
                <w:color w:val="auto"/>
              </w:rPr>
              <w:t>Exercised</w:t>
            </w:r>
          </w:p>
        </w:tc>
        <w:tc>
          <w:tcPr>
            <w:tcW w:w="12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(579,968)</w:t>
            </w:r>
          </w:p>
        </w:tc>
        <w:tc>
          <w:tcPr>
            <w:tcW w:w="1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14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3.77</w:t>
            </w:r>
          </w:p>
        </w:tc>
        <w:tc>
          <w:tcPr>
            <w:tcW w:w="1400" w:type="dxa"/>
            <w:vAlign w:val="bottom"/>
            <w:gridSpan w:val="2"/>
            <w:shd w:val="clear" w:color="auto" w:fill="CCEEFF"/>
          </w:tcPr>
          <w:p>
            <w:pPr>
              <w:jc w:val="right"/>
              <w:ind w:right="3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8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1360" w:type="dxa"/>
            <w:vAlign w:val="bottom"/>
            <w:gridSpan w:val="2"/>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4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460" w:type="dxa"/>
            <w:vAlign w:val="bottom"/>
          </w:tcPr>
          <w:p>
            <w:pPr>
              <w:ind w:left="160"/>
              <w:spacing w:after="0"/>
              <w:rPr>
                <w:sz w:val="20"/>
                <w:szCs w:val="20"/>
                <w:color w:val="auto"/>
              </w:rPr>
            </w:pPr>
            <w:r>
              <w:rPr>
                <w:rFonts w:ascii="Arial" w:cs="Arial" w:eastAsia="Arial" w:hAnsi="Arial"/>
                <w:sz w:val="18"/>
                <w:szCs w:val="18"/>
                <w:color w:val="auto"/>
              </w:rPr>
              <w:t>Vested (RSUs)</w:t>
            </w:r>
          </w:p>
        </w:tc>
        <w:tc>
          <w:tcPr>
            <w:tcW w:w="1280" w:type="dxa"/>
            <w:vAlign w:val="bottom"/>
          </w:tcPr>
          <w:p>
            <w:pPr>
              <w:jc w:val="right"/>
              <w:ind w:right="1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40" w:type="dxa"/>
            <w:vAlign w:val="bottom"/>
          </w:tcPr>
          <w:p>
            <w:pPr>
              <w:jc w:val="right"/>
              <w:ind w:right="30"/>
              <w:spacing w:after="0"/>
              <w:rPr>
                <w:sz w:val="20"/>
                <w:szCs w:val="20"/>
                <w:color w:val="auto"/>
              </w:rPr>
            </w:pPr>
            <w:r>
              <w:rPr>
                <w:rFonts w:ascii="Arial" w:cs="Arial" w:eastAsia="Arial" w:hAnsi="Arial"/>
                <w:sz w:val="18"/>
                <w:szCs w:val="18"/>
                <w:color w:val="auto"/>
              </w:rPr>
              <w:t>-</w:t>
            </w:r>
          </w:p>
        </w:tc>
        <w:tc>
          <w:tcPr>
            <w:tcW w:w="1400" w:type="dxa"/>
            <w:vAlign w:val="bottom"/>
            <w:gridSpan w:val="2"/>
          </w:tcPr>
          <w:p>
            <w:pPr>
              <w:jc w:val="right"/>
              <w:spacing w:after="0"/>
              <w:rPr>
                <w:sz w:val="20"/>
                <w:szCs w:val="20"/>
                <w:color w:val="auto"/>
              </w:rPr>
            </w:pPr>
            <w:r>
              <w:rPr>
                <w:rFonts w:ascii="Arial" w:cs="Arial" w:eastAsia="Arial" w:hAnsi="Arial"/>
                <w:sz w:val="18"/>
                <w:szCs w:val="18"/>
                <w:color w:val="auto"/>
              </w:rPr>
              <w:t>(1,167,473)</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80" w:type="dxa"/>
            <w:vAlign w:val="bottom"/>
          </w:tcPr>
          <w:p>
            <w:pPr>
              <w:jc w:val="right"/>
              <w:ind w:right="10"/>
              <w:spacing w:after="0"/>
              <w:rPr>
                <w:sz w:val="20"/>
                <w:szCs w:val="20"/>
                <w:color w:val="auto"/>
              </w:rPr>
            </w:pPr>
            <w:r>
              <w:rPr>
                <w:rFonts w:ascii="Arial" w:cs="Arial" w:eastAsia="Arial" w:hAnsi="Arial"/>
                <w:sz w:val="18"/>
                <w:szCs w:val="18"/>
                <w:color w:val="auto"/>
              </w:rPr>
              <w:t>2.88</w:t>
            </w:r>
          </w:p>
        </w:tc>
        <w:tc>
          <w:tcPr>
            <w:tcW w:w="1360" w:type="dxa"/>
            <w:vAlign w:val="bottom"/>
            <w:gridSpan w:val="2"/>
          </w:tcPr>
          <w:p>
            <w:pPr>
              <w:jc w:val="right"/>
              <w:spacing w:after="0"/>
              <w:rPr>
                <w:sz w:val="20"/>
                <w:szCs w:val="20"/>
                <w:color w:val="auto"/>
              </w:rPr>
            </w:pPr>
            <w:r>
              <w:rPr>
                <w:rFonts w:ascii="Arial" w:cs="Arial" w:eastAsia="Arial" w:hAnsi="Arial"/>
                <w:sz w:val="18"/>
                <w:szCs w:val="18"/>
                <w:color w:val="auto"/>
              </w:rPr>
              <w:t>(403,422)</w:t>
            </w: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40" w:type="dxa"/>
            <w:vAlign w:val="bottom"/>
          </w:tcPr>
          <w:p>
            <w:pPr>
              <w:jc w:val="right"/>
              <w:ind w:right="10"/>
              <w:spacing w:after="0"/>
              <w:rPr>
                <w:sz w:val="20"/>
                <w:szCs w:val="20"/>
                <w:color w:val="auto"/>
              </w:rPr>
            </w:pPr>
            <w:r>
              <w:rPr>
                <w:rFonts w:ascii="Arial" w:cs="Arial" w:eastAsia="Arial" w:hAnsi="Arial"/>
                <w:sz w:val="18"/>
                <w:szCs w:val="18"/>
                <w:color w:val="auto"/>
              </w:rPr>
              <w:t>2.11</w:t>
            </w:r>
          </w:p>
        </w:tc>
        <w:tc>
          <w:tcPr>
            <w:tcW w:w="0" w:type="dxa"/>
            <w:vAlign w:val="bottom"/>
          </w:tcPr>
          <w:p>
            <w:pPr>
              <w:spacing w:after="0"/>
              <w:rPr>
                <w:sz w:val="1"/>
                <w:szCs w:val="1"/>
                <w:color w:val="auto"/>
              </w:rPr>
            </w:pPr>
          </w:p>
        </w:tc>
      </w:tr>
      <w:tr>
        <w:trPr>
          <w:trHeight w:val="216"/>
        </w:trPr>
        <w:tc>
          <w:tcPr>
            <w:tcW w:w="2460" w:type="dxa"/>
            <w:vAlign w:val="bottom"/>
            <w:shd w:val="clear" w:color="auto" w:fill="CCEEFF"/>
          </w:tcPr>
          <w:p>
            <w:pPr>
              <w:ind w:left="160"/>
              <w:spacing w:after="0"/>
              <w:rPr>
                <w:sz w:val="20"/>
                <w:szCs w:val="20"/>
                <w:color w:val="auto"/>
              </w:rPr>
            </w:pPr>
            <w:r>
              <w:rPr>
                <w:rFonts w:ascii="Arial" w:cs="Arial" w:eastAsia="Arial" w:hAnsi="Arial"/>
                <w:sz w:val="18"/>
                <w:szCs w:val="18"/>
                <w:color w:val="auto"/>
              </w:rPr>
              <w:t>Cancelled/Forfeited</w:t>
            </w:r>
          </w:p>
        </w:tc>
        <w:tc>
          <w:tcPr>
            <w:tcW w:w="12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(652,555)</w:t>
            </w:r>
          </w:p>
        </w:tc>
        <w:tc>
          <w:tcPr>
            <w:tcW w:w="1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14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4.24</w:t>
            </w:r>
          </w:p>
        </w:tc>
        <w:tc>
          <w:tcPr>
            <w:tcW w:w="14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(72,655)</w:t>
            </w: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8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3.67</w:t>
            </w:r>
          </w:p>
        </w:tc>
        <w:tc>
          <w:tcPr>
            <w:tcW w:w="13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(6,179)</w:t>
            </w: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4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2.98</w:t>
            </w:r>
          </w:p>
        </w:tc>
        <w:tc>
          <w:tcPr>
            <w:tcW w:w="0" w:type="dxa"/>
            <w:vAlign w:val="bottom"/>
          </w:tcPr>
          <w:p>
            <w:pPr>
              <w:spacing w:after="0"/>
              <w:rPr>
                <w:sz w:val="1"/>
                <w:szCs w:val="1"/>
                <w:color w:val="auto"/>
              </w:rPr>
            </w:pPr>
          </w:p>
        </w:tc>
      </w:tr>
      <w:tr>
        <w:trPr>
          <w:trHeight w:val="202"/>
        </w:trPr>
        <w:tc>
          <w:tcPr>
            <w:tcW w:w="2460" w:type="dxa"/>
            <w:vAlign w:val="bottom"/>
          </w:tcPr>
          <w:p>
            <w:pPr>
              <w:ind w:left="160"/>
              <w:spacing w:after="0" w:line="201" w:lineRule="exact"/>
              <w:rPr>
                <w:sz w:val="20"/>
                <w:szCs w:val="20"/>
                <w:color w:val="auto"/>
              </w:rPr>
            </w:pPr>
            <w:r>
              <w:rPr>
                <w:rFonts w:ascii="Arial" w:cs="Arial" w:eastAsia="Arial" w:hAnsi="Arial"/>
                <w:sz w:val="18"/>
                <w:szCs w:val="18"/>
                <w:color w:val="auto"/>
              </w:rPr>
              <w:t>Performance Factor</w:t>
            </w:r>
          </w:p>
        </w:tc>
        <w:tc>
          <w:tcPr>
            <w:tcW w:w="1280" w:type="dxa"/>
            <w:vAlign w:val="bottom"/>
            <w:vMerge w:val="restart"/>
          </w:tcPr>
          <w:p>
            <w:pPr>
              <w:jc w:val="right"/>
              <w:ind w:right="1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100" w:type="dxa"/>
            <w:vAlign w:val="bottom"/>
            <w:vMerge w:val="restart"/>
          </w:tcPr>
          <w:p>
            <w:pPr>
              <w:spacing w:after="0"/>
              <w:rPr>
                <w:sz w:val="17"/>
                <w:szCs w:val="17"/>
                <w:color w:val="auto"/>
              </w:rPr>
            </w:pPr>
          </w:p>
        </w:tc>
        <w:tc>
          <w:tcPr>
            <w:tcW w:w="1300" w:type="dxa"/>
            <w:vAlign w:val="bottom"/>
            <w:vMerge w:val="restart"/>
          </w:tcPr>
          <w:p>
            <w:pPr>
              <w:jc w:val="right"/>
              <w:ind w:right="3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180" w:type="dxa"/>
            <w:vAlign w:val="bottom"/>
          </w:tcPr>
          <w:p>
            <w:pPr>
              <w:spacing w:after="0"/>
              <w:rPr>
                <w:sz w:val="17"/>
                <w:szCs w:val="17"/>
                <w:color w:val="auto"/>
              </w:rPr>
            </w:pPr>
          </w:p>
        </w:tc>
        <w:tc>
          <w:tcPr>
            <w:tcW w:w="100" w:type="dxa"/>
            <w:vAlign w:val="bottom"/>
            <w:vMerge w:val="restart"/>
          </w:tcPr>
          <w:p>
            <w:pPr>
              <w:spacing w:after="0"/>
              <w:rPr>
                <w:sz w:val="17"/>
                <w:szCs w:val="17"/>
                <w:color w:val="auto"/>
              </w:rPr>
            </w:pPr>
          </w:p>
        </w:tc>
        <w:tc>
          <w:tcPr>
            <w:tcW w:w="1260" w:type="dxa"/>
            <w:vAlign w:val="bottom"/>
            <w:vMerge w:val="restart"/>
          </w:tcPr>
          <w:p>
            <w:pPr>
              <w:jc w:val="right"/>
              <w:ind w:right="10"/>
              <w:spacing w:after="0"/>
              <w:rPr>
                <w:sz w:val="20"/>
                <w:szCs w:val="20"/>
                <w:color w:val="auto"/>
              </w:rPr>
            </w:pPr>
            <w:r>
              <w:rPr>
                <w:rFonts w:ascii="Arial" w:cs="Arial" w:eastAsia="Arial" w:hAnsi="Arial"/>
                <w:sz w:val="18"/>
                <w:szCs w:val="18"/>
                <w:color w:val="auto"/>
              </w:rPr>
              <w:t>163,216</w:t>
            </w:r>
          </w:p>
        </w:tc>
        <w:tc>
          <w:tcPr>
            <w:tcW w:w="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22"/>
        </w:trPr>
        <w:tc>
          <w:tcPr>
            <w:tcW w:w="2460" w:type="dxa"/>
            <w:vAlign w:val="bottom"/>
          </w:tcPr>
          <w:p>
            <w:pPr>
              <w:ind w:left="160"/>
              <w:spacing w:after="0"/>
              <w:rPr>
                <w:sz w:val="20"/>
                <w:szCs w:val="20"/>
                <w:color w:val="auto"/>
              </w:rPr>
            </w:pPr>
            <w:r>
              <w:rPr>
                <w:rFonts w:ascii="Arial" w:cs="Arial" w:eastAsia="Arial" w:hAnsi="Arial"/>
                <w:sz w:val="18"/>
                <w:szCs w:val="18"/>
                <w:color w:val="auto"/>
              </w:rPr>
              <w:t>Adjustment</w:t>
            </w:r>
          </w:p>
        </w:tc>
        <w:tc>
          <w:tcPr>
            <w:tcW w:w="1280" w:type="dxa"/>
            <w:vAlign w:val="bottom"/>
            <w:tcBorders>
              <w:bottom w:val="single" w:sz="8" w:color="auto"/>
            </w:tcBorders>
            <w:vMerge w:val="continue"/>
          </w:tcPr>
          <w:p>
            <w:pPr>
              <w:spacing w:after="0"/>
              <w:rPr>
                <w:sz w:val="18"/>
                <w:szCs w:val="18"/>
                <w:color w:val="auto"/>
              </w:rPr>
            </w:pP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40" w:type="dxa"/>
            <w:vAlign w:val="bottom"/>
          </w:tcPr>
          <w:p>
            <w:pPr>
              <w:jc w:val="right"/>
              <w:ind w:right="30"/>
              <w:spacing w:after="0"/>
              <w:rPr>
                <w:sz w:val="20"/>
                <w:szCs w:val="20"/>
                <w:color w:val="auto"/>
              </w:rPr>
            </w:pPr>
            <w:r>
              <w:rPr>
                <w:rFonts w:ascii="Arial" w:cs="Arial" w:eastAsia="Arial" w:hAnsi="Arial"/>
                <w:sz w:val="18"/>
                <w:szCs w:val="18"/>
                <w:color w:val="auto"/>
              </w:rPr>
              <w:t>-</w:t>
            </w:r>
          </w:p>
        </w:tc>
        <w:tc>
          <w:tcPr>
            <w:tcW w:w="100" w:type="dxa"/>
            <w:vAlign w:val="bottom"/>
            <w:vMerge w:val="continue"/>
          </w:tcPr>
          <w:p>
            <w:pPr>
              <w:spacing w:after="0"/>
              <w:rPr>
                <w:sz w:val="18"/>
                <w:szCs w:val="18"/>
                <w:color w:val="auto"/>
              </w:rPr>
            </w:pPr>
          </w:p>
        </w:tc>
        <w:tc>
          <w:tcPr>
            <w:tcW w:w="1300" w:type="dxa"/>
            <w:vAlign w:val="bottom"/>
            <w:tcBorders>
              <w:bottom w:val="single" w:sz="8" w:color="auto"/>
            </w:tcBorders>
            <w:vMerge w:val="continue"/>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80" w:type="dxa"/>
            <w:vAlign w:val="bottom"/>
          </w:tcPr>
          <w:p>
            <w:pPr>
              <w:jc w:val="right"/>
              <w:ind w:right="10"/>
              <w:spacing w:after="0"/>
              <w:rPr>
                <w:sz w:val="20"/>
                <w:szCs w:val="20"/>
                <w:color w:val="auto"/>
              </w:rPr>
            </w:pPr>
            <w:r>
              <w:rPr>
                <w:rFonts w:ascii="Arial" w:cs="Arial" w:eastAsia="Arial" w:hAnsi="Arial"/>
                <w:sz w:val="18"/>
                <w:szCs w:val="18"/>
                <w:color w:val="auto"/>
              </w:rPr>
              <w:t>-</w:t>
            </w:r>
          </w:p>
        </w:tc>
        <w:tc>
          <w:tcPr>
            <w:tcW w:w="100" w:type="dxa"/>
            <w:vAlign w:val="bottom"/>
            <w:vMerge w:val="continue"/>
          </w:tcPr>
          <w:p>
            <w:pPr>
              <w:spacing w:after="0"/>
              <w:rPr>
                <w:sz w:val="18"/>
                <w:szCs w:val="18"/>
                <w:color w:val="auto"/>
              </w:rPr>
            </w:pPr>
          </w:p>
        </w:tc>
        <w:tc>
          <w:tcPr>
            <w:tcW w:w="1260" w:type="dxa"/>
            <w:vAlign w:val="bottom"/>
            <w:tcBorders>
              <w:bottom w:val="single" w:sz="8" w:color="auto"/>
            </w:tcBorders>
            <w:vMerge w:val="continue"/>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40" w:type="dxa"/>
            <w:vAlign w:val="bottom"/>
          </w:tcPr>
          <w:p>
            <w:pPr>
              <w:jc w:val="right"/>
              <w:ind w:right="10"/>
              <w:spacing w:after="0"/>
              <w:rPr>
                <w:sz w:val="20"/>
                <w:szCs w:val="20"/>
                <w:color w:val="auto"/>
              </w:rPr>
            </w:pPr>
            <w:r>
              <w:rPr>
                <w:rFonts w:ascii="Arial" w:cs="Arial" w:eastAsia="Arial" w:hAnsi="Arial"/>
                <w:sz w:val="18"/>
                <w:szCs w:val="18"/>
                <w:color w:val="auto"/>
              </w:rPr>
              <w:t>2.98</w:t>
            </w:r>
          </w:p>
        </w:tc>
        <w:tc>
          <w:tcPr>
            <w:tcW w:w="0" w:type="dxa"/>
            <w:vAlign w:val="bottom"/>
          </w:tcPr>
          <w:p>
            <w:pPr>
              <w:spacing w:after="0"/>
              <w:rPr>
                <w:sz w:val="1"/>
                <w:szCs w:val="1"/>
                <w:color w:val="auto"/>
              </w:rPr>
            </w:pPr>
          </w:p>
        </w:tc>
      </w:tr>
      <w:tr>
        <w:trPr>
          <w:trHeight w:val="249"/>
        </w:trPr>
        <w:tc>
          <w:tcPr>
            <w:tcW w:w="246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w w:val="98"/>
              </w:rPr>
              <w:t>Balance at December 31, 2021</w:t>
            </w:r>
          </w:p>
        </w:tc>
        <w:tc>
          <w:tcPr>
            <w:tcW w:w="128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1,404,816</w:t>
            </w:r>
          </w:p>
        </w:tc>
        <w:tc>
          <w:tcPr>
            <w:tcW w:w="280" w:type="dxa"/>
            <w:vAlign w:val="bottom"/>
            <w:tcBorders>
              <w:bottom w:val="single" w:sz="8" w:color="CCEEFF"/>
            </w:tcBorders>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w:t>
            </w:r>
          </w:p>
        </w:tc>
        <w:tc>
          <w:tcPr>
            <w:tcW w:w="11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3.10</w:t>
            </w:r>
          </w:p>
        </w:tc>
        <w:tc>
          <w:tcPr>
            <w:tcW w:w="10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rPr>
              <w:t>1,141,164</w:t>
            </w:r>
          </w:p>
        </w:tc>
        <w:tc>
          <w:tcPr>
            <w:tcW w:w="220" w:type="dxa"/>
            <w:vAlign w:val="bottom"/>
            <w:tcBorders>
              <w:bottom w:val="single" w:sz="8" w:color="CCEEFF"/>
            </w:tcBorders>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11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3.57</w:t>
            </w:r>
          </w:p>
        </w:tc>
        <w:tc>
          <w:tcPr>
            <w:tcW w:w="10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860,155</w:t>
            </w:r>
          </w:p>
        </w:tc>
        <w:tc>
          <w:tcPr>
            <w:tcW w:w="200" w:type="dxa"/>
            <w:vAlign w:val="bottom"/>
            <w:tcBorders>
              <w:bottom w:val="single" w:sz="8" w:color="CCEEFF"/>
            </w:tcBorders>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11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3.13</w:t>
            </w:r>
          </w:p>
        </w:tc>
        <w:tc>
          <w:tcPr>
            <w:tcW w:w="0" w:type="dxa"/>
            <w:vAlign w:val="bottom"/>
          </w:tcPr>
          <w:p>
            <w:pPr>
              <w:spacing w:after="0"/>
              <w:rPr>
                <w:sz w:val="1"/>
                <w:szCs w:val="1"/>
                <w:color w:val="auto"/>
              </w:rPr>
            </w:pPr>
          </w:p>
        </w:tc>
      </w:tr>
    </w:tbl>
    <w:p>
      <w:pPr>
        <w:spacing w:after="0" w:line="202" w:lineRule="exact"/>
        <w:rPr>
          <w:sz w:val="20"/>
          <w:szCs w:val="20"/>
          <w:color w:val="auto"/>
        </w:rPr>
      </w:pPr>
    </w:p>
    <w:p>
      <w:pPr>
        <w:ind w:left="660"/>
        <w:spacing w:after="0"/>
        <w:rPr>
          <w:sz w:val="20"/>
          <w:szCs w:val="20"/>
          <w:color w:val="auto"/>
        </w:rPr>
      </w:pPr>
      <w:r>
        <w:rPr>
          <w:rFonts w:ascii="Arial" w:cs="Arial" w:eastAsia="Arial" w:hAnsi="Arial"/>
          <w:sz w:val="18"/>
          <w:szCs w:val="18"/>
          <w:i w:val="1"/>
          <w:iCs w:val="1"/>
          <w:color w:val="auto"/>
        </w:rPr>
        <w:t>Earnings per share</w:t>
      </w:r>
    </w:p>
    <w:p>
      <w:pPr>
        <w:spacing w:after="0" w:line="225" w:lineRule="exact"/>
        <w:rPr>
          <w:sz w:val="20"/>
          <w:szCs w:val="20"/>
          <w:color w:val="auto"/>
        </w:rPr>
      </w:pPr>
    </w:p>
    <w:p>
      <w:pPr>
        <w:jc w:val="both"/>
        <w:ind w:right="80" w:firstLine="648"/>
        <w:spacing w:after="0" w:line="311" w:lineRule="auto"/>
        <w:rPr>
          <w:sz w:val="20"/>
          <w:szCs w:val="20"/>
          <w:color w:val="auto"/>
        </w:rPr>
      </w:pPr>
      <w:r>
        <w:rPr>
          <w:rFonts w:ascii="Arial" w:cs="Arial" w:eastAsia="Arial" w:hAnsi="Arial"/>
          <w:sz w:val="16"/>
          <w:szCs w:val="16"/>
          <w:color w:val="auto"/>
        </w:rPr>
        <w:t>Basic earnings per share is based upon net income divided by the number of weighted average common shares outstanding during the period. The calculation of diluted earnings per share assumes conversion of stock options, restricted stock units and Market Condition RSUs into common stock using the treasury method. The weighted average number of shares used to compute basic and diluted earnings per share consists of the following:</w:t>
      </w:r>
    </w:p>
    <w:p>
      <w:pPr>
        <w:spacing w:after="0" w:line="145" w:lineRule="exact"/>
        <w:rPr>
          <w:sz w:val="20"/>
          <w:szCs w:val="20"/>
          <w:color w:val="auto"/>
        </w:rPr>
      </w:pPr>
    </w:p>
    <w:tbl>
      <w:tblPr>
        <w:tblLayout w:type="fixed"/>
        <w:tblInd w:w="660" w:type="dxa"/>
        <w:tblCellMar>
          <w:top w:w="0" w:type="dxa"/>
          <w:left w:w="0" w:type="dxa"/>
          <w:bottom w:w="0" w:type="dxa"/>
          <w:right w:w="0" w:type="dxa"/>
        </w:tblCellMar>
      </w:tblPr>
      <w:tr>
        <w:trPr>
          <w:trHeight w:val="234"/>
        </w:trPr>
        <w:tc>
          <w:tcPr>
            <w:tcW w:w="7360" w:type="dxa"/>
            <w:vAlign w:val="bottom"/>
          </w:tcPr>
          <w:p>
            <w:pPr>
              <w:spacing w:after="0"/>
              <w:rPr>
                <w:sz w:val="20"/>
                <w:szCs w:val="20"/>
                <w:color w:val="auto"/>
              </w:rPr>
            </w:pPr>
          </w:p>
        </w:tc>
        <w:tc>
          <w:tcPr>
            <w:tcW w:w="3300" w:type="dxa"/>
            <w:vAlign w:val="bottom"/>
            <w:tcBorders>
              <w:bottom w:val="single" w:sz="8" w:color="auto"/>
            </w:tcBorders>
            <w:gridSpan w:val="3"/>
          </w:tcPr>
          <w:p>
            <w:pPr>
              <w:jc w:val="right"/>
              <w:ind w:right="610"/>
              <w:spacing w:after="0"/>
              <w:rPr>
                <w:sz w:val="20"/>
                <w:szCs w:val="20"/>
                <w:color w:val="auto"/>
              </w:rPr>
            </w:pPr>
            <w:r>
              <w:rPr>
                <w:rFonts w:ascii="Arial" w:cs="Arial" w:eastAsia="Arial" w:hAnsi="Arial"/>
                <w:sz w:val="18"/>
                <w:szCs w:val="18"/>
                <w:b w:val="1"/>
                <w:bCs w:val="1"/>
                <w:color w:val="auto"/>
              </w:rPr>
              <w:t>Year Ended December 31,</w:t>
            </w:r>
          </w:p>
        </w:tc>
      </w:tr>
      <w:tr>
        <w:trPr>
          <w:trHeight w:val="210"/>
        </w:trPr>
        <w:tc>
          <w:tcPr>
            <w:tcW w:w="7360" w:type="dxa"/>
            <w:vAlign w:val="bottom"/>
          </w:tcPr>
          <w:p>
            <w:pPr>
              <w:spacing w:after="0"/>
              <w:rPr>
                <w:sz w:val="20"/>
                <w:szCs w:val="20"/>
                <w:color w:val="auto"/>
              </w:rPr>
            </w:pPr>
            <w:r>
              <w:rPr>
                <w:rFonts w:ascii="Arial" w:cs="Arial" w:eastAsia="Arial" w:hAnsi="Arial"/>
                <w:sz w:val="18"/>
                <w:szCs w:val="18"/>
                <w:color w:val="auto"/>
              </w:rPr>
              <w:t>(in thousands)</w:t>
            </w:r>
          </w:p>
        </w:tc>
        <w:tc>
          <w:tcPr>
            <w:tcW w:w="1620" w:type="dxa"/>
            <w:vAlign w:val="bottom"/>
            <w:tcBorders>
              <w:bottom w:val="single" w:sz="8" w:color="auto"/>
            </w:tcBorders>
          </w:tcPr>
          <w:p>
            <w:pPr>
              <w:jc w:val="right"/>
              <w:ind w:right="590"/>
              <w:spacing w:after="0"/>
              <w:rPr>
                <w:sz w:val="20"/>
                <w:szCs w:val="20"/>
                <w:color w:val="auto"/>
              </w:rPr>
            </w:pPr>
            <w:r>
              <w:rPr>
                <w:rFonts w:ascii="Arial" w:cs="Arial" w:eastAsia="Arial" w:hAnsi="Arial"/>
                <w:sz w:val="18"/>
                <w:szCs w:val="18"/>
                <w:b w:val="1"/>
                <w:bCs w:val="1"/>
                <w:color w:val="auto"/>
              </w:rPr>
              <w:t>2021</w:t>
            </w:r>
          </w:p>
        </w:tc>
        <w:tc>
          <w:tcPr>
            <w:tcW w:w="100" w:type="dxa"/>
            <w:vAlign w:val="bottom"/>
          </w:tcPr>
          <w:p>
            <w:pPr>
              <w:spacing w:after="0"/>
              <w:rPr>
                <w:sz w:val="18"/>
                <w:szCs w:val="18"/>
                <w:color w:val="auto"/>
              </w:rPr>
            </w:pPr>
          </w:p>
        </w:tc>
        <w:tc>
          <w:tcPr>
            <w:tcW w:w="1580" w:type="dxa"/>
            <w:vAlign w:val="bottom"/>
            <w:tcBorders>
              <w:bottom w:val="single" w:sz="8" w:color="auto"/>
            </w:tcBorders>
          </w:tcPr>
          <w:p>
            <w:pPr>
              <w:jc w:val="right"/>
              <w:ind w:right="570"/>
              <w:spacing w:after="0"/>
              <w:rPr>
                <w:sz w:val="20"/>
                <w:szCs w:val="20"/>
                <w:color w:val="auto"/>
              </w:rPr>
            </w:pPr>
            <w:r>
              <w:rPr>
                <w:rFonts w:ascii="Arial" w:cs="Arial" w:eastAsia="Arial" w:hAnsi="Arial"/>
                <w:sz w:val="18"/>
                <w:szCs w:val="18"/>
                <w:b w:val="1"/>
                <w:bCs w:val="1"/>
                <w:color w:val="auto"/>
              </w:rPr>
              <w:t>2020</w:t>
            </w:r>
          </w:p>
        </w:tc>
      </w:tr>
      <w:tr>
        <w:trPr>
          <w:trHeight w:val="210"/>
        </w:trPr>
        <w:tc>
          <w:tcPr>
            <w:tcW w:w="7360" w:type="dxa"/>
            <w:vAlign w:val="bottom"/>
            <w:shd w:val="clear" w:color="auto" w:fill="CCEEFF"/>
          </w:tcPr>
          <w:p>
            <w:pPr>
              <w:spacing w:after="0"/>
              <w:rPr>
                <w:sz w:val="20"/>
                <w:szCs w:val="20"/>
                <w:color w:val="auto"/>
              </w:rPr>
            </w:pPr>
            <w:r>
              <w:rPr>
                <w:rFonts w:ascii="Arial" w:cs="Arial" w:eastAsia="Arial" w:hAnsi="Arial"/>
                <w:sz w:val="18"/>
                <w:szCs w:val="18"/>
                <w:color w:val="auto"/>
              </w:rPr>
              <w:t>Basic</w:t>
            </w:r>
          </w:p>
        </w:tc>
        <w:tc>
          <w:tcPr>
            <w:tcW w:w="162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40,343</w:t>
            </w:r>
          </w:p>
        </w:tc>
        <w:tc>
          <w:tcPr>
            <w:tcW w:w="1680" w:type="dxa"/>
            <w:vAlign w:val="bottom"/>
            <w:gridSpan w:val="2"/>
            <w:shd w:val="clear" w:color="auto" w:fill="CCEEFF"/>
          </w:tcPr>
          <w:p>
            <w:pPr>
              <w:jc w:val="right"/>
              <w:ind w:right="10"/>
              <w:spacing w:after="0"/>
              <w:rPr>
                <w:sz w:val="20"/>
                <w:szCs w:val="20"/>
                <w:color w:val="auto"/>
              </w:rPr>
            </w:pPr>
            <w:r>
              <w:rPr>
                <w:rFonts w:ascii="Arial" w:cs="Arial" w:eastAsia="Arial" w:hAnsi="Arial"/>
                <w:sz w:val="18"/>
                <w:szCs w:val="18"/>
                <w:color w:val="auto"/>
              </w:rPr>
              <w:t>38,640</w:t>
            </w:r>
          </w:p>
        </w:tc>
      </w:tr>
      <w:tr>
        <w:trPr>
          <w:trHeight w:val="216"/>
        </w:trPr>
        <w:tc>
          <w:tcPr>
            <w:tcW w:w="7360" w:type="dxa"/>
            <w:vAlign w:val="bottom"/>
          </w:tcPr>
          <w:p>
            <w:pPr>
              <w:spacing w:after="0"/>
              <w:rPr>
                <w:sz w:val="20"/>
                <w:szCs w:val="20"/>
                <w:color w:val="auto"/>
              </w:rPr>
            </w:pPr>
            <w:r>
              <w:rPr>
                <w:rFonts w:ascii="Arial" w:cs="Arial" w:eastAsia="Arial" w:hAnsi="Arial"/>
                <w:sz w:val="18"/>
                <w:szCs w:val="18"/>
                <w:color w:val="auto"/>
              </w:rPr>
              <w:t>Dilutive effect of equity awards</w:t>
            </w:r>
          </w:p>
        </w:tc>
        <w:tc>
          <w:tcPr>
            <w:tcW w:w="162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158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w:t>
            </w:r>
          </w:p>
        </w:tc>
      </w:tr>
      <w:tr>
        <w:trPr>
          <w:trHeight w:val="250"/>
        </w:trPr>
        <w:tc>
          <w:tcPr>
            <w:tcW w:w="736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Diluted</w:t>
            </w:r>
          </w:p>
        </w:tc>
        <w:tc>
          <w:tcPr>
            <w:tcW w:w="162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rPr>
              <w:t>40,343</w:t>
            </w:r>
          </w:p>
        </w:tc>
        <w:tc>
          <w:tcPr>
            <w:tcW w:w="100" w:type="dxa"/>
            <w:vAlign w:val="bottom"/>
            <w:tcBorders>
              <w:bottom w:val="single" w:sz="8" w:color="CCEEFF"/>
            </w:tcBorders>
            <w:shd w:val="clear" w:color="auto" w:fill="CCEEFF"/>
          </w:tcPr>
          <w:p>
            <w:pPr>
              <w:spacing w:after="0"/>
              <w:rPr>
                <w:sz w:val="21"/>
                <w:szCs w:val="21"/>
                <w:color w:val="auto"/>
              </w:rPr>
            </w:pPr>
          </w:p>
        </w:tc>
        <w:tc>
          <w:tcPr>
            <w:tcW w:w="158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38,640</w:t>
            </w:r>
          </w:p>
        </w:tc>
      </w:tr>
    </w:tbl>
    <w:p>
      <w:pPr>
        <w:spacing w:after="0" w:line="202" w:lineRule="exact"/>
        <w:rPr>
          <w:sz w:val="20"/>
          <w:szCs w:val="20"/>
          <w:color w:val="auto"/>
        </w:rPr>
      </w:pPr>
    </w:p>
    <w:p>
      <w:pPr>
        <w:jc w:val="both"/>
        <w:ind w:right="100" w:firstLine="648"/>
        <w:spacing w:after="0" w:line="263" w:lineRule="auto"/>
        <w:rPr>
          <w:sz w:val="20"/>
          <w:szCs w:val="20"/>
          <w:color w:val="auto"/>
        </w:rPr>
      </w:pPr>
      <w:r>
        <w:rPr>
          <w:rFonts w:ascii="Arial" w:cs="Arial" w:eastAsia="Arial" w:hAnsi="Arial"/>
          <w:sz w:val="18"/>
          <w:szCs w:val="18"/>
          <w:color w:val="auto"/>
        </w:rPr>
        <w:t>For the years ended December 30, 2021 and 2020, the Company excluded from the calculations of diluted earnings per share approximately 4.3 million shares and 5.0 million shares, respectively, of weighted average shares of underlying stock-based awards as the impact of including these potential shares would be anti-dilutive.</w:t>
      </w:r>
    </w:p>
    <w:p>
      <w:pPr>
        <w:spacing w:after="0" w:line="184" w:lineRule="exact"/>
        <w:rPr>
          <w:sz w:val="20"/>
          <w:szCs w:val="20"/>
          <w:color w:val="auto"/>
        </w:rPr>
      </w:pPr>
    </w:p>
    <w:p>
      <w:pPr>
        <w:ind w:left="660"/>
        <w:spacing w:after="0"/>
        <w:rPr>
          <w:sz w:val="20"/>
          <w:szCs w:val="20"/>
          <w:color w:val="auto"/>
        </w:rPr>
      </w:pPr>
      <w:r>
        <w:rPr>
          <w:rFonts w:ascii="Arial" w:cs="Arial" w:eastAsia="Arial" w:hAnsi="Arial"/>
          <w:sz w:val="17"/>
          <w:szCs w:val="17"/>
          <w:color w:val="auto"/>
        </w:rPr>
        <w:t>The following table summarizes outstanding and exercisable options as of December 31, 2021 (Aggregate Intrinsic Value, in thousands):</w:t>
      </w:r>
    </w:p>
    <w:p>
      <w:pPr>
        <w:spacing w:after="0" w:line="233" w:lineRule="exact"/>
        <w:rPr>
          <w:sz w:val="20"/>
          <w:szCs w:val="20"/>
          <w:color w:val="auto"/>
        </w:rPr>
      </w:pPr>
    </w:p>
    <w:tbl>
      <w:tblPr>
        <w:tblLayout w:type="fixed"/>
        <w:tblInd w:w="660" w:type="dxa"/>
        <w:tblCellMar>
          <w:top w:w="0" w:type="dxa"/>
          <w:left w:w="0" w:type="dxa"/>
          <w:bottom w:w="0" w:type="dxa"/>
          <w:right w:w="0" w:type="dxa"/>
        </w:tblCellMar>
      </w:tblPr>
      <w:tr>
        <w:trPr>
          <w:trHeight w:val="234"/>
        </w:trPr>
        <w:tc>
          <w:tcPr>
            <w:tcW w:w="120" w:type="dxa"/>
            <w:vAlign w:val="bottom"/>
          </w:tcPr>
          <w:p>
            <w:pPr>
              <w:spacing w:after="0"/>
              <w:rPr>
                <w:sz w:val="20"/>
                <w:szCs w:val="20"/>
                <w:color w:val="auto"/>
              </w:rPr>
            </w:pPr>
          </w:p>
        </w:tc>
        <w:tc>
          <w:tcPr>
            <w:tcW w:w="1060" w:type="dxa"/>
            <w:vAlign w:val="bottom"/>
          </w:tcPr>
          <w:p>
            <w:pPr>
              <w:spacing w:after="0"/>
              <w:rPr>
                <w:sz w:val="20"/>
                <w:szCs w:val="20"/>
                <w:color w:val="auto"/>
              </w:rPr>
            </w:pPr>
          </w:p>
        </w:tc>
        <w:tc>
          <w:tcPr>
            <w:tcW w:w="1100" w:type="dxa"/>
            <w:vAlign w:val="bottom"/>
            <w:tcBorders>
              <w:bottom w:val="single" w:sz="8" w:color="auto"/>
            </w:tcBorders>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2240" w:type="dxa"/>
            <w:vAlign w:val="bottom"/>
            <w:tcBorders>
              <w:bottom w:val="single" w:sz="8" w:color="auto"/>
            </w:tcBorders>
            <w:gridSpan w:val="4"/>
          </w:tcPr>
          <w:p>
            <w:pPr>
              <w:jc w:val="right"/>
              <w:ind w:right="270"/>
              <w:spacing w:after="0"/>
              <w:rPr>
                <w:sz w:val="20"/>
                <w:szCs w:val="20"/>
                <w:color w:val="auto"/>
              </w:rPr>
            </w:pPr>
            <w:r>
              <w:rPr>
                <w:rFonts w:ascii="Arial" w:cs="Arial" w:eastAsia="Arial" w:hAnsi="Arial"/>
                <w:sz w:val="18"/>
                <w:szCs w:val="18"/>
                <w:b w:val="1"/>
                <w:bCs w:val="1"/>
                <w:color w:val="auto"/>
              </w:rPr>
              <w:t>Options Outstanding</w:t>
            </w:r>
          </w:p>
        </w:tc>
        <w:tc>
          <w:tcPr>
            <w:tcW w:w="100" w:type="dxa"/>
            <w:vAlign w:val="bottom"/>
            <w:tcBorders>
              <w:bottom w:val="single" w:sz="8" w:color="auto"/>
            </w:tcBorders>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1000" w:type="dxa"/>
            <w:vAlign w:val="bottom"/>
            <w:tcBorders>
              <w:bottom w:val="single" w:sz="8" w:color="auto"/>
            </w:tcBorders>
          </w:tcPr>
          <w:p>
            <w:pPr>
              <w:spacing w:after="0"/>
              <w:rPr>
                <w:sz w:val="20"/>
                <w:szCs w:val="20"/>
                <w:color w:val="auto"/>
              </w:rPr>
            </w:pPr>
          </w:p>
        </w:tc>
        <w:tc>
          <w:tcPr>
            <w:tcW w:w="80" w:type="dxa"/>
            <w:vAlign w:val="bottom"/>
          </w:tcPr>
          <w:p>
            <w:pPr>
              <w:spacing w:after="0"/>
              <w:rPr>
                <w:sz w:val="20"/>
                <w:szCs w:val="20"/>
                <w:color w:val="auto"/>
              </w:rPr>
            </w:pPr>
          </w:p>
        </w:tc>
        <w:tc>
          <w:tcPr>
            <w:tcW w:w="1100" w:type="dxa"/>
            <w:vAlign w:val="bottom"/>
            <w:tcBorders>
              <w:bottom w:val="single" w:sz="8" w:color="auto"/>
            </w:tcBorders>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2300" w:type="dxa"/>
            <w:vAlign w:val="bottom"/>
            <w:tcBorders>
              <w:bottom w:val="single" w:sz="8" w:color="auto"/>
            </w:tcBorders>
            <w:gridSpan w:val="4"/>
          </w:tcPr>
          <w:p>
            <w:pPr>
              <w:jc w:val="right"/>
              <w:ind w:right="310"/>
              <w:spacing w:after="0"/>
              <w:rPr>
                <w:sz w:val="20"/>
                <w:szCs w:val="20"/>
                <w:color w:val="auto"/>
              </w:rPr>
            </w:pPr>
            <w:r>
              <w:rPr>
                <w:rFonts w:ascii="Arial" w:cs="Arial" w:eastAsia="Arial" w:hAnsi="Arial"/>
                <w:sz w:val="18"/>
                <w:szCs w:val="18"/>
                <w:b w:val="1"/>
                <w:bCs w:val="1"/>
                <w:color w:val="auto"/>
              </w:rPr>
              <w:t>Options Exercisable</w:t>
            </w:r>
          </w:p>
        </w:tc>
        <w:tc>
          <w:tcPr>
            <w:tcW w:w="100" w:type="dxa"/>
            <w:vAlign w:val="bottom"/>
            <w:tcBorders>
              <w:bottom w:val="single" w:sz="8" w:color="auto"/>
            </w:tcBorders>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1040" w:type="dxa"/>
            <w:vAlign w:val="bottom"/>
            <w:tcBorders>
              <w:bottom w:val="single" w:sz="8" w:color="auto"/>
            </w:tcBorders>
          </w:tcPr>
          <w:p>
            <w:pPr>
              <w:spacing w:after="0"/>
              <w:rPr>
                <w:sz w:val="20"/>
                <w:szCs w:val="20"/>
                <w:color w:val="auto"/>
              </w:rPr>
            </w:pPr>
          </w:p>
        </w:tc>
      </w:tr>
      <w:tr>
        <w:trPr>
          <w:trHeight w:val="191"/>
        </w:trPr>
        <w:tc>
          <w:tcPr>
            <w:tcW w:w="120" w:type="dxa"/>
            <w:vAlign w:val="bottom"/>
          </w:tcPr>
          <w:p>
            <w:pPr>
              <w:spacing w:after="0"/>
              <w:rPr>
                <w:sz w:val="16"/>
                <w:szCs w:val="16"/>
                <w:color w:val="auto"/>
              </w:rPr>
            </w:pPr>
          </w:p>
        </w:tc>
        <w:tc>
          <w:tcPr>
            <w:tcW w:w="1060" w:type="dxa"/>
            <w:vAlign w:val="bottom"/>
          </w:tcPr>
          <w:p>
            <w:pPr>
              <w:spacing w:after="0"/>
              <w:rPr>
                <w:sz w:val="16"/>
                <w:szCs w:val="16"/>
                <w:color w:val="auto"/>
              </w:rPr>
            </w:pPr>
          </w:p>
        </w:tc>
        <w:tc>
          <w:tcPr>
            <w:tcW w:w="1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80" w:type="dxa"/>
            <w:vAlign w:val="bottom"/>
          </w:tcPr>
          <w:p>
            <w:pPr>
              <w:jc w:val="center"/>
              <w:ind w:right="30"/>
              <w:spacing w:after="0" w:line="191" w:lineRule="exact"/>
              <w:rPr>
                <w:sz w:val="20"/>
                <w:szCs w:val="20"/>
                <w:color w:val="auto"/>
              </w:rPr>
            </w:pPr>
            <w:r>
              <w:rPr>
                <w:rFonts w:ascii="Arial" w:cs="Arial" w:eastAsia="Arial" w:hAnsi="Arial"/>
                <w:sz w:val="18"/>
                <w:szCs w:val="18"/>
                <w:b w:val="1"/>
                <w:bCs w:val="1"/>
                <w:color w:val="auto"/>
                <w:w w:val="88"/>
              </w:rPr>
              <w:t>Weighted</w:t>
            </w:r>
          </w:p>
        </w:tc>
        <w:tc>
          <w:tcPr>
            <w:tcW w:w="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100" w:type="dxa"/>
            <w:vAlign w:val="bottom"/>
          </w:tcPr>
          <w:p>
            <w:pPr>
              <w:jc w:val="center"/>
              <w:ind w:right="10"/>
              <w:spacing w:after="0" w:line="191" w:lineRule="exact"/>
              <w:rPr>
                <w:sz w:val="20"/>
                <w:szCs w:val="20"/>
                <w:color w:val="auto"/>
              </w:rPr>
            </w:pPr>
            <w:r>
              <w:rPr>
                <w:rFonts w:ascii="Arial" w:cs="Arial" w:eastAsia="Arial" w:hAnsi="Arial"/>
                <w:sz w:val="18"/>
                <w:szCs w:val="18"/>
                <w:b w:val="1"/>
                <w:bCs w:val="1"/>
                <w:color w:val="auto"/>
                <w:w w:val="88"/>
              </w:rPr>
              <w:t>Weighted</w:t>
            </w:r>
          </w:p>
        </w:tc>
        <w:tc>
          <w:tcPr>
            <w:tcW w:w="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40" w:type="dxa"/>
            <w:vAlign w:val="bottom"/>
          </w:tcPr>
          <w:p>
            <w:pPr>
              <w:spacing w:after="0"/>
              <w:rPr>
                <w:sz w:val="16"/>
                <w:szCs w:val="16"/>
                <w:color w:val="auto"/>
              </w:rPr>
            </w:pPr>
          </w:p>
        </w:tc>
      </w:tr>
      <w:tr>
        <w:trPr>
          <w:trHeight w:val="216"/>
        </w:trPr>
        <w:tc>
          <w:tcPr>
            <w:tcW w:w="12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80" w:type="dxa"/>
            <w:vAlign w:val="bottom"/>
          </w:tcPr>
          <w:p>
            <w:pPr>
              <w:jc w:val="center"/>
              <w:ind w:right="10"/>
              <w:spacing w:after="0"/>
              <w:rPr>
                <w:sz w:val="20"/>
                <w:szCs w:val="20"/>
                <w:color w:val="auto"/>
              </w:rPr>
            </w:pPr>
            <w:r>
              <w:rPr>
                <w:rFonts w:ascii="Arial" w:cs="Arial" w:eastAsia="Arial" w:hAnsi="Arial"/>
                <w:sz w:val="18"/>
                <w:szCs w:val="18"/>
                <w:b w:val="1"/>
                <w:bCs w:val="1"/>
                <w:color w:val="auto"/>
                <w:w w:val="87"/>
              </w:rPr>
              <w:t>Average</w:t>
            </w: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60" w:type="dxa"/>
            <w:vAlign w:val="bottom"/>
          </w:tcPr>
          <w:p>
            <w:pPr>
              <w:jc w:val="center"/>
              <w:ind w:right="110"/>
              <w:spacing w:after="0"/>
              <w:rPr>
                <w:sz w:val="20"/>
                <w:szCs w:val="20"/>
                <w:color w:val="auto"/>
              </w:rPr>
            </w:pPr>
            <w:r>
              <w:rPr>
                <w:rFonts w:ascii="Arial" w:cs="Arial" w:eastAsia="Arial" w:hAnsi="Arial"/>
                <w:sz w:val="18"/>
                <w:szCs w:val="18"/>
                <w:b w:val="1"/>
                <w:bCs w:val="1"/>
                <w:color w:val="auto"/>
                <w:w w:val="88"/>
              </w:rPr>
              <w:t>Weighted</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00" w:type="dxa"/>
            <w:vAlign w:val="bottom"/>
          </w:tcPr>
          <w:p>
            <w:pPr>
              <w:jc w:val="center"/>
              <w:ind w:right="30"/>
              <w:spacing w:after="0"/>
              <w:rPr>
                <w:sz w:val="20"/>
                <w:szCs w:val="20"/>
                <w:color w:val="auto"/>
              </w:rPr>
            </w:pPr>
            <w:r>
              <w:rPr>
                <w:rFonts w:ascii="Arial" w:cs="Arial" w:eastAsia="Arial" w:hAnsi="Arial"/>
                <w:sz w:val="18"/>
                <w:szCs w:val="18"/>
                <w:b w:val="1"/>
                <w:bCs w:val="1"/>
                <w:color w:val="auto"/>
                <w:w w:val="87"/>
              </w:rPr>
              <w:t>Average</w:t>
            </w: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0" w:type="dxa"/>
            <w:vAlign w:val="bottom"/>
          </w:tcPr>
          <w:p>
            <w:pPr>
              <w:jc w:val="center"/>
              <w:ind w:right="110"/>
              <w:spacing w:after="0"/>
              <w:rPr>
                <w:sz w:val="20"/>
                <w:szCs w:val="20"/>
                <w:color w:val="auto"/>
              </w:rPr>
            </w:pPr>
            <w:r>
              <w:rPr>
                <w:rFonts w:ascii="Arial" w:cs="Arial" w:eastAsia="Arial" w:hAnsi="Arial"/>
                <w:sz w:val="18"/>
                <w:szCs w:val="18"/>
                <w:b w:val="1"/>
                <w:bCs w:val="1"/>
                <w:color w:val="auto"/>
                <w:w w:val="88"/>
              </w:rPr>
              <w:t>Weighted</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40" w:type="dxa"/>
            <w:vAlign w:val="bottom"/>
          </w:tcPr>
          <w:p>
            <w:pPr>
              <w:spacing w:after="0"/>
              <w:rPr>
                <w:sz w:val="18"/>
                <w:szCs w:val="18"/>
                <w:color w:val="auto"/>
              </w:rPr>
            </w:pPr>
          </w:p>
        </w:tc>
      </w:tr>
      <w:tr>
        <w:trPr>
          <w:trHeight w:val="216"/>
        </w:trPr>
        <w:tc>
          <w:tcPr>
            <w:tcW w:w="120" w:type="dxa"/>
            <w:vAlign w:val="bottom"/>
          </w:tcPr>
          <w:p>
            <w:pPr>
              <w:spacing w:after="0"/>
              <w:rPr>
                <w:sz w:val="18"/>
                <w:szCs w:val="18"/>
                <w:color w:val="auto"/>
              </w:rPr>
            </w:pPr>
          </w:p>
        </w:tc>
        <w:tc>
          <w:tcPr>
            <w:tcW w:w="1060" w:type="dxa"/>
            <w:vAlign w:val="bottom"/>
          </w:tcPr>
          <w:p>
            <w:pPr>
              <w:jc w:val="center"/>
              <w:ind w:right="230"/>
              <w:spacing w:after="0"/>
              <w:rPr>
                <w:sz w:val="20"/>
                <w:szCs w:val="20"/>
                <w:color w:val="auto"/>
              </w:rPr>
            </w:pPr>
            <w:r>
              <w:rPr>
                <w:rFonts w:ascii="Arial" w:cs="Arial" w:eastAsia="Arial" w:hAnsi="Arial"/>
                <w:sz w:val="18"/>
                <w:szCs w:val="18"/>
                <w:b w:val="1"/>
                <w:bCs w:val="1"/>
                <w:color w:val="auto"/>
                <w:w w:val="90"/>
              </w:rPr>
              <w:t>Range of</w:t>
            </w:r>
          </w:p>
        </w:tc>
        <w:tc>
          <w:tcPr>
            <w:tcW w:w="1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80" w:type="dxa"/>
            <w:vAlign w:val="bottom"/>
          </w:tcPr>
          <w:p>
            <w:pPr>
              <w:jc w:val="center"/>
              <w:ind w:right="30"/>
              <w:spacing w:after="0"/>
              <w:rPr>
                <w:sz w:val="20"/>
                <w:szCs w:val="20"/>
                <w:color w:val="auto"/>
              </w:rPr>
            </w:pPr>
            <w:r>
              <w:rPr>
                <w:rFonts w:ascii="Arial" w:cs="Arial" w:eastAsia="Arial" w:hAnsi="Arial"/>
                <w:sz w:val="18"/>
                <w:szCs w:val="18"/>
                <w:b w:val="1"/>
                <w:bCs w:val="1"/>
                <w:color w:val="auto"/>
                <w:w w:val="91"/>
              </w:rPr>
              <w:t>Remaining</w:t>
            </w: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60" w:type="dxa"/>
            <w:vAlign w:val="bottom"/>
          </w:tcPr>
          <w:p>
            <w:pPr>
              <w:jc w:val="center"/>
              <w:ind w:right="110"/>
              <w:spacing w:after="0"/>
              <w:rPr>
                <w:sz w:val="20"/>
                <w:szCs w:val="20"/>
                <w:color w:val="auto"/>
              </w:rPr>
            </w:pPr>
            <w:r>
              <w:rPr>
                <w:rFonts w:ascii="Arial" w:cs="Arial" w:eastAsia="Arial" w:hAnsi="Arial"/>
                <w:sz w:val="18"/>
                <w:szCs w:val="18"/>
                <w:b w:val="1"/>
                <w:bCs w:val="1"/>
                <w:color w:val="auto"/>
                <w:w w:val="90"/>
              </w:rPr>
              <w:t>Average</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0" w:type="dxa"/>
            <w:vAlign w:val="bottom"/>
          </w:tcPr>
          <w:p>
            <w:pPr>
              <w:jc w:val="center"/>
              <w:ind w:right="110"/>
              <w:spacing w:after="0"/>
              <w:rPr>
                <w:sz w:val="20"/>
                <w:szCs w:val="20"/>
                <w:color w:val="auto"/>
              </w:rPr>
            </w:pPr>
            <w:r>
              <w:rPr>
                <w:rFonts w:ascii="Arial" w:cs="Arial" w:eastAsia="Arial" w:hAnsi="Arial"/>
                <w:sz w:val="18"/>
                <w:szCs w:val="18"/>
                <w:b w:val="1"/>
                <w:bCs w:val="1"/>
                <w:color w:val="auto"/>
                <w:w w:val="89"/>
              </w:rPr>
              <w:t>Aggregate</w:t>
            </w:r>
          </w:p>
        </w:tc>
        <w:tc>
          <w:tcPr>
            <w:tcW w:w="8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00" w:type="dxa"/>
            <w:vAlign w:val="bottom"/>
          </w:tcPr>
          <w:p>
            <w:pPr>
              <w:jc w:val="center"/>
              <w:ind w:right="10"/>
              <w:spacing w:after="0"/>
              <w:rPr>
                <w:sz w:val="20"/>
                <w:szCs w:val="20"/>
                <w:color w:val="auto"/>
              </w:rPr>
            </w:pPr>
            <w:r>
              <w:rPr>
                <w:rFonts w:ascii="Arial" w:cs="Arial" w:eastAsia="Arial" w:hAnsi="Arial"/>
                <w:sz w:val="18"/>
                <w:szCs w:val="18"/>
                <w:b w:val="1"/>
                <w:bCs w:val="1"/>
                <w:color w:val="auto"/>
                <w:w w:val="91"/>
              </w:rPr>
              <w:t>Remaining</w:t>
            </w: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0" w:type="dxa"/>
            <w:vAlign w:val="bottom"/>
          </w:tcPr>
          <w:p>
            <w:pPr>
              <w:jc w:val="center"/>
              <w:ind w:right="110"/>
              <w:spacing w:after="0"/>
              <w:rPr>
                <w:sz w:val="20"/>
                <w:szCs w:val="20"/>
                <w:color w:val="auto"/>
              </w:rPr>
            </w:pPr>
            <w:r>
              <w:rPr>
                <w:rFonts w:ascii="Arial" w:cs="Arial" w:eastAsia="Arial" w:hAnsi="Arial"/>
                <w:sz w:val="18"/>
                <w:szCs w:val="18"/>
                <w:b w:val="1"/>
                <w:bCs w:val="1"/>
                <w:color w:val="auto"/>
                <w:w w:val="90"/>
              </w:rPr>
              <w:t>Average</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40" w:type="dxa"/>
            <w:vAlign w:val="bottom"/>
          </w:tcPr>
          <w:p>
            <w:pPr>
              <w:jc w:val="center"/>
              <w:ind w:right="130"/>
              <w:spacing w:after="0"/>
              <w:rPr>
                <w:sz w:val="20"/>
                <w:szCs w:val="20"/>
                <w:color w:val="auto"/>
              </w:rPr>
            </w:pPr>
            <w:r>
              <w:rPr>
                <w:rFonts w:ascii="Arial" w:cs="Arial" w:eastAsia="Arial" w:hAnsi="Arial"/>
                <w:sz w:val="18"/>
                <w:szCs w:val="18"/>
                <w:b w:val="1"/>
                <w:bCs w:val="1"/>
                <w:color w:val="auto"/>
                <w:w w:val="87"/>
              </w:rPr>
              <w:t>Aggregate</w:t>
            </w:r>
          </w:p>
        </w:tc>
      </w:tr>
      <w:tr>
        <w:trPr>
          <w:trHeight w:val="216"/>
        </w:trPr>
        <w:tc>
          <w:tcPr>
            <w:tcW w:w="12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80" w:type="dxa"/>
            <w:vAlign w:val="bottom"/>
          </w:tcPr>
          <w:p>
            <w:pPr>
              <w:jc w:val="center"/>
              <w:ind w:right="30"/>
              <w:spacing w:after="0"/>
              <w:rPr>
                <w:sz w:val="20"/>
                <w:szCs w:val="20"/>
                <w:color w:val="auto"/>
              </w:rPr>
            </w:pPr>
            <w:r>
              <w:rPr>
                <w:rFonts w:ascii="Arial" w:cs="Arial" w:eastAsia="Arial" w:hAnsi="Arial"/>
                <w:sz w:val="18"/>
                <w:szCs w:val="18"/>
                <w:b w:val="1"/>
                <w:bCs w:val="1"/>
                <w:color w:val="auto"/>
                <w:w w:val="91"/>
              </w:rPr>
              <w:t>Contractual</w:t>
            </w: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00" w:type="dxa"/>
            <w:vAlign w:val="bottom"/>
          </w:tcPr>
          <w:p>
            <w:pPr>
              <w:jc w:val="center"/>
              <w:ind w:right="10"/>
              <w:spacing w:after="0"/>
              <w:rPr>
                <w:sz w:val="20"/>
                <w:szCs w:val="20"/>
                <w:color w:val="auto"/>
              </w:rPr>
            </w:pPr>
            <w:r>
              <w:rPr>
                <w:rFonts w:ascii="Arial" w:cs="Arial" w:eastAsia="Arial" w:hAnsi="Arial"/>
                <w:sz w:val="18"/>
                <w:szCs w:val="18"/>
                <w:b w:val="1"/>
                <w:bCs w:val="1"/>
                <w:color w:val="auto"/>
                <w:w w:val="91"/>
              </w:rPr>
              <w:t>Contractual</w:t>
            </w: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40" w:type="dxa"/>
            <w:vAlign w:val="bottom"/>
          </w:tcPr>
          <w:p>
            <w:pPr>
              <w:spacing w:after="0"/>
              <w:rPr>
                <w:sz w:val="18"/>
                <w:szCs w:val="18"/>
                <w:color w:val="auto"/>
              </w:rPr>
            </w:pPr>
          </w:p>
        </w:tc>
      </w:tr>
      <w:tr>
        <w:trPr>
          <w:trHeight w:val="216"/>
        </w:trPr>
        <w:tc>
          <w:tcPr>
            <w:tcW w:w="120" w:type="dxa"/>
            <w:vAlign w:val="bottom"/>
          </w:tcPr>
          <w:p>
            <w:pPr>
              <w:spacing w:after="0"/>
              <w:rPr>
                <w:sz w:val="18"/>
                <w:szCs w:val="18"/>
                <w:color w:val="auto"/>
              </w:rPr>
            </w:pPr>
          </w:p>
        </w:tc>
        <w:tc>
          <w:tcPr>
            <w:tcW w:w="1060" w:type="dxa"/>
            <w:vAlign w:val="bottom"/>
          </w:tcPr>
          <w:p>
            <w:pPr>
              <w:jc w:val="center"/>
              <w:ind w:right="230"/>
              <w:spacing w:after="0"/>
              <w:rPr>
                <w:sz w:val="20"/>
                <w:szCs w:val="20"/>
                <w:color w:val="auto"/>
              </w:rPr>
            </w:pPr>
            <w:r>
              <w:rPr>
                <w:rFonts w:ascii="Arial" w:cs="Arial" w:eastAsia="Arial" w:hAnsi="Arial"/>
                <w:sz w:val="18"/>
                <w:szCs w:val="18"/>
                <w:b w:val="1"/>
                <w:bCs w:val="1"/>
                <w:color w:val="auto"/>
                <w:w w:val="89"/>
              </w:rPr>
              <w:t>Exercise</w:t>
            </w:r>
          </w:p>
        </w:tc>
        <w:tc>
          <w:tcPr>
            <w:tcW w:w="1100" w:type="dxa"/>
            <w:vAlign w:val="bottom"/>
          </w:tcPr>
          <w:p>
            <w:pPr>
              <w:jc w:val="right"/>
              <w:ind w:right="190"/>
              <w:spacing w:after="0"/>
              <w:rPr>
                <w:sz w:val="20"/>
                <w:szCs w:val="20"/>
                <w:color w:val="auto"/>
              </w:rPr>
            </w:pPr>
            <w:r>
              <w:rPr>
                <w:rFonts w:ascii="Arial" w:cs="Arial" w:eastAsia="Arial" w:hAnsi="Arial"/>
                <w:sz w:val="18"/>
                <w:szCs w:val="18"/>
                <w:b w:val="1"/>
                <w:bCs w:val="1"/>
                <w:color w:val="auto"/>
              </w:rPr>
              <w:t>Number</w:t>
            </w:r>
          </w:p>
        </w:tc>
        <w:tc>
          <w:tcPr>
            <w:tcW w:w="100" w:type="dxa"/>
            <w:vAlign w:val="bottom"/>
          </w:tcPr>
          <w:p>
            <w:pPr>
              <w:spacing w:after="0"/>
              <w:rPr>
                <w:sz w:val="18"/>
                <w:szCs w:val="18"/>
                <w:color w:val="auto"/>
              </w:rPr>
            </w:pPr>
          </w:p>
        </w:tc>
        <w:tc>
          <w:tcPr>
            <w:tcW w:w="1080" w:type="dxa"/>
            <w:vAlign w:val="bottom"/>
          </w:tcPr>
          <w:p>
            <w:pPr>
              <w:jc w:val="center"/>
              <w:ind w:right="10"/>
              <w:spacing w:after="0"/>
              <w:rPr>
                <w:sz w:val="20"/>
                <w:szCs w:val="20"/>
                <w:color w:val="auto"/>
              </w:rPr>
            </w:pPr>
            <w:r>
              <w:rPr>
                <w:rFonts w:ascii="Arial" w:cs="Arial" w:eastAsia="Arial" w:hAnsi="Arial"/>
                <w:sz w:val="18"/>
                <w:szCs w:val="18"/>
                <w:b w:val="1"/>
                <w:bCs w:val="1"/>
                <w:color w:val="auto"/>
                <w:w w:val="93"/>
              </w:rPr>
              <w:t>Life</w:t>
            </w: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60" w:type="dxa"/>
            <w:vAlign w:val="bottom"/>
          </w:tcPr>
          <w:p>
            <w:pPr>
              <w:jc w:val="center"/>
              <w:ind w:right="110"/>
              <w:spacing w:after="0"/>
              <w:rPr>
                <w:sz w:val="20"/>
                <w:szCs w:val="20"/>
                <w:color w:val="auto"/>
              </w:rPr>
            </w:pPr>
            <w:r>
              <w:rPr>
                <w:rFonts w:ascii="Arial" w:cs="Arial" w:eastAsia="Arial" w:hAnsi="Arial"/>
                <w:sz w:val="18"/>
                <w:szCs w:val="18"/>
                <w:b w:val="1"/>
                <w:bCs w:val="1"/>
                <w:color w:val="auto"/>
                <w:w w:val="86"/>
              </w:rPr>
              <w:t>Exercise</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0" w:type="dxa"/>
            <w:vAlign w:val="bottom"/>
          </w:tcPr>
          <w:p>
            <w:pPr>
              <w:jc w:val="center"/>
              <w:ind w:right="90"/>
              <w:spacing w:after="0"/>
              <w:rPr>
                <w:sz w:val="20"/>
                <w:szCs w:val="20"/>
                <w:color w:val="auto"/>
              </w:rPr>
            </w:pPr>
            <w:r>
              <w:rPr>
                <w:rFonts w:ascii="Arial" w:cs="Arial" w:eastAsia="Arial" w:hAnsi="Arial"/>
                <w:sz w:val="18"/>
                <w:szCs w:val="18"/>
                <w:b w:val="1"/>
                <w:bCs w:val="1"/>
                <w:color w:val="auto"/>
                <w:w w:val="94"/>
              </w:rPr>
              <w:t>Intrinsic</w:t>
            </w:r>
          </w:p>
        </w:tc>
        <w:tc>
          <w:tcPr>
            <w:tcW w:w="80" w:type="dxa"/>
            <w:vAlign w:val="bottom"/>
          </w:tcPr>
          <w:p>
            <w:pPr>
              <w:spacing w:after="0"/>
              <w:rPr>
                <w:sz w:val="18"/>
                <w:szCs w:val="18"/>
                <w:color w:val="auto"/>
              </w:rPr>
            </w:pPr>
          </w:p>
        </w:tc>
        <w:tc>
          <w:tcPr>
            <w:tcW w:w="1100" w:type="dxa"/>
            <w:vAlign w:val="bottom"/>
          </w:tcPr>
          <w:p>
            <w:pPr>
              <w:jc w:val="right"/>
              <w:ind w:right="250"/>
              <w:spacing w:after="0"/>
              <w:rPr>
                <w:sz w:val="20"/>
                <w:szCs w:val="20"/>
                <w:color w:val="auto"/>
              </w:rPr>
            </w:pPr>
            <w:r>
              <w:rPr>
                <w:rFonts w:ascii="Arial" w:cs="Arial" w:eastAsia="Arial" w:hAnsi="Arial"/>
                <w:sz w:val="18"/>
                <w:szCs w:val="18"/>
                <w:b w:val="1"/>
                <w:bCs w:val="1"/>
                <w:color w:val="auto"/>
              </w:rPr>
              <w:t>Shares</w:t>
            </w:r>
          </w:p>
        </w:tc>
        <w:tc>
          <w:tcPr>
            <w:tcW w:w="100" w:type="dxa"/>
            <w:vAlign w:val="bottom"/>
          </w:tcPr>
          <w:p>
            <w:pPr>
              <w:spacing w:after="0"/>
              <w:rPr>
                <w:sz w:val="18"/>
                <w:szCs w:val="18"/>
                <w:color w:val="auto"/>
              </w:rPr>
            </w:pPr>
          </w:p>
        </w:tc>
        <w:tc>
          <w:tcPr>
            <w:tcW w:w="1100" w:type="dxa"/>
            <w:vAlign w:val="bottom"/>
          </w:tcPr>
          <w:p>
            <w:pPr>
              <w:jc w:val="center"/>
              <w:ind w:right="10"/>
              <w:spacing w:after="0"/>
              <w:rPr>
                <w:sz w:val="20"/>
                <w:szCs w:val="20"/>
                <w:color w:val="auto"/>
              </w:rPr>
            </w:pPr>
            <w:r>
              <w:rPr>
                <w:rFonts w:ascii="Arial" w:cs="Arial" w:eastAsia="Arial" w:hAnsi="Arial"/>
                <w:sz w:val="18"/>
                <w:szCs w:val="18"/>
                <w:b w:val="1"/>
                <w:bCs w:val="1"/>
                <w:color w:val="auto"/>
                <w:w w:val="99"/>
              </w:rPr>
              <w:t>Life</w:t>
            </w: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0" w:type="dxa"/>
            <w:vAlign w:val="bottom"/>
          </w:tcPr>
          <w:p>
            <w:pPr>
              <w:jc w:val="center"/>
              <w:ind w:right="110"/>
              <w:spacing w:after="0"/>
              <w:rPr>
                <w:sz w:val="20"/>
                <w:szCs w:val="20"/>
                <w:color w:val="auto"/>
              </w:rPr>
            </w:pPr>
            <w:r>
              <w:rPr>
                <w:rFonts w:ascii="Arial" w:cs="Arial" w:eastAsia="Arial" w:hAnsi="Arial"/>
                <w:sz w:val="18"/>
                <w:szCs w:val="18"/>
                <w:b w:val="1"/>
                <w:bCs w:val="1"/>
                <w:color w:val="auto"/>
                <w:w w:val="86"/>
              </w:rPr>
              <w:t>Exercise</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40" w:type="dxa"/>
            <w:vAlign w:val="bottom"/>
          </w:tcPr>
          <w:p>
            <w:pPr>
              <w:jc w:val="center"/>
              <w:ind w:right="130"/>
              <w:spacing w:after="0"/>
              <w:rPr>
                <w:sz w:val="20"/>
                <w:szCs w:val="20"/>
                <w:color w:val="auto"/>
              </w:rPr>
            </w:pPr>
            <w:r>
              <w:rPr>
                <w:rFonts w:ascii="Arial" w:cs="Arial" w:eastAsia="Arial" w:hAnsi="Arial"/>
                <w:sz w:val="18"/>
                <w:szCs w:val="18"/>
                <w:b w:val="1"/>
                <w:bCs w:val="1"/>
                <w:color w:val="auto"/>
                <w:w w:val="94"/>
              </w:rPr>
              <w:t>Intrinsic</w:t>
            </w:r>
          </w:p>
        </w:tc>
      </w:tr>
      <w:tr>
        <w:trPr>
          <w:trHeight w:val="234"/>
        </w:trPr>
        <w:tc>
          <w:tcPr>
            <w:tcW w:w="120" w:type="dxa"/>
            <w:vAlign w:val="bottom"/>
          </w:tcPr>
          <w:p>
            <w:pPr>
              <w:spacing w:after="0"/>
              <w:rPr>
                <w:sz w:val="20"/>
                <w:szCs w:val="20"/>
                <w:color w:val="auto"/>
              </w:rPr>
            </w:pPr>
          </w:p>
        </w:tc>
        <w:tc>
          <w:tcPr>
            <w:tcW w:w="1060" w:type="dxa"/>
            <w:vAlign w:val="bottom"/>
          </w:tcPr>
          <w:p>
            <w:pPr>
              <w:jc w:val="center"/>
              <w:ind w:right="250"/>
              <w:spacing w:after="0"/>
              <w:rPr>
                <w:sz w:val="20"/>
                <w:szCs w:val="20"/>
                <w:color w:val="auto"/>
              </w:rPr>
            </w:pPr>
            <w:r>
              <w:rPr>
                <w:rFonts w:ascii="Arial" w:cs="Arial" w:eastAsia="Arial" w:hAnsi="Arial"/>
                <w:sz w:val="18"/>
                <w:szCs w:val="18"/>
                <w:b w:val="1"/>
                <w:bCs w:val="1"/>
                <w:color w:val="auto"/>
                <w:w w:val="90"/>
              </w:rPr>
              <w:t>Price</w:t>
            </w:r>
          </w:p>
        </w:tc>
        <w:tc>
          <w:tcPr>
            <w:tcW w:w="110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b w:val="1"/>
                <w:bCs w:val="1"/>
                <w:color w:val="auto"/>
                <w:w w:val="90"/>
              </w:rPr>
              <w:t>Outstanding</w:t>
            </w:r>
          </w:p>
        </w:tc>
        <w:tc>
          <w:tcPr>
            <w:tcW w:w="100" w:type="dxa"/>
            <w:vAlign w:val="bottom"/>
          </w:tcPr>
          <w:p>
            <w:pPr>
              <w:spacing w:after="0"/>
              <w:rPr>
                <w:sz w:val="20"/>
                <w:szCs w:val="20"/>
                <w:color w:val="auto"/>
              </w:rPr>
            </w:pPr>
          </w:p>
        </w:tc>
        <w:tc>
          <w:tcPr>
            <w:tcW w:w="1080" w:type="dxa"/>
            <w:vAlign w:val="bottom"/>
            <w:tcBorders>
              <w:bottom w:val="single" w:sz="8" w:color="auto"/>
            </w:tcBorders>
          </w:tcPr>
          <w:p>
            <w:pPr>
              <w:jc w:val="center"/>
              <w:ind w:right="10"/>
              <w:spacing w:after="0"/>
              <w:rPr>
                <w:sz w:val="20"/>
                <w:szCs w:val="20"/>
                <w:color w:val="auto"/>
              </w:rPr>
            </w:pPr>
            <w:r>
              <w:rPr>
                <w:rFonts w:ascii="Arial" w:cs="Arial" w:eastAsia="Arial" w:hAnsi="Arial"/>
                <w:sz w:val="18"/>
                <w:szCs w:val="18"/>
                <w:b w:val="1"/>
                <w:bCs w:val="1"/>
                <w:color w:val="auto"/>
                <w:w w:val="88"/>
              </w:rPr>
              <w:t>in Years</w:t>
            </w:r>
          </w:p>
        </w:tc>
        <w:tc>
          <w:tcPr>
            <w:tcW w:w="80" w:type="dxa"/>
            <w:vAlign w:val="bottom"/>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960" w:type="dxa"/>
            <w:vAlign w:val="bottom"/>
            <w:tcBorders>
              <w:bottom w:val="single" w:sz="8" w:color="auto"/>
            </w:tcBorders>
          </w:tcPr>
          <w:p>
            <w:pPr>
              <w:jc w:val="center"/>
              <w:ind w:right="110"/>
              <w:spacing w:after="0"/>
              <w:rPr>
                <w:sz w:val="20"/>
                <w:szCs w:val="20"/>
                <w:color w:val="auto"/>
              </w:rPr>
            </w:pPr>
            <w:r>
              <w:rPr>
                <w:rFonts w:ascii="Arial" w:cs="Arial" w:eastAsia="Arial" w:hAnsi="Arial"/>
                <w:sz w:val="18"/>
                <w:szCs w:val="18"/>
                <w:b w:val="1"/>
                <w:bCs w:val="1"/>
                <w:color w:val="auto"/>
                <w:w w:val="90"/>
              </w:rPr>
              <w:t>Price</w:t>
            </w:r>
          </w:p>
        </w:tc>
        <w:tc>
          <w:tcPr>
            <w:tcW w:w="100" w:type="dxa"/>
            <w:vAlign w:val="bottom"/>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1000" w:type="dxa"/>
            <w:vAlign w:val="bottom"/>
            <w:tcBorders>
              <w:bottom w:val="single" w:sz="8" w:color="auto"/>
            </w:tcBorders>
          </w:tcPr>
          <w:p>
            <w:pPr>
              <w:jc w:val="center"/>
              <w:ind w:right="110"/>
              <w:spacing w:after="0"/>
              <w:rPr>
                <w:sz w:val="20"/>
                <w:szCs w:val="20"/>
                <w:color w:val="auto"/>
              </w:rPr>
            </w:pPr>
            <w:r>
              <w:rPr>
                <w:rFonts w:ascii="Arial" w:cs="Arial" w:eastAsia="Arial" w:hAnsi="Arial"/>
                <w:sz w:val="18"/>
                <w:szCs w:val="18"/>
                <w:b w:val="1"/>
                <w:bCs w:val="1"/>
                <w:color w:val="auto"/>
                <w:w w:val="91"/>
              </w:rPr>
              <w:t>Value</w:t>
            </w:r>
          </w:p>
        </w:tc>
        <w:tc>
          <w:tcPr>
            <w:tcW w:w="80" w:type="dxa"/>
            <w:vAlign w:val="bottom"/>
          </w:tcPr>
          <w:p>
            <w:pPr>
              <w:spacing w:after="0"/>
              <w:rPr>
                <w:sz w:val="20"/>
                <w:szCs w:val="20"/>
                <w:color w:val="auto"/>
              </w:rPr>
            </w:pPr>
          </w:p>
        </w:tc>
        <w:tc>
          <w:tcPr>
            <w:tcW w:w="1100" w:type="dxa"/>
            <w:vAlign w:val="bottom"/>
            <w:tcBorders>
              <w:bottom w:val="single" w:sz="8" w:color="auto"/>
            </w:tcBorders>
          </w:tcPr>
          <w:p>
            <w:pPr>
              <w:jc w:val="right"/>
              <w:ind w:right="50"/>
              <w:spacing w:after="0"/>
              <w:rPr>
                <w:sz w:val="20"/>
                <w:szCs w:val="20"/>
                <w:color w:val="auto"/>
              </w:rPr>
            </w:pPr>
            <w:r>
              <w:rPr>
                <w:rFonts w:ascii="Arial" w:cs="Arial" w:eastAsia="Arial" w:hAnsi="Arial"/>
                <w:sz w:val="18"/>
                <w:szCs w:val="18"/>
                <w:b w:val="1"/>
                <w:bCs w:val="1"/>
                <w:color w:val="auto"/>
                <w:w w:val="93"/>
              </w:rPr>
              <w:t>Exercisable</w:t>
            </w:r>
          </w:p>
        </w:tc>
        <w:tc>
          <w:tcPr>
            <w:tcW w:w="100" w:type="dxa"/>
            <w:vAlign w:val="bottom"/>
          </w:tcPr>
          <w:p>
            <w:pPr>
              <w:spacing w:after="0"/>
              <w:rPr>
                <w:sz w:val="20"/>
                <w:szCs w:val="20"/>
                <w:color w:val="auto"/>
              </w:rPr>
            </w:pPr>
          </w:p>
        </w:tc>
        <w:tc>
          <w:tcPr>
            <w:tcW w:w="1100" w:type="dxa"/>
            <w:vAlign w:val="bottom"/>
            <w:tcBorders>
              <w:bottom w:val="single" w:sz="8" w:color="auto"/>
            </w:tcBorders>
          </w:tcPr>
          <w:p>
            <w:pPr>
              <w:jc w:val="center"/>
              <w:ind w:right="30"/>
              <w:spacing w:after="0"/>
              <w:rPr>
                <w:sz w:val="20"/>
                <w:szCs w:val="20"/>
                <w:color w:val="auto"/>
              </w:rPr>
            </w:pPr>
            <w:r>
              <w:rPr>
                <w:rFonts w:ascii="Arial" w:cs="Arial" w:eastAsia="Arial" w:hAnsi="Arial"/>
                <w:sz w:val="18"/>
                <w:szCs w:val="18"/>
                <w:b w:val="1"/>
                <w:bCs w:val="1"/>
                <w:color w:val="auto"/>
                <w:w w:val="88"/>
              </w:rPr>
              <w:t>in Years</w:t>
            </w:r>
          </w:p>
        </w:tc>
        <w:tc>
          <w:tcPr>
            <w:tcW w:w="80" w:type="dxa"/>
            <w:vAlign w:val="bottom"/>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1000" w:type="dxa"/>
            <w:vAlign w:val="bottom"/>
            <w:tcBorders>
              <w:bottom w:val="single" w:sz="8" w:color="auto"/>
            </w:tcBorders>
          </w:tcPr>
          <w:p>
            <w:pPr>
              <w:jc w:val="center"/>
              <w:ind w:right="110"/>
              <w:spacing w:after="0"/>
              <w:rPr>
                <w:sz w:val="20"/>
                <w:szCs w:val="20"/>
                <w:color w:val="auto"/>
              </w:rPr>
            </w:pPr>
            <w:r>
              <w:rPr>
                <w:rFonts w:ascii="Arial" w:cs="Arial" w:eastAsia="Arial" w:hAnsi="Arial"/>
                <w:sz w:val="18"/>
                <w:szCs w:val="18"/>
                <w:b w:val="1"/>
                <w:bCs w:val="1"/>
                <w:color w:val="auto"/>
                <w:w w:val="90"/>
              </w:rPr>
              <w:t>Price</w:t>
            </w:r>
          </w:p>
        </w:tc>
        <w:tc>
          <w:tcPr>
            <w:tcW w:w="100" w:type="dxa"/>
            <w:vAlign w:val="bottom"/>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1040" w:type="dxa"/>
            <w:vAlign w:val="bottom"/>
            <w:tcBorders>
              <w:bottom w:val="single" w:sz="8" w:color="auto"/>
            </w:tcBorders>
          </w:tcPr>
          <w:p>
            <w:pPr>
              <w:jc w:val="center"/>
              <w:ind w:right="150"/>
              <w:spacing w:after="0"/>
              <w:rPr>
                <w:sz w:val="20"/>
                <w:szCs w:val="20"/>
                <w:color w:val="auto"/>
              </w:rPr>
            </w:pPr>
            <w:r>
              <w:rPr>
                <w:rFonts w:ascii="Arial" w:cs="Arial" w:eastAsia="Arial" w:hAnsi="Arial"/>
                <w:sz w:val="18"/>
                <w:szCs w:val="18"/>
                <w:b w:val="1"/>
                <w:bCs w:val="1"/>
                <w:color w:val="auto"/>
                <w:w w:val="91"/>
              </w:rPr>
              <w:t>Value</w:t>
            </w:r>
          </w:p>
        </w:tc>
      </w:tr>
      <w:tr>
        <w:trPr>
          <w:trHeight w:val="209"/>
        </w:trPr>
        <w:tc>
          <w:tcPr>
            <w:tcW w:w="12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40" w:type="dxa"/>
            <w:vAlign w:val="bottom"/>
          </w:tcPr>
          <w:p>
            <w:pPr>
              <w:spacing w:after="0"/>
              <w:rPr>
                <w:sz w:val="18"/>
                <w:szCs w:val="18"/>
                <w:color w:val="auto"/>
              </w:rPr>
            </w:pPr>
          </w:p>
        </w:tc>
      </w:tr>
      <w:tr>
        <w:trPr>
          <w:trHeight w:val="216"/>
        </w:trPr>
        <w:tc>
          <w:tcPr>
            <w:tcW w:w="12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060" w:type="dxa"/>
            <w:vAlign w:val="bottom"/>
            <w:shd w:val="clear" w:color="auto" w:fill="CCEEFF"/>
          </w:tcPr>
          <w:p>
            <w:pPr>
              <w:jc w:val="right"/>
              <w:ind w:right="110"/>
              <w:spacing w:after="0"/>
              <w:rPr>
                <w:sz w:val="20"/>
                <w:szCs w:val="20"/>
                <w:color w:val="auto"/>
              </w:rPr>
            </w:pPr>
            <w:r>
              <w:rPr>
                <w:rFonts w:ascii="Arial" w:cs="Arial" w:eastAsia="Arial" w:hAnsi="Arial"/>
                <w:sz w:val="18"/>
                <w:szCs w:val="18"/>
                <w:color w:val="auto"/>
                <w:w w:val="97"/>
              </w:rPr>
              <w:t>1.78 - 2.62</w:t>
            </w:r>
          </w:p>
        </w:tc>
        <w:tc>
          <w:tcPr>
            <w:tcW w:w="110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188,253</w:t>
            </w:r>
          </w:p>
        </w:tc>
        <w:tc>
          <w:tcPr>
            <w:tcW w:w="1180" w:type="dxa"/>
            <w:vAlign w:val="bottom"/>
            <w:gridSpan w:val="2"/>
            <w:shd w:val="clear" w:color="auto" w:fill="CCEEFF"/>
          </w:tcPr>
          <w:p>
            <w:pPr>
              <w:jc w:val="right"/>
              <w:ind w:right="10"/>
              <w:spacing w:after="0"/>
              <w:rPr>
                <w:sz w:val="20"/>
                <w:szCs w:val="20"/>
                <w:color w:val="auto"/>
              </w:rPr>
            </w:pPr>
            <w:r>
              <w:rPr>
                <w:rFonts w:ascii="Arial" w:cs="Arial" w:eastAsia="Arial" w:hAnsi="Arial"/>
                <w:sz w:val="18"/>
                <w:szCs w:val="18"/>
                <w:color w:val="auto"/>
              </w:rPr>
              <w:t>6.4</w:t>
            </w:r>
          </w:p>
        </w:tc>
        <w:tc>
          <w:tcPr>
            <w:tcW w:w="2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2.08</w:t>
            </w:r>
          </w:p>
        </w:tc>
        <w:tc>
          <w:tcPr>
            <w:tcW w:w="2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0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935</w:t>
            </w:r>
          </w:p>
        </w:tc>
        <w:tc>
          <w:tcPr>
            <w:tcW w:w="1180" w:type="dxa"/>
            <w:vAlign w:val="bottom"/>
            <w:gridSpan w:val="2"/>
            <w:shd w:val="clear" w:color="auto" w:fill="CCEEFF"/>
          </w:tcPr>
          <w:p>
            <w:pPr>
              <w:jc w:val="right"/>
              <w:ind w:right="10"/>
              <w:spacing w:after="0"/>
              <w:rPr>
                <w:sz w:val="20"/>
                <w:szCs w:val="20"/>
                <w:color w:val="auto"/>
              </w:rPr>
            </w:pPr>
            <w:r>
              <w:rPr>
                <w:rFonts w:ascii="Arial" w:cs="Arial" w:eastAsia="Arial" w:hAnsi="Arial"/>
                <w:sz w:val="18"/>
                <w:szCs w:val="18"/>
                <w:color w:val="auto"/>
              </w:rPr>
              <w:t>90,551</w:t>
            </w:r>
          </w:p>
        </w:tc>
        <w:tc>
          <w:tcPr>
            <w:tcW w:w="1200" w:type="dxa"/>
            <w:vAlign w:val="bottom"/>
            <w:gridSpan w:val="2"/>
            <w:shd w:val="clear" w:color="auto" w:fill="CCEEFF"/>
          </w:tcPr>
          <w:p>
            <w:pPr>
              <w:jc w:val="right"/>
              <w:ind w:right="10"/>
              <w:spacing w:after="0"/>
              <w:rPr>
                <w:sz w:val="20"/>
                <w:szCs w:val="20"/>
                <w:color w:val="auto"/>
              </w:rPr>
            </w:pPr>
            <w:r>
              <w:rPr>
                <w:rFonts w:ascii="Arial" w:cs="Arial" w:eastAsia="Arial" w:hAnsi="Arial"/>
                <w:sz w:val="18"/>
                <w:szCs w:val="18"/>
                <w:color w:val="auto"/>
              </w:rPr>
              <w:t>6.1</w:t>
            </w:r>
          </w:p>
        </w:tc>
        <w:tc>
          <w:tcPr>
            <w:tcW w:w="2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2.09</w:t>
            </w:r>
          </w:p>
        </w:tc>
        <w:tc>
          <w:tcPr>
            <w:tcW w:w="2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104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449</w:t>
            </w:r>
          </w:p>
        </w:tc>
      </w:tr>
      <w:tr>
        <w:trPr>
          <w:trHeight w:val="216"/>
        </w:trPr>
        <w:tc>
          <w:tcPr>
            <w:tcW w:w="120" w:type="dxa"/>
            <w:vAlign w:val="bottom"/>
          </w:tcPr>
          <w:p>
            <w:pPr>
              <w:spacing w:after="0"/>
              <w:rPr>
                <w:sz w:val="18"/>
                <w:szCs w:val="18"/>
                <w:color w:val="auto"/>
              </w:rPr>
            </w:pPr>
          </w:p>
        </w:tc>
        <w:tc>
          <w:tcPr>
            <w:tcW w:w="1060" w:type="dxa"/>
            <w:vAlign w:val="bottom"/>
          </w:tcPr>
          <w:p>
            <w:pPr>
              <w:jc w:val="right"/>
              <w:ind w:right="110"/>
              <w:spacing w:after="0"/>
              <w:rPr>
                <w:sz w:val="20"/>
                <w:szCs w:val="20"/>
                <w:color w:val="auto"/>
              </w:rPr>
            </w:pPr>
            <w:r>
              <w:rPr>
                <w:rFonts w:ascii="Arial" w:cs="Arial" w:eastAsia="Arial" w:hAnsi="Arial"/>
                <w:sz w:val="18"/>
                <w:szCs w:val="18"/>
                <w:color w:val="auto"/>
                <w:w w:val="97"/>
              </w:rPr>
              <w:t>2.63 - 2.78</w:t>
            </w:r>
          </w:p>
        </w:tc>
        <w:tc>
          <w:tcPr>
            <w:tcW w:w="1100" w:type="dxa"/>
            <w:vAlign w:val="bottom"/>
          </w:tcPr>
          <w:p>
            <w:pPr>
              <w:jc w:val="right"/>
              <w:ind w:right="10"/>
              <w:spacing w:after="0"/>
              <w:rPr>
                <w:sz w:val="20"/>
                <w:szCs w:val="20"/>
                <w:color w:val="auto"/>
              </w:rPr>
            </w:pPr>
            <w:r>
              <w:rPr>
                <w:rFonts w:ascii="Arial" w:cs="Arial" w:eastAsia="Arial" w:hAnsi="Arial"/>
                <w:sz w:val="18"/>
                <w:szCs w:val="18"/>
                <w:color w:val="auto"/>
              </w:rPr>
              <w:t>586,160</w:t>
            </w:r>
          </w:p>
        </w:tc>
        <w:tc>
          <w:tcPr>
            <w:tcW w:w="1180" w:type="dxa"/>
            <w:vAlign w:val="bottom"/>
            <w:gridSpan w:val="2"/>
          </w:tcPr>
          <w:p>
            <w:pPr>
              <w:jc w:val="right"/>
              <w:ind w:right="10"/>
              <w:spacing w:after="0"/>
              <w:rPr>
                <w:sz w:val="20"/>
                <w:szCs w:val="20"/>
                <w:color w:val="auto"/>
              </w:rPr>
            </w:pPr>
            <w:r>
              <w:rPr>
                <w:rFonts w:ascii="Arial" w:cs="Arial" w:eastAsia="Arial" w:hAnsi="Arial"/>
                <w:sz w:val="18"/>
                <w:szCs w:val="18"/>
                <w:color w:val="auto"/>
              </w:rPr>
              <w:t>5.4</w:t>
            </w: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2.63</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0" w:type="dxa"/>
            <w:vAlign w:val="bottom"/>
          </w:tcPr>
          <w:p>
            <w:pPr>
              <w:jc w:val="right"/>
              <w:ind w:right="10"/>
              <w:spacing w:after="0"/>
              <w:rPr>
                <w:sz w:val="20"/>
                <w:szCs w:val="20"/>
                <w:color w:val="auto"/>
              </w:rPr>
            </w:pPr>
            <w:r>
              <w:rPr>
                <w:rFonts w:ascii="Arial" w:cs="Arial" w:eastAsia="Arial" w:hAnsi="Arial"/>
                <w:sz w:val="18"/>
                <w:szCs w:val="18"/>
                <w:color w:val="auto"/>
              </w:rPr>
              <w:t>2,591</w:t>
            </w:r>
          </w:p>
        </w:tc>
        <w:tc>
          <w:tcPr>
            <w:tcW w:w="1180" w:type="dxa"/>
            <w:vAlign w:val="bottom"/>
            <w:gridSpan w:val="2"/>
          </w:tcPr>
          <w:p>
            <w:pPr>
              <w:jc w:val="right"/>
              <w:ind w:right="10"/>
              <w:spacing w:after="0"/>
              <w:rPr>
                <w:sz w:val="20"/>
                <w:szCs w:val="20"/>
                <w:color w:val="auto"/>
              </w:rPr>
            </w:pPr>
            <w:r>
              <w:rPr>
                <w:rFonts w:ascii="Arial" w:cs="Arial" w:eastAsia="Arial" w:hAnsi="Arial"/>
                <w:sz w:val="18"/>
                <w:szCs w:val="18"/>
                <w:color w:val="auto"/>
              </w:rPr>
              <w:t>234,299</w:t>
            </w:r>
          </w:p>
        </w:tc>
        <w:tc>
          <w:tcPr>
            <w:tcW w:w="1200" w:type="dxa"/>
            <w:vAlign w:val="bottom"/>
            <w:gridSpan w:val="2"/>
          </w:tcPr>
          <w:p>
            <w:pPr>
              <w:jc w:val="right"/>
              <w:ind w:right="10"/>
              <w:spacing w:after="0"/>
              <w:rPr>
                <w:sz w:val="20"/>
                <w:szCs w:val="20"/>
                <w:color w:val="auto"/>
              </w:rPr>
            </w:pPr>
            <w:r>
              <w:rPr>
                <w:rFonts w:ascii="Arial" w:cs="Arial" w:eastAsia="Arial" w:hAnsi="Arial"/>
                <w:sz w:val="18"/>
                <w:szCs w:val="18"/>
                <w:color w:val="auto"/>
              </w:rPr>
              <w:t>5.4</w:t>
            </w: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2.63</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40" w:type="dxa"/>
            <w:vAlign w:val="bottom"/>
          </w:tcPr>
          <w:p>
            <w:pPr>
              <w:jc w:val="right"/>
              <w:ind w:right="10"/>
              <w:spacing w:after="0"/>
              <w:rPr>
                <w:sz w:val="20"/>
                <w:szCs w:val="20"/>
                <w:color w:val="auto"/>
              </w:rPr>
            </w:pPr>
            <w:r>
              <w:rPr>
                <w:rFonts w:ascii="Arial" w:cs="Arial" w:eastAsia="Arial" w:hAnsi="Arial"/>
                <w:sz w:val="18"/>
                <w:szCs w:val="18"/>
                <w:color w:val="auto"/>
              </w:rPr>
              <w:t>1,036</w:t>
            </w:r>
          </w:p>
        </w:tc>
      </w:tr>
      <w:tr>
        <w:trPr>
          <w:trHeight w:val="216"/>
        </w:trPr>
        <w:tc>
          <w:tcPr>
            <w:tcW w:w="120" w:type="dxa"/>
            <w:vAlign w:val="bottom"/>
            <w:shd w:val="clear" w:color="auto" w:fill="CCEEFF"/>
          </w:tcPr>
          <w:p>
            <w:pPr>
              <w:spacing w:after="0"/>
              <w:rPr>
                <w:sz w:val="18"/>
                <w:szCs w:val="18"/>
                <w:color w:val="auto"/>
              </w:rPr>
            </w:pPr>
          </w:p>
        </w:tc>
        <w:tc>
          <w:tcPr>
            <w:tcW w:w="1060" w:type="dxa"/>
            <w:vAlign w:val="bottom"/>
            <w:shd w:val="clear" w:color="auto" w:fill="CCEEFF"/>
          </w:tcPr>
          <w:p>
            <w:pPr>
              <w:jc w:val="right"/>
              <w:ind w:right="110"/>
              <w:spacing w:after="0"/>
              <w:rPr>
                <w:sz w:val="20"/>
                <w:szCs w:val="20"/>
                <w:color w:val="auto"/>
              </w:rPr>
            </w:pPr>
            <w:r>
              <w:rPr>
                <w:rFonts w:ascii="Arial" w:cs="Arial" w:eastAsia="Arial" w:hAnsi="Arial"/>
                <w:sz w:val="18"/>
                <w:szCs w:val="18"/>
                <w:color w:val="auto"/>
                <w:w w:val="97"/>
              </w:rPr>
              <w:t>2.79 - 3.24</w:t>
            </w:r>
          </w:p>
        </w:tc>
        <w:tc>
          <w:tcPr>
            <w:tcW w:w="110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160,071</w:t>
            </w:r>
          </w:p>
        </w:tc>
        <w:tc>
          <w:tcPr>
            <w:tcW w:w="1180" w:type="dxa"/>
            <w:vAlign w:val="bottom"/>
            <w:gridSpan w:val="2"/>
            <w:shd w:val="clear" w:color="auto" w:fill="CCEEFF"/>
          </w:tcPr>
          <w:p>
            <w:pPr>
              <w:jc w:val="right"/>
              <w:ind w:right="10"/>
              <w:spacing w:after="0"/>
              <w:rPr>
                <w:sz w:val="20"/>
                <w:szCs w:val="20"/>
                <w:color w:val="auto"/>
              </w:rPr>
            </w:pPr>
            <w:r>
              <w:rPr>
                <w:rFonts w:ascii="Arial" w:cs="Arial" w:eastAsia="Arial" w:hAnsi="Arial"/>
                <w:sz w:val="18"/>
                <w:szCs w:val="18"/>
                <w:color w:val="auto"/>
              </w:rPr>
              <w:t>7.6</w:t>
            </w: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2.95</w:t>
            </w: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656</w:t>
            </w:r>
          </w:p>
        </w:tc>
        <w:tc>
          <w:tcPr>
            <w:tcW w:w="1180" w:type="dxa"/>
            <w:vAlign w:val="bottom"/>
            <w:gridSpan w:val="2"/>
            <w:shd w:val="clear" w:color="auto" w:fill="CCEEFF"/>
          </w:tcPr>
          <w:p>
            <w:pPr>
              <w:jc w:val="right"/>
              <w:ind w:right="10"/>
              <w:spacing w:after="0"/>
              <w:rPr>
                <w:sz w:val="20"/>
                <w:szCs w:val="20"/>
                <w:color w:val="auto"/>
              </w:rPr>
            </w:pPr>
            <w:r>
              <w:rPr>
                <w:rFonts w:ascii="Arial" w:cs="Arial" w:eastAsia="Arial" w:hAnsi="Arial"/>
                <w:sz w:val="18"/>
                <w:szCs w:val="18"/>
                <w:color w:val="auto"/>
              </w:rPr>
              <w:t>99,751</w:t>
            </w:r>
          </w:p>
        </w:tc>
        <w:tc>
          <w:tcPr>
            <w:tcW w:w="1200" w:type="dxa"/>
            <w:vAlign w:val="bottom"/>
            <w:gridSpan w:val="2"/>
            <w:shd w:val="clear" w:color="auto" w:fill="CCEEFF"/>
          </w:tcPr>
          <w:p>
            <w:pPr>
              <w:jc w:val="right"/>
              <w:ind w:right="10"/>
              <w:spacing w:after="0"/>
              <w:rPr>
                <w:sz w:val="20"/>
                <w:szCs w:val="20"/>
                <w:color w:val="auto"/>
              </w:rPr>
            </w:pPr>
            <w:r>
              <w:rPr>
                <w:rFonts w:ascii="Arial" w:cs="Arial" w:eastAsia="Arial" w:hAnsi="Arial"/>
                <w:sz w:val="18"/>
                <w:szCs w:val="18"/>
                <w:color w:val="auto"/>
              </w:rPr>
              <w:t>7.5</w:t>
            </w: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2.95</w:t>
            </w: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4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409</w:t>
            </w:r>
          </w:p>
        </w:tc>
      </w:tr>
      <w:tr>
        <w:trPr>
          <w:trHeight w:val="216"/>
        </w:trPr>
        <w:tc>
          <w:tcPr>
            <w:tcW w:w="120" w:type="dxa"/>
            <w:vAlign w:val="bottom"/>
          </w:tcPr>
          <w:p>
            <w:pPr>
              <w:spacing w:after="0"/>
              <w:rPr>
                <w:sz w:val="18"/>
                <w:szCs w:val="18"/>
                <w:color w:val="auto"/>
              </w:rPr>
            </w:pPr>
          </w:p>
        </w:tc>
        <w:tc>
          <w:tcPr>
            <w:tcW w:w="1060" w:type="dxa"/>
            <w:vAlign w:val="bottom"/>
          </w:tcPr>
          <w:p>
            <w:pPr>
              <w:jc w:val="right"/>
              <w:ind w:right="110"/>
              <w:spacing w:after="0"/>
              <w:rPr>
                <w:sz w:val="20"/>
                <w:szCs w:val="20"/>
                <w:color w:val="auto"/>
              </w:rPr>
            </w:pPr>
            <w:r>
              <w:rPr>
                <w:rFonts w:ascii="Arial" w:cs="Arial" w:eastAsia="Arial" w:hAnsi="Arial"/>
                <w:sz w:val="18"/>
                <w:szCs w:val="18"/>
                <w:color w:val="auto"/>
                <w:w w:val="97"/>
              </w:rPr>
              <w:t>3.25 - 3.72</w:t>
            </w:r>
          </w:p>
        </w:tc>
        <w:tc>
          <w:tcPr>
            <w:tcW w:w="1100" w:type="dxa"/>
            <w:vAlign w:val="bottom"/>
          </w:tcPr>
          <w:p>
            <w:pPr>
              <w:jc w:val="right"/>
              <w:ind w:right="10"/>
              <w:spacing w:after="0"/>
              <w:rPr>
                <w:sz w:val="20"/>
                <w:szCs w:val="20"/>
                <w:color w:val="auto"/>
              </w:rPr>
            </w:pPr>
            <w:r>
              <w:rPr>
                <w:rFonts w:ascii="Arial" w:cs="Arial" w:eastAsia="Arial" w:hAnsi="Arial"/>
                <w:sz w:val="18"/>
                <w:szCs w:val="18"/>
                <w:color w:val="auto"/>
              </w:rPr>
              <w:t>206,808</w:t>
            </w:r>
          </w:p>
        </w:tc>
        <w:tc>
          <w:tcPr>
            <w:tcW w:w="1180" w:type="dxa"/>
            <w:vAlign w:val="bottom"/>
            <w:gridSpan w:val="2"/>
          </w:tcPr>
          <w:p>
            <w:pPr>
              <w:jc w:val="right"/>
              <w:ind w:right="10"/>
              <w:spacing w:after="0"/>
              <w:rPr>
                <w:sz w:val="20"/>
                <w:szCs w:val="20"/>
                <w:color w:val="auto"/>
              </w:rPr>
            </w:pPr>
            <w:r>
              <w:rPr>
                <w:rFonts w:ascii="Arial" w:cs="Arial" w:eastAsia="Arial" w:hAnsi="Arial"/>
                <w:sz w:val="18"/>
                <w:szCs w:val="18"/>
                <w:color w:val="auto"/>
              </w:rPr>
              <w:t>5.2</w:t>
            </w: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3.38</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0" w:type="dxa"/>
            <w:vAlign w:val="bottom"/>
          </w:tcPr>
          <w:p>
            <w:pPr>
              <w:jc w:val="right"/>
              <w:ind w:right="10"/>
              <w:spacing w:after="0"/>
              <w:rPr>
                <w:sz w:val="20"/>
                <w:szCs w:val="20"/>
                <w:color w:val="auto"/>
              </w:rPr>
            </w:pPr>
            <w:r>
              <w:rPr>
                <w:rFonts w:ascii="Arial" w:cs="Arial" w:eastAsia="Arial" w:hAnsi="Arial"/>
                <w:sz w:val="18"/>
                <w:szCs w:val="18"/>
                <w:color w:val="auto"/>
              </w:rPr>
              <w:t>760</w:t>
            </w:r>
          </w:p>
        </w:tc>
        <w:tc>
          <w:tcPr>
            <w:tcW w:w="1180" w:type="dxa"/>
            <w:vAlign w:val="bottom"/>
            <w:gridSpan w:val="2"/>
          </w:tcPr>
          <w:p>
            <w:pPr>
              <w:jc w:val="right"/>
              <w:ind w:right="10"/>
              <w:spacing w:after="0"/>
              <w:rPr>
                <w:sz w:val="20"/>
                <w:szCs w:val="20"/>
                <w:color w:val="auto"/>
              </w:rPr>
            </w:pPr>
            <w:r>
              <w:rPr>
                <w:rFonts w:ascii="Arial" w:cs="Arial" w:eastAsia="Arial" w:hAnsi="Arial"/>
                <w:sz w:val="18"/>
                <w:szCs w:val="18"/>
                <w:color w:val="auto"/>
              </w:rPr>
              <w:t>206,808</w:t>
            </w:r>
          </w:p>
        </w:tc>
        <w:tc>
          <w:tcPr>
            <w:tcW w:w="1200" w:type="dxa"/>
            <w:vAlign w:val="bottom"/>
            <w:gridSpan w:val="2"/>
          </w:tcPr>
          <w:p>
            <w:pPr>
              <w:jc w:val="right"/>
              <w:ind w:right="10"/>
              <w:spacing w:after="0"/>
              <w:rPr>
                <w:sz w:val="20"/>
                <w:szCs w:val="20"/>
                <w:color w:val="auto"/>
              </w:rPr>
            </w:pPr>
            <w:r>
              <w:rPr>
                <w:rFonts w:ascii="Arial" w:cs="Arial" w:eastAsia="Arial" w:hAnsi="Arial"/>
                <w:sz w:val="18"/>
                <w:szCs w:val="18"/>
                <w:color w:val="auto"/>
              </w:rPr>
              <w:t>5.2</w:t>
            </w: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3.38</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40" w:type="dxa"/>
            <w:vAlign w:val="bottom"/>
          </w:tcPr>
          <w:p>
            <w:pPr>
              <w:jc w:val="right"/>
              <w:ind w:right="10"/>
              <w:spacing w:after="0"/>
              <w:rPr>
                <w:sz w:val="20"/>
                <w:szCs w:val="20"/>
                <w:color w:val="auto"/>
              </w:rPr>
            </w:pPr>
            <w:r>
              <w:rPr>
                <w:rFonts w:ascii="Arial" w:cs="Arial" w:eastAsia="Arial" w:hAnsi="Arial"/>
                <w:sz w:val="18"/>
                <w:szCs w:val="18"/>
                <w:color w:val="auto"/>
              </w:rPr>
              <w:t>760</w:t>
            </w:r>
          </w:p>
        </w:tc>
      </w:tr>
      <w:tr>
        <w:trPr>
          <w:trHeight w:val="216"/>
        </w:trPr>
        <w:tc>
          <w:tcPr>
            <w:tcW w:w="120" w:type="dxa"/>
            <w:vAlign w:val="bottom"/>
            <w:tcBorders>
              <w:bottom w:val="single" w:sz="8" w:color="CCEEFF"/>
            </w:tcBorders>
            <w:shd w:val="clear" w:color="auto" w:fill="CCEEFF"/>
          </w:tcPr>
          <w:p>
            <w:pPr>
              <w:spacing w:after="0"/>
              <w:rPr>
                <w:sz w:val="18"/>
                <w:szCs w:val="18"/>
                <w:color w:val="auto"/>
              </w:rPr>
            </w:pPr>
          </w:p>
        </w:tc>
        <w:tc>
          <w:tcPr>
            <w:tcW w:w="1060" w:type="dxa"/>
            <w:vAlign w:val="bottom"/>
            <w:tcBorders>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color w:val="auto"/>
                <w:w w:val="97"/>
              </w:rPr>
              <w:t>3.73 - 5.51</w:t>
            </w:r>
          </w:p>
        </w:tc>
        <w:tc>
          <w:tcPr>
            <w:tcW w:w="110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263,524</w:t>
            </w:r>
          </w:p>
        </w:tc>
        <w:tc>
          <w:tcPr>
            <w:tcW w:w="1180" w:type="dxa"/>
            <w:vAlign w:val="bottom"/>
            <w:tcBorders>
              <w:bottom w:val="single" w:sz="8" w:color="CCEEFF"/>
            </w:tcBorders>
            <w:gridSpan w:val="2"/>
            <w:shd w:val="clear" w:color="auto" w:fill="CCEEFF"/>
          </w:tcPr>
          <w:p>
            <w:pPr>
              <w:jc w:val="right"/>
              <w:ind w:right="10"/>
              <w:spacing w:after="0"/>
              <w:rPr>
                <w:sz w:val="20"/>
                <w:szCs w:val="20"/>
                <w:color w:val="auto"/>
              </w:rPr>
            </w:pPr>
            <w:r>
              <w:rPr>
                <w:rFonts w:ascii="Arial" w:cs="Arial" w:eastAsia="Arial" w:hAnsi="Arial"/>
                <w:sz w:val="18"/>
                <w:szCs w:val="18"/>
                <w:color w:val="auto"/>
              </w:rPr>
              <w:t>4.3</w:t>
            </w:r>
          </w:p>
        </w:tc>
        <w:tc>
          <w:tcPr>
            <w:tcW w:w="80" w:type="dxa"/>
            <w:vAlign w:val="bottom"/>
            <w:tcBorders>
              <w:bottom w:val="single" w:sz="8" w:color="CCEEFF"/>
            </w:tcBorders>
            <w:shd w:val="clear" w:color="auto" w:fill="CCEEFF"/>
          </w:tcPr>
          <w:p>
            <w:pPr>
              <w:spacing w:after="0"/>
              <w:rPr>
                <w:sz w:val="18"/>
                <w:szCs w:val="18"/>
                <w:color w:val="auto"/>
              </w:rPr>
            </w:pPr>
          </w:p>
        </w:tc>
        <w:tc>
          <w:tcPr>
            <w:tcW w:w="120" w:type="dxa"/>
            <w:vAlign w:val="bottom"/>
            <w:tcBorders>
              <w:bottom w:val="single" w:sz="8" w:color="CCEEFF"/>
            </w:tcBorders>
            <w:shd w:val="clear" w:color="auto" w:fill="CCEEFF"/>
          </w:tcPr>
          <w:p>
            <w:pPr>
              <w:spacing w:after="0"/>
              <w:rPr>
                <w:sz w:val="18"/>
                <w:szCs w:val="18"/>
                <w:color w:val="auto"/>
              </w:rPr>
            </w:pPr>
          </w:p>
        </w:tc>
        <w:tc>
          <w:tcPr>
            <w:tcW w:w="9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4.73</w:t>
            </w:r>
          </w:p>
        </w:tc>
        <w:tc>
          <w:tcPr>
            <w:tcW w:w="100" w:type="dxa"/>
            <w:vAlign w:val="bottom"/>
            <w:tcBorders>
              <w:bottom w:val="single" w:sz="8" w:color="CCEEFF"/>
            </w:tcBorders>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100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611</w:t>
            </w:r>
          </w:p>
        </w:tc>
        <w:tc>
          <w:tcPr>
            <w:tcW w:w="80" w:type="dxa"/>
            <w:vAlign w:val="bottom"/>
            <w:tcBorders>
              <w:bottom w:val="single" w:sz="8" w:color="CCEEFF"/>
            </w:tcBorders>
            <w:shd w:val="clear" w:color="auto" w:fill="CCEEFF"/>
          </w:tcPr>
          <w:p>
            <w:pPr>
              <w:spacing w:after="0"/>
              <w:rPr>
                <w:sz w:val="18"/>
                <w:szCs w:val="18"/>
                <w:color w:val="auto"/>
              </w:rPr>
            </w:pPr>
          </w:p>
        </w:tc>
        <w:tc>
          <w:tcPr>
            <w:tcW w:w="110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219,931</w:t>
            </w:r>
          </w:p>
        </w:tc>
        <w:tc>
          <w:tcPr>
            <w:tcW w:w="1200" w:type="dxa"/>
            <w:vAlign w:val="bottom"/>
            <w:tcBorders>
              <w:bottom w:val="single" w:sz="8" w:color="CCEEFF"/>
            </w:tcBorders>
            <w:gridSpan w:val="2"/>
            <w:shd w:val="clear" w:color="auto" w:fill="CCEEFF"/>
          </w:tcPr>
          <w:p>
            <w:pPr>
              <w:jc w:val="right"/>
              <w:ind w:right="10"/>
              <w:spacing w:after="0"/>
              <w:rPr>
                <w:sz w:val="20"/>
                <w:szCs w:val="20"/>
                <w:color w:val="auto"/>
              </w:rPr>
            </w:pPr>
            <w:r>
              <w:rPr>
                <w:rFonts w:ascii="Arial" w:cs="Arial" w:eastAsia="Arial" w:hAnsi="Arial"/>
                <w:sz w:val="18"/>
                <w:szCs w:val="18"/>
                <w:color w:val="auto"/>
              </w:rPr>
              <w:t>3.7</w:t>
            </w:r>
          </w:p>
        </w:tc>
        <w:tc>
          <w:tcPr>
            <w:tcW w:w="80" w:type="dxa"/>
            <w:vAlign w:val="bottom"/>
            <w:tcBorders>
              <w:bottom w:val="single" w:sz="8" w:color="CCEEFF"/>
            </w:tcBorders>
            <w:shd w:val="clear" w:color="auto" w:fill="CCEEFF"/>
          </w:tcPr>
          <w:p>
            <w:pPr>
              <w:spacing w:after="0"/>
              <w:rPr>
                <w:sz w:val="18"/>
                <w:szCs w:val="18"/>
                <w:color w:val="auto"/>
              </w:rPr>
            </w:pPr>
          </w:p>
        </w:tc>
        <w:tc>
          <w:tcPr>
            <w:tcW w:w="120" w:type="dxa"/>
            <w:vAlign w:val="bottom"/>
            <w:tcBorders>
              <w:bottom w:val="single" w:sz="8" w:color="CCEEFF"/>
            </w:tcBorders>
            <w:shd w:val="clear" w:color="auto" w:fill="CCEEFF"/>
          </w:tcPr>
          <w:p>
            <w:pPr>
              <w:spacing w:after="0"/>
              <w:rPr>
                <w:sz w:val="18"/>
                <w:szCs w:val="18"/>
                <w:color w:val="auto"/>
              </w:rPr>
            </w:pPr>
          </w:p>
        </w:tc>
        <w:tc>
          <w:tcPr>
            <w:tcW w:w="10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4.91</w:t>
            </w:r>
          </w:p>
        </w:tc>
        <w:tc>
          <w:tcPr>
            <w:tcW w:w="100" w:type="dxa"/>
            <w:vAlign w:val="bottom"/>
            <w:tcBorders>
              <w:bottom w:val="single" w:sz="8" w:color="CCEEFF"/>
            </w:tcBorders>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104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471</w:t>
            </w:r>
          </w:p>
        </w:tc>
      </w:tr>
      <w:tr>
        <w:trPr>
          <w:trHeight w:val="209"/>
        </w:trPr>
        <w:tc>
          <w:tcPr>
            <w:tcW w:w="12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060" w:type="dxa"/>
            <w:vAlign w:val="bottom"/>
          </w:tcPr>
          <w:p>
            <w:pPr>
              <w:jc w:val="right"/>
              <w:ind w:right="110"/>
              <w:spacing w:after="0"/>
              <w:rPr>
                <w:sz w:val="20"/>
                <w:szCs w:val="20"/>
                <w:color w:val="auto"/>
              </w:rPr>
            </w:pPr>
            <w:r>
              <w:rPr>
                <w:rFonts w:ascii="Arial" w:cs="Arial" w:eastAsia="Arial" w:hAnsi="Arial"/>
                <w:sz w:val="18"/>
                <w:szCs w:val="18"/>
                <w:color w:val="auto"/>
                <w:w w:val="97"/>
              </w:rPr>
              <w:t>1.78 - 5.51</w:t>
            </w:r>
          </w:p>
        </w:tc>
        <w:tc>
          <w:tcPr>
            <w:tcW w:w="1100" w:type="dxa"/>
            <w:vAlign w:val="bottom"/>
          </w:tcPr>
          <w:p>
            <w:pPr>
              <w:jc w:val="right"/>
              <w:ind w:right="10"/>
              <w:spacing w:after="0"/>
              <w:rPr>
                <w:sz w:val="20"/>
                <w:szCs w:val="20"/>
                <w:color w:val="auto"/>
              </w:rPr>
            </w:pPr>
            <w:r>
              <w:rPr>
                <w:rFonts w:ascii="Arial" w:cs="Arial" w:eastAsia="Arial" w:hAnsi="Arial"/>
                <w:sz w:val="18"/>
                <w:szCs w:val="18"/>
                <w:color w:val="auto"/>
              </w:rPr>
              <w:t>1,404,816</w:t>
            </w:r>
          </w:p>
        </w:tc>
        <w:tc>
          <w:tcPr>
            <w:tcW w:w="1180" w:type="dxa"/>
            <w:vAlign w:val="bottom"/>
            <w:gridSpan w:val="2"/>
          </w:tcPr>
          <w:p>
            <w:pPr>
              <w:jc w:val="right"/>
              <w:ind w:right="10"/>
              <w:spacing w:after="0"/>
              <w:rPr>
                <w:sz w:val="20"/>
                <w:szCs w:val="20"/>
                <w:color w:val="auto"/>
              </w:rPr>
            </w:pPr>
            <w:r>
              <w:rPr>
                <w:rFonts w:ascii="Arial" w:cs="Arial" w:eastAsia="Arial" w:hAnsi="Arial"/>
                <w:sz w:val="18"/>
                <w:szCs w:val="18"/>
                <w:color w:val="auto"/>
              </w:rPr>
              <w:t>5.6</w:t>
            </w:r>
          </w:p>
        </w:tc>
        <w:tc>
          <w:tcPr>
            <w:tcW w:w="20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960" w:type="dxa"/>
            <w:vAlign w:val="bottom"/>
          </w:tcPr>
          <w:p>
            <w:pPr>
              <w:jc w:val="right"/>
              <w:spacing w:after="0"/>
              <w:rPr>
                <w:sz w:val="20"/>
                <w:szCs w:val="20"/>
                <w:color w:val="auto"/>
              </w:rPr>
            </w:pPr>
            <w:r>
              <w:rPr>
                <w:rFonts w:ascii="Arial" w:cs="Arial" w:eastAsia="Arial" w:hAnsi="Arial"/>
                <w:sz w:val="18"/>
                <w:szCs w:val="18"/>
                <w:color w:val="auto"/>
              </w:rPr>
              <w:t>3.10</w:t>
            </w:r>
          </w:p>
        </w:tc>
        <w:tc>
          <w:tcPr>
            <w:tcW w:w="2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000" w:type="dxa"/>
            <w:vAlign w:val="bottom"/>
          </w:tcPr>
          <w:p>
            <w:pPr>
              <w:jc w:val="right"/>
              <w:ind w:right="10"/>
              <w:spacing w:after="0"/>
              <w:rPr>
                <w:sz w:val="20"/>
                <w:szCs w:val="20"/>
                <w:color w:val="auto"/>
              </w:rPr>
            </w:pPr>
            <w:r>
              <w:rPr>
                <w:rFonts w:ascii="Arial" w:cs="Arial" w:eastAsia="Arial" w:hAnsi="Arial"/>
                <w:sz w:val="18"/>
                <w:szCs w:val="18"/>
                <w:color w:val="auto"/>
              </w:rPr>
              <w:t>5,553</w:t>
            </w:r>
          </w:p>
        </w:tc>
        <w:tc>
          <w:tcPr>
            <w:tcW w:w="1180" w:type="dxa"/>
            <w:vAlign w:val="bottom"/>
            <w:gridSpan w:val="2"/>
          </w:tcPr>
          <w:p>
            <w:pPr>
              <w:jc w:val="right"/>
              <w:ind w:right="10"/>
              <w:spacing w:after="0"/>
              <w:rPr>
                <w:sz w:val="20"/>
                <w:szCs w:val="20"/>
                <w:color w:val="auto"/>
              </w:rPr>
            </w:pPr>
            <w:r>
              <w:rPr>
                <w:rFonts w:ascii="Arial" w:cs="Arial" w:eastAsia="Arial" w:hAnsi="Arial"/>
                <w:sz w:val="18"/>
                <w:szCs w:val="18"/>
                <w:color w:val="auto"/>
              </w:rPr>
              <w:t>851,340</w:t>
            </w:r>
          </w:p>
        </w:tc>
        <w:tc>
          <w:tcPr>
            <w:tcW w:w="1200" w:type="dxa"/>
            <w:vAlign w:val="bottom"/>
            <w:gridSpan w:val="2"/>
          </w:tcPr>
          <w:p>
            <w:pPr>
              <w:jc w:val="right"/>
              <w:ind w:right="10"/>
              <w:spacing w:after="0"/>
              <w:rPr>
                <w:sz w:val="20"/>
                <w:szCs w:val="20"/>
                <w:color w:val="auto"/>
              </w:rPr>
            </w:pPr>
            <w:r>
              <w:rPr>
                <w:rFonts w:ascii="Arial" w:cs="Arial" w:eastAsia="Arial" w:hAnsi="Arial"/>
                <w:sz w:val="18"/>
                <w:szCs w:val="18"/>
                <w:color w:val="auto"/>
              </w:rPr>
              <w:t>5.2</w:t>
            </w:r>
          </w:p>
        </w:tc>
        <w:tc>
          <w:tcPr>
            <w:tcW w:w="20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1000" w:type="dxa"/>
            <w:vAlign w:val="bottom"/>
          </w:tcPr>
          <w:p>
            <w:pPr>
              <w:jc w:val="right"/>
              <w:spacing w:after="0"/>
              <w:rPr>
                <w:sz w:val="20"/>
                <w:szCs w:val="20"/>
                <w:color w:val="auto"/>
              </w:rPr>
            </w:pPr>
            <w:r>
              <w:rPr>
                <w:rFonts w:ascii="Arial" w:cs="Arial" w:eastAsia="Arial" w:hAnsi="Arial"/>
                <w:sz w:val="18"/>
                <w:szCs w:val="18"/>
                <w:color w:val="auto"/>
              </w:rPr>
              <w:t>3.38</w:t>
            </w:r>
          </w:p>
        </w:tc>
        <w:tc>
          <w:tcPr>
            <w:tcW w:w="22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1040" w:type="dxa"/>
            <w:vAlign w:val="bottom"/>
          </w:tcPr>
          <w:p>
            <w:pPr>
              <w:jc w:val="right"/>
              <w:ind w:right="10"/>
              <w:spacing w:after="0"/>
              <w:rPr>
                <w:sz w:val="20"/>
                <w:szCs w:val="20"/>
                <w:color w:val="auto"/>
              </w:rPr>
            </w:pPr>
            <w:r>
              <w:rPr>
                <w:rFonts w:ascii="Arial" w:cs="Arial" w:eastAsia="Arial" w:hAnsi="Arial"/>
                <w:sz w:val="18"/>
                <w:szCs w:val="18"/>
                <w:color w:val="auto"/>
              </w:rPr>
              <w:t>3,125</w:t>
            </w:r>
          </w:p>
        </w:tc>
      </w:tr>
      <w:tr>
        <w:trPr>
          <w:trHeight w:val="20"/>
        </w:trPr>
        <w:tc>
          <w:tcPr>
            <w:tcW w:w="12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ectPr>
          <w:pgSz w:w="11900" w:h="16838" w:orient="portrait"/>
          <w:cols w:equalWidth="0" w:num="1">
            <w:col w:w="11320"/>
          </w:cols>
          <w:pgMar w:left="320" w:top="125" w:right="259" w:bottom="1440" w:gutter="0" w:footer="0" w:header="0"/>
        </w:sectPr>
      </w:pPr>
    </w:p>
    <w:p>
      <w:pPr>
        <w:spacing w:after="0" w:line="200" w:lineRule="exact"/>
        <w:rPr>
          <w:sz w:val="20"/>
          <w:szCs w:val="20"/>
          <w:color w:val="auto"/>
        </w:rPr>
      </w:pPr>
    </w:p>
    <w:p>
      <w:pPr>
        <w:spacing w:after="0" w:line="234" w:lineRule="exact"/>
        <w:rPr>
          <w:sz w:val="20"/>
          <w:szCs w:val="20"/>
          <w:color w:val="auto"/>
        </w:rPr>
      </w:pPr>
    </w:p>
    <w:p>
      <w:pPr>
        <w:jc w:val="center"/>
        <w:ind w:right="60"/>
        <w:spacing w:after="0"/>
        <w:rPr>
          <w:sz w:val="20"/>
          <w:szCs w:val="20"/>
          <w:color w:val="auto"/>
        </w:rPr>
      </w:pPr>
      <w:r>
        <w:rPr>
          <w:rFonts w:ascii="Arial" w:cs="Arial" w:eastAsia="Arial" w:hAnsi="Arial"/>
          <w:sz w:val="16"/>
          <w:szCs w:val="16"/>
          <w:color w:val="auto"/>
        </w:rPr>
        <w:t>F- 22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97790</wp:posOffset>
            </wp:positionV>
            <wp:extent cx="7132320" cy="1714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320"/>
          </w:cols>
          <w:pgMar w:left="320" w:top="125" w:right="259" w:bottom="1440" w:gutter="0" w:footer="0" w:header="0"/>
          <w:type w:val="continuous"/>
        </w:sectPr>
      </w:pPr>
    </w:p>
    <w:bookmarkStart w:id="51" w:name="page52"/>
    <w:bookmarkEnd w:id="51"/>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jc w:val="both"/>
        <w:ind w:right="80" w:firstLine="648"/>
        <w:spacing w:after="0" w:line="311" w:lineRule="auto"/>
        <w:rPr>
          <w:sz w:val="20"/>
          <w:szCs w:val="20"/>
          <w:color w:val="auto"/>
        </w:rPr>
      </w:pPr>
      <w:r>
        <w:rPr>
          <w:rFonts w:ascii="Arial" w:cs="Arial" w:eastAsia="Arial" w:hAnsi="Arial"/>
          <w:sz w:val="16"/>
          <w:szCs w:val="16"/>
          <w:color w:val="auto"/>
        </w:rPr>
        <w:t>The aggregate intrinsic value in the preceding table represents the total pre-tax intrinsic value, based on the Company’s closing stock price of $7.05 as of December 31, 2021, which would have been received by the option holders had all option holders exercised their options as of that date. The aggregate intrinsic value of options exercised was $1,310,765 and $92,162 for the years ended December 31, 2021 and 2020, respectively.</w:t>
      </w:r>
    </w:p>
    <w:p>
      <w:pPr>
        <w:spacing w:after="0" w:line="149" w:lineRule="exact"/>
        <w:rPr>
          <w:sz w:val="20"/>
          <w:szCs w:val="20"/>
          <w:color w:val="auto"/>
        </w:rPr>
      </w:pPr>
    </w:p>
    <w:p>
      <w:pPr>
        <w:jc w:val="both"/>
        <w:ind w:right="80" w:firstLine="648"/>
        <w:spacing w:after="0" w:line="277" w:lineRule="auto"/>
        <w:rPr>
          <w:sz w:val="20"/>
          <w:szCs w:val="20"/>
          <w:color w:val="auto"/>
        </w:rPr>
      </w:pPr>
      <w:r>
        <w:rPr>
          <w:rFonts w:ascii="Arial" w:cs="Arial" w:eastAsia="Arial" w:hAnsi="Arial"/>
          <w:sz w:val="18"/>
          <w:szCs w:val="18"/>
          <w:color w:val="auto"/>
        </w:rPr>
        <w:t>As of December 31, 2021, the total compensation costs related to unvested awards not yet recognized is $5.2 million and the weighted average period over which it is expected to be recognized is approximately 1.9 years.</w:t>
      </w:r>
    </w:p>
    <w:p>
      <w:pPr>
        <w:spacing w:after="0" w:line="170" w:lineRule="exact"/>
        <w:rPr>
          <w:sz w:val="20"/>
          <w:szCs w:val="20"/>
          <w:color w:val="auto"/>
        </w:rPr>
      </w:pPr>
    </w:p>
    <w:p>
      <w:pPr>
        <w:ind w:left="660"/>
        <w:spacing w:after="0"/>
        <w:rPr>
          <w:sz w:val="20"/>
          <w:szCs w:val="20"/>
          <w:color w:val="auto"/>
        </w:rPr>
      </w:pPr>
      <w:r>
        <w:rPr>
          <w:rFonts w:ascii="Arial" w:cs="Arial" w:eastAsia="Arial" w:hAnsi="Arial"/>
          <w:sz w:val="18"/>
          <w:szCs w:val="18"/>
          <w:i w:val="1"/>
          <w:iCs w:val="1"/>
          <w:color w:val="auto"/>
        </w:rPr>
        <w:t>Valuation and Expense Information under Stock-Based-Payment Accounting</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6"/>
          <w:szCs w:val="16"/>
          <w:color w:val="auto"/>
        </w:rPr>
        <w:t>Stock-based compensation expenses related to stock options, restricted stock units, Market Condition RSU’s and the ESPP for the years ended</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December 31, 2021 and 2020 was allocated as follows:</w:t>
      </w:r>
    </w:p>
    <w:p>
      <w:pPr>
        <w:sectPr>
          <w:pgSz w:w="11900" w:h="16838" w:orient="portrait"/>
          <w:cols w:equalWidth="0" w:num="1">
            <w:col w:w="11320"/>
          </w:cols>
          <w:pgMar w:left="320" w:top="125" w:right="259" w:bottom="1440" w:gutter="0" w:footer="0" w:header="0"/>
        </w:sectPr>
      </w:pPr>
    </w:p>
    <w:p>
      <w:pPr>
        <w:spacing w:after="0" w:line="200" w:lineRule="exact"/>
        <w:rPr>
          <w:sz w:val="20"/>
          <w:szCs w:val="20"/>
          <w:color w:val="auto"/>
        </w:rPr>
      </w:pPr>
    </w:p>
    <w:p>
      <w:pPr>
        <w:spacing w:after="0" w:line="254" w:lineRule="exact"/>
        <w:rPr>
          <w:sz w:val="20"/>
          <w:szCs w:val="20"/>
          <w:color w:val="auto"/>
        </w:rPr>
      </w:pPr>
    </w:p>
    <w:p>
      <w:pPr>
        <w:ind w:left="660"/>
        <w:spacing w:after="0"/>
        <w:rPr>
          <w:sz w:val="20"/>
          <w:szCs w:val="20"/>
          <w:color w:val="auto"/>
        </w:rPr>
      </w:pPr>
      <w:r>
        <w:rPr>
          <w:rFonts w:ascii="Arial" w:cs="Arial" w:eastAsia="Arial" w:hAnsi="Arial"/>
          <w:sz w:val="18"/>
          <w:szCs w:val="18"/>
          <w:color w:val="auto"/>
        </w:rPr>
        <w:t>(in thousands)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416560</wp:posOffset>
            </wp:positionH>
            <wp:positionV relativeFrom="paragraph">
              <wp:posOffset>14605</wp:posOffset>
            </wp:positionV>
            <wp:extent cx="6772275" cy="137160"/>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6772275" cy="137160"/>
                    </a:xfrm>
                    <a:prstGeom prst="rect">
                      <a:avLst/>
                    </a:prstGeom>
                    <a:noFill/>
                  </pic:spPr>
                </pic:pic>
              </a:graphicData>
            </a:graphic>
          </wp:anchor>
        </w:drawing>
      </w:r>
    </w:p>
    <w:p>
      <w:pPr>
        <w:spacing w:after="0" w:line="3" w:lineRule="exact"/>
        <w:rPr>
          <w:sz w:val="20"/>
          <w:szCs w:val="20"/>
          <w:color w:val="auto"/>
        </w:rPr>
      </w:pPr>
    </w:p>
    <w:p>
      <w:pPr>
        <w:ind w:left="660"/>
        <w:spacing w:after="0"/>
        <w:rPr>
          <w:sz w:val="20"/>
          <w:szCs w:val="20"/>
          <w:color w:val="auto"/>
        </w:rPr>
      </w:pPr>
      <w:r>
        <w:rPr>
          <w:rFonts w:ascii="Arial" w:cs="Arial" w:eastAsia="Arial" w:hAnsi="Arial"/>
          <w:sz w:val="18"/>
          <w:szCs w:val="18"/>
          <w:color w:val="auto"/>
        </w:rPr>
        <w:t>Cost of revenues</w:t>
      </w:r>
    </w:p>
    <w:p>
      <w:pPr>
        <w:spacing w:after="0" w:line="9" w:lineRule="exact"/>
        <w:rPr>
          <w:sz w:val="20"/>
          <w:szCs w:val="20"/>
          <w:color w:val="auto"/>
        </w:rPr>
      </w:pPr>
    </w:p>
    <w:p>
      <w:pPr>
        <w:ind w:left="660"/>
        <w:spacing w:after="0"/>
        <w:rPr>
          <w:sz w:val="20"/>
          <w:szCs w:val="20"/>
          <w:color w:val="auto"/>
        </w:rPr>
      </w:pPr>
      <w:r>
        <w:rPr>
          <w:rFonts w:ascii="Arial" w:cs="Arial" w:eastAsia="Arial" w:hAnsi="Arial"/>
          <w:sz w:val="18"/>
          <w:szCs w:val="18"/>
          <w:color w:val="auto"/>
        </w:rPr>
        <w:t>Sales and marketing expenses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416560</wp:posOffset>
            </wp:positionH>
            <wp:positionV relativeFrom="paragraph">
              <wp:posOffset>5715</wp:posOffset>
            </wp:positionV>
            <wp:extent cx="6772275" cy="137160"/>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6772275" cy="137160"/>
                    </a:xfrm>
                    <a:prstGeom prst="rect">
                      <a:avLst/>
                    </a:prstGeom>
                    <a:noFill/>
                  </pic:spPr>
                </pic:pic>
              </a:graphicData>
            </a:graphic>
          </wp:anchor>
        </w:drawing>
      </w:r>
    </w:p>
    <w:p>
      <w:pPr>
        <w:ind w:left="660"/>
        <w:spacing w:after="0"/>
        <w:rPr>
          <w:sz w:val="20"/>
          <w:szCs w:val="20"/>
          <w:color w:val="auto"/>
        </w:rPr>
      </w:pPr>
      <w:r>
        <w:rPr>
          <w:rFonts w:ascii="Arial" w:cs="Arial" w:eastAsia="Arial" w:hAnsi="Arial"/>
          <w:sz w:val="18"/>
          <w:szCs w:val="18"/>
          <w:color w:val="auto"/>
        </w:rPr>
        <w:t>General and administrative expenses</w:t>
      </w:r>
    </w:p>
    <w:p>
      <w:pPr>
        <w:spacing w:after="0" w:line="9" w:lineRule="exact"/>
        <w:rPr>
          <w:sz w:val="20"/>
          <w:szCs w:val="20"/>
          <w:color w:val="auto"/>
        </w:rPr>
      </w:pPr>
    </w:p>
    <w:p>
      <w:pPr>
        <w:ind w:left="660"/>
        <w:spacing w:after="0"/>
        <w:rPr>
          <w:sz w:val="20"/>
          <w:szCs w:val="20"/>
          <w:color w:val="auto"/>
        </w:rPr>
      </w:pPr>
      <w:r>
        <w:rPr>
          <w:rFonts w:ascii="Arial" w:cs="Arial" w:eastAsia="Arial" w:hAnsi="Arial"/>
          <w:sz w:val="18"/>
          <w:szCs w:val="18"/>
          <w:color w:val="auto"/>
        </w:rPr>
        <w:t>Research and development expenses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416560</wp:posOffset>
            </wp:positionH>
            <wp:positionV relativeFrom="paragraph">
              <wp:posOffset>14605</wp:posOffset>
            </wp:positionV>
            <wp:extent cx="6772275" cy="163195"/>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6772275" cy="163195"/>
                    </a:xfrm>
                    <a:prstGeom prst="rect">
                      <a:avLst/>
                    </a:prstGeom>
                    <a:noFill/>
                  </pic:spPr>
                </pic:pic>
              </a:graphicData>
            </a:graphic>
          </wp:anchor>
        </w:drawing>
      </w:r>
    </w:p>
    <w:p>
      <w:pPr>
        <w:spacing w:after="0" w:line="29"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Total stock-based compensation expenses</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6"/>
          <w:szCs w:val="16"/>
          <w:color w:val="auto"/>
        </w:rPr>
        <w:t>The Company did not capitalize any stock-based compensation.</w:t>
      </w:r>
    </w:p>
    <w:p>
      <w:pPr>
        <w:spacing w:after="0" w:line="20" w:lineRule="exact"/>
        <w:rPr>
          <w:sz w:val="20"/>
          <w:szCs w:val="20"/>
          <w:color w:val="auto"/>
        </w:rPr>
      </w:pPr>
      <w:r>
        <w:rPr>
          <w:sz w:val="20"/>
          <w:szCs w:val="20"/>
          <w:color w:val="auto"/>
        </w:rPr>
        <w:br w:type="column"/>
      </w:r>
    </w:p>
    <w:p>
      <w:pPr>
        <w:spacing w:after="0" w:line="187" w:lineRule="exact"/>
        <w:rPr>
          <w:sz w:val="20"/>
          <w:szCs w:val="20"/>
          <w:color w:val="auto"/>
        </w:rPr>
      </w:pPr>
    </w:p>
    <w:p>
      <w:pPr>
        <w:ind w:left="600"/>
        <w:spacing w:after="0"/>
        <w:rPr>
          <w:sz w:val="20"/>
          <w:szCs w:val="20"/>
          <w:color w:val="auto"/>
        </w:rPr>
      </w:pPr>
      <w:r>
        <w:rPr>
          <w:rFonts w:ascii="Arial" w:cs="Arial" w:eastAsia="Arial" w:hAnsi="Arial"/>
          <w:sz w:val="18"/>
          <w:szCs w:val="18"/>
          <w:b w:val="1"/>
          <w:bCs w:val="1"/>
          <w:color w:val="auto"/>
        </w:rPr>
        <w:t>Year Ended December 31,</w:t>
      </w:r>
    </w:p>
    <w:p>
      <w:pPr>
        <w:spacing w:after="0" w:line="27" w:lineRule="exact"/>
        <w:rPr>
          <w:sz w:val="20"/>
          <w:szCs w:val="20"/>
          <w:color w:val="auto"/>
        </w:rPr>
      </w:pPr>
    </w:p>
    <w:tbl>
      <w:tblPr>
        <w:tblLayout w:type="fixed"/>
        <w:tblInd w:w="0" w:type="dxa"/>
        <w:tblCellMar>
          <w:top w:w="0" w:type="dxa"/>
          <w:left w:w="0" w:type="dxa"/>
          <w:bottom w:w="0" w:type="dxa"/>
          <w:right w:w="0" w:type="dxa"/>
        </w:tblCellMar>
      </w:tblPr>
      <w:tr>
        <w:trPr>
          <w:trHeight w:val="210"/>
        </w:trPr>
        <w:tc>
          <w:tcPr>
            <w:tcW w:w="340" w:type="dxa"/>
            <w:vAlign w:val="bottom"/>
            <w:tcBorders>
              <w:top w:val="single" w:sz="8" w:color="auto"/>
              <w:bottom w:val="single" w:sz="8" w:color="auto"/>
            </w:tcBorders>
          </w:tcPr>
          <w:p>
            <w:pPr>
              <w:spacing w:after="0"/>
              <w:rPr>
                <w:sz w:val="18"/>
                <w:szCs w:val="18"/>
                <w:color w:val="auto"/>
              </w:rPr>
            </w:pPr>
          </w:p>
        </w:tc>
        <w:tc>
          <w:tcPr>
            <w:tcW w:w="1280" w:type="dxa"/>
            <w:vAlign w:val="bottom"/>
            <w:tcBorders>
              <w:top w:val="single" w:sz="8" w:color="auto"/>
              <w:bottom w:val="single" w:sz="8" w:color="auto"/>
            </w:tcBorders>
          </w:tcPr>
          <w:p>
            <w:pPr>
              <w:jc w:val="right"/>
              <w:ind w:right="590"/>
              <w:spacing w:after="0"/>
              <w:rPr>
                <w:sz w:val="20"/>
                <w:szCs w:val="20"/>
                <w:color w:val="auto"/>
              </w:rPr>
            </w:pPr>
            <w:r>
              <w:rPr>
                <w:rFonts w:ascii="Arial" w:cs="Arial" w:eastAsia="Arial" w:hAnsi="Arial"/>
                <w:sz w:val="18"/>
                <w:szCs w:val="18"/>
                <w:b w:val="1"/>
                <w:bCs w:val="1"/>
                <w:color w:val="auto"/>
              </w:rPr>
              <w:t>2021</w:t>
            </w:r>
          </w:p>
        </w:tc>
        <w:tc>
          <w:tcPr>
            <w:tcW w:w="100" w:type="dxa"/>
            <w:vAlign w:val="bottom"/>
            <w:tcBorders>
              <w:top w:val="single" w:sz="8" w:color="auto"/>
            </w:tcBorders>
          </w:tcPr>
          <w:p>
            <w:pPr>
              <w:spacing w:after="0"/>
              <w:rPr>
                <w:sz w:val="18"/>
                <w:szCs w:val="18"/>
                <w:color w:val="auto"/>
              </w:rPr>
            </w:pPr>
          </w:p>
        </w:tc>
        <w:tc>
          <w:tcPr>
            <w:tcW w:w="320" w:type="dxa"/>
            <w:vAlign w:val="bottom"/>
            <w:tcBorders>
              <w:top w:val="single" w:sz="8" w:color="auto"/>
              <w:bottom w:val="single" w:sz="8" w:color="auto"/>
            </w:tcBorders>
          </w:tcPr>
          <w:p>
            <w:pPr>
              <w:spacing w:after="0"/>
              <w:rPr>
                <w:sz w:val="18"/>
                <w:szCs w:val="18"/>
                <w:color w:val="auto"/>
              </w:rPr>
            </w:pPr>
          </w:p>
        </w:tc>
        <w:tc>
          <w:tcPr>
            <w:tcW w:w="1260" w:type="dxa"/>
            <w:vAlign w:val="bottom"/>
            <w:tcBorders>
              <w:top w:val="single" w:sz="8" w:color="auto"/>
              <w:bottom w:val="single" w:sz="8" w:color="auto"/>
            </w:tcBorders>
          </w:tcPr>
          <w:p>
            <w:pPr>
              <w:jc w:val="right"/>
              <w:ind w:right="570"/>
              <w:spacing w:after="0"/>
              <w:rPr>
                <w:sz w:val="20"/>
                <w:szCs w:val="20"/>
                <w:color w:val="auto"/>
              </w:rPr>
            </w:pPr>
            <w:r>
              <w:rPr>
                <w:rFonts w:ascii="Arial" w:cs="Arial" w:eastAsia="Arial" w:hAnsi="Arial"/>
                <w:sz w:val="18"/>
                <w:szCs w:val="18"/>
                <w:b w:val="1"/>
                <w:bCs w:val="1"/>
                <w:color w:val="auto"/>
              </w:rPr>
              <w:t>2020</w:t>
            </w:r>
          </w:p>
        </w:tc>
      </w:tr>
      <w:tr>
        <w:trPr>
          <w:trHeight w:val="195"/>
        </w:trPr>
        <w:tc>
          <w:tcPr>
            <w:tcW w:w="340" w:type="dxa"/>
            <w:vAlign w:val="bottom"/>
          </w:tcPr>
          <w:p>
            <w:pPr>
              <w:jc w:val="right"/>
              <w:ind w:right="150"/>
              <w:spacing w:after="0" w:line="195" w:lineRule="exact"/>
              <w:rPr>
                <w:sz w:val="20"/>
                <w:szCs w:val="20"/>
                <w:color w:val="auto"/>
              </w:rPr>
            </w:pPr>
            <w:r>
              <w:rPr>
                <w:rFonts w:ascii="Arial" w:cs="Arial" w:eastAsia="Arial" w:hAnsi="Arial"/>
                <w:sz w:val="18"/>
                <w:szCs w:val="18"/>
                <w:color w:val="auto"/>
                <w:w w:val="79"/>
              </w:rPr>
              <w:t>$</w:t>
            </w:r>
          </w:p>
        </w:tc>
        <w:tc>
          <w:tcPr>
            <w:tcW w:w="1280" w:type="dxa"/>
            <w:vAlign w:val="bottom"/>
          </w:tcPr>
          <w:p>
            <w:pPr>
              <w:jc w:val="right"/>
              <w:ind w:right="30"/>
              <w:spacing w:after="0" w:line="195" w:lineRule="exact"/>
              <w:rPr>
                <w:sz w:val="20"/>
                <w:szCs w:val="20"/>
                <w:color w:val="auto"/>
              </w:rPr>
            </w:pPr>
            <w:r>
              <w:rPr>
                <w:rFonts w:ascii="Arial" w:cs="Arial" w:eastAsia="Arial" w:hAnsi="Arial"/>
                <w:sz w:val="18"/>
                <w:szCs w:val="18"/>
                <w:color w:val="auto"/>
              </w:rPr>
              <w:t>118</w:t>
            </w:r>
          </w:p>
        </w:tc>
        <w:tc>
          <w:tcPr>
            <w:tcW w:w="100" w:type="dxa"/>
            <w:vAlign w:val="bottom"/>
          </w:tcPr>
          <w:p>
            <w:pPr>
              <w:spacing w:after="0"/>
              <w:rPr>
                <w:sz w:val="16"/>
                <w:szCs w:val="16"/>
                <w:color w:val="auto"/>
              </w:rPr>
            </w:pPr>
          </w:p>
        </w:tc>
        <w:tc>
          <w:tcPr>
            <w:tcW w:w="320" w:type="dxa"/>
            <w:vAlign w:val="bottom"/>
          </w:tcPr>
          <w:p>
            <w:pPr>
              <w:jc w:val="right"/>
              <w:ind w:right="130"/>
              <w:spacing w:after="0" w:line="195" w:lineRule="exact"/>
              <w:rPr>
                <w:sz w:val="20"/>
                <w:szCs w:val="20"/>
                <w:color w:val="auto"/>
              </w:rPr>
            </w:pPr>
            <w:r>
              <w:rPr>
                <w:rFonts w:ascii="Arial" w:cs="Arial" w:eastAsia="Arial" w:hAnsi="Arial"/>
                <w:sz w:val="18"/>
                <w:szCs w:val="18"/>
                <w:color w:val="auto"/>
                <w:w w:val="79"/>
              </w:rPr>
              <w:t>$</w:t>
            </w:r>
          </w:p>
        </w:tc>
        <w:tc>
          <w:tcPr>
            <w:tcW w:w="1260" w:type="dxa"/>
            <w:vAlign w:val="bottom"/>
          </w:tcPr>
          <w:p>
            <w:pPr>
              <w:jc w:val="right"/>
              <w:ind w:right="10"/>
              <w:spacing w:after="0" w:line="195" w:lineRule="exact"/>
              <w:rPr>
                <w:sz w:val="20"/>
                <w:szCs w:val="20"/>
                <w:color w:val="auto"/>
              </w:rPr>
            </w:pPr>
            <w:r>
              <w:rPr>
                <w:rFonts w:ascii="Arial" w:cs="Arial" w:eastAsia="Arial" w:hAnsi="Arial"/>
                <w:sz w:val="18"/>
                <w:szCs w:val="18"/>
                <w:color w:val="auto"/>
              </w:rPr>
              <w:t>65</w:t>
            </w:r>
          </w:p>
        </w:tc>
      </w:tr>
      <w:tr>
        <w:trPr>
          <w:trHeight w:val="216"/>
        </w:trPr>
        <w:tc>
          <w:tcPr>
            <w:tcW w:w="340" w:type="dxa"/>
            <w:vAlign w:val="bottom"/>
          </w:tcPr>
          <w:p>
            <w:pPr>
              <w:spacing w:after="0"/>
              <w:rPr>
                <w:sz w:val="18"/>
                <w:szCs w:val="18"/>
                <w:color w:val="auto"/>
              </w:rPr>
            </w:pPr>
          </w:p>
        </w:tc>
        <w:tc>
          <w:tcPr>
            <w:tcW w:w="1280" w:type="dxa"/>
            <w:vAlign w:val="bottom"/>
          </w:tcPr>
          <w:p>
            <w:pPr>
              <w:jc w:val="right"/>
              <w:ind w:right="30"/>
              <w:spacing w:after="0"/>
              <w:rPr>
                <w:sz w:val="20"/>
                <w:szCs w:val="20"/>
                <w:color w:val="auto"/>
              </w:rPr>
            </w:pPr>
            <w:r>
              <w:rPr>
                <w:rFonts w:ascii="Arial" w:cs="Arial" w:eastAsia="Arial" w:hAnsi="Arial"/>
                <w:sz w:val="18"/>
                <w:szCs w:val="18"/>
                <w:color w:val="auto"/>
              </w:rPr>
              <w:t>507</w:t>
            </w: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260" w:type="dxa"/>
            <w:vAlign w:val="bottom"/>
          </w:tcPr>
          <w:p>
            <w:pPr>
              <w:jc w:val="right"/>
              <w:ind w:right="10"/>
              <w:spacing w:after="0"/>
              <w:rPr>
                <w:sz w:val="20"/>
                <w:szCs w:val="20"/>
                <w:color w:val="auto"/>
              </w:rPr>
            </w:pPr>
            <w:r>
              <w:rPr>
                <w:rFonts w:ascii="Arial" w:cs="Arial" w:eastAsia="Arial" w:hAnsi="Arial"/>
                <w:sz w:val="18"/>
                <w:szCs w:val="18"/>
                <w:color w:val="auto"/>
              </w:rPr>
              <w:t>263</w:t>
            </w:r>
          </w:p>
        </w:tc>
      </w:tr>
      <w:tr>
        <w:trPr>
          <w:trHeight w:val="216"/>
        </w:trPr>
        <w:tc>
          <w:tcPr>
            <w:tcW w:w="340" w:type="dxa"/>
            <w:vAlign w:val="bottom"/>
          </w:tcPr>
          <w:p>
            <w:pPr>
              <w:spacing w:after="0"/>
              <w:rPr>
                <w:sz w:val="18"/>
                <w:szCs w:val="18"/>
                <w:color w:val="auto"/>
              </w:rPr>
            </w:pPr>
          </w:p>
        </w:tc>
        <w:tc>
          <w:tcPr>
            <w:tcW w:w="1280" w:type="dxa"/>
            <w:vAlign w:val="bottom"/>
          </w:tcPr>
          <w:p>
            <w:pPr>
              <w:jc w:val="right"/>
              <w:ind w:right="30"/>
              <w:spacing w:after="0"/>
              <w:rPr>
                <w:sz w:val="20"/>
                <w:szCs w:val="20"/>
                <w:color w:val="auto"/>
              </w:rPr>
            </w:pPr>
            <w:r>
              <w:rPr>
                <w:rFonts w:ascii="Arial" w:cs="Arial" w:eastAsia="Arial" w:hAnsi="Arial"/>
                <w:sz w:val="18"/>
                <w:szCs w:val="18"/>
                <w:color w:val="auto"/>
              </w:rPr>
              <w:t>3,416</w:t>
            </w: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260" w:type="dxa"/>
            <w:vAlign w:val="bottom"/>
          </w:tcPr>
          <w:p>
            <w:pPr>
              <w:jc w:val="right"/>
              <w:ind w:right="10"/>
              <w:spacing w:after="0"/>
              <w:rPr>
                <w:sz w:val="20"/>
                <w:szCs w:val="20"/>
                <w:color w:val="auto"/>
              </w:rPr>
            </w:pPr>
            <w:r>
              <w:rPr>
                <w:rFonts w:ascii="Arial" w:cs="Arial" w:eastAsia="Arial" w:hAnsi="Arial"/>
                <w:sz w:val="18"/>
                <w:szCs w:val="18"/>
                <w:color w:val="auto"/>
              </w:rPr>
              <w:t>3,122</w:t>
            </w:r>
          </w:p>
        </w:tc>
      </w:tr>
      <w:tr>
        <w:trPr>
          <w:trHeight w:val="230"/>
        </w:trPr>
        <w:tc>
          <w:tcPr>
            <w:tcW w:w="340" w:type="dxa"/>
            <w:vAlign w:val="bottom"/>
            <w:tcBorders>
              <w:bottom w:val="single" w:sz="8" w:color="auto"/>
            </w:tcBorders>
          </w:tcPr>
          <w:p>
            <w:pPr>
              <w:spacing w:after="0"/>
              <w:rPr>
                <w:sz w:val="20"/>
                <w:szCs w:val="20"/>
                <w:color w:val="auto"/>
              </w:rPr>
            </w:pPr>
          </w:p>
        </w:tc>
        <w:tc>
          <w:tcPr>
            <w:tcW w:w="128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128</w:t>
            </w:r>
          </w:p>
        </w:tc>
        <w:tc>
          <w:tcPr>
            <w:tcW w:w="100" w:type="dxa"/>
            <w:vAlign w:val="bottom"/>
          </w:tcPr>
          <w:p>
            <w:pPr>
              <w:spacing w:after="0"/>
              <w:rPr>
                <w:sz w:val="20"/>
                <w:szCs w:val="20"/>
                <w:color w:val="auto"/>
              </w:rPr>
            </w:pPr>
          </w:p>
        </w:tc>
        <w:tc>
          <w:tcPr>
            <w:tcW w:w="320" w:type="dxa"/>
            <w:vAlign w:val="bottom"/>
            <w:tcBorders>
              <w:bottom w:val="single" w:sz="8" w:color="auto"/>
            </w:tcBorders>
          </w:tcPr>
          <w:p>
            <w:pPr>
              <w:spacing w:after="0"/>
              <w:rPr>
                <w:sz w:val="20"/>
                <w:szCs w:val="20"/>
                <w:color w:val="auto"/>
              </w:rPr>
            </w:pPr>
          </w:p>
        </w:tc>
        <w:tc>
          <w:tcPr>
            <w:tcW w:w="126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197</w:t>
            </w:r>
          </w:p>
        </w:tc>
      </w:tr>
      <w:tr>
        <w:trPr>
          <w:trHeight w:val="209"/>
        </w:trPr>
        <w:tc>
          <w:tcPr>
            <w:tcW w:w="340" w:type="dxa"/>
            <w:vAlign w:val="bottom"/>
            <w:tcBorders>
              <w:bottom w:val="single" w:sz="8" w:color="auto"/>
            </w:tcBorders>
          </w:tcPr>
          <w:p>
            <w:pPr>
              <w:jc w:val="right"/>
              <w:ind w:right="150"/>
              <w:spacing w:after="0"/>
              <w:rPr>
                <w:sz w:val="20"/>
                <w:szCs w:val="20"/>
                <w:color w:val="auto"/>
              </w:rPr>
            </w:pPr>
            <w:r>
              <w:rPr>
                <w:rFonts w:ascii="Arial" w:cs="Arial" w:eastAsia="Arial" w:hAnsi="Arial"/>
                <w:sz w:val="18"/>
                <w:szCs w:val="18"/>
                <w:color w:val="auto"/>
                <w:w w:val="79"/>
              </w:rPr>
              <w:t>$</w:t>
            </w:r>
          </w:p>
        </w:tc>
        <w:tc>
          <w:tcPr>
            <w:tcW w:w="128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4,169</w:t>
            </w:r>
          </w:p>
        </w:tc>
        <w:tc>
          <w:tcPr>
            <w:tcW w:w="100" w:type="dxa"/>
            <w:vAlign w:val="bottom"/>
          </w:tcPr>
          <w:p>
            <w:pPr>
              <w:spacing w:after="0"/>
              <w:rPr>
                <w:sz w:val="18"/>
                <w:szCs w:val="18"/>
                <w:color w:val="auto"/>
              </w:rPr>
            </w:pPr>
          </w:p>
        </w:tc>
        <w:tc>
          <w:tcPr>
            <w:tcW w:w="320" w:type="dxa"/>
            <w:vAlign w:val="bottom"/>
            <w:tcBorders>
              <w:bottom w:val="single" w:sz="8" w:color="auto"/>
            </w:tcBorders>
          </w:tcPr>
          <w:p>
            <w:pPr>
              <w:jc w:val="right"/>
              <w:ind w:right="130"/>
              <w:spacing w:after="0"/>
              <w:rPr>
                <w:sz w:val="20"/>
                <w:szCs w:val="20"/>
                <w:color w:val="auto"/>
              </w:rPr>
            </w:pPr>
            <w:r>
              <w:rPr>
                <w:rFonts w:ascii="Arial" w:cs="Arial" w:eastAsia="Arial" w:hAnsi="Arial"/>
                <w:sz w:val="18"/>
                <w:szCs w:val="18"/>
                <w:color w:val="auto"/>
                <w:w w:val="79"/>
              </w:rPr>
              <w:t>$</w:t>
            </w:r>
          </w:p>
        </w:tc>
        <w:tc>
          <w:tcPr>
            <w:tcW w:w="126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3,647</w:t>
            </w:r>
          </w:p>
        </w:tc>
      </w:tr>
      <w:tr>
        <w:trPr>
          <w:trHeight w:val="20"/>
        </w:trPr>
        <w:tc>
          <w:tcPr>
            <w:tcW w:w="34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r>
    </w:tbl>
    <w:p>
      <w:pPr>
        <w:spacing w:after="0" w:line="585" w:lineRule="exact"/>
        <w:rPr>
          <w:sz w:val="20"/>
          <w:szCs w:val="20"/>
          <w:color w:val="auto"/>
        </w:rPr>
      </w:pPr>
    </w:p>
    <w:p>
      <w:pPr>
        <w:sectPr>
          <w:pgSz w:w="11900" w:h="16838" w:orient="portrait"/>
          <w:cols w:equalWidth="0" w:num="2">
            <w:col w:w="7300" w:space="720"/>
            <w:col w:w="3300"/>
          </w:cols>
          <w:pgMar w:left="320" w:top="125" w:right="259" w:bottom="1440" w:gutter="0" w:footer="0" w:header="0"/>
          <w:type w:val="continuous"/>
        </w:sectPr>
      </w:pPr>
    </w:p>
    <w:p>
      <w:pPr>
        <w:spacing w:after="0" w:line="48" w:lineRule="exact"/>
        <w:rPr>
          <w:sz w:val="20"/>
          <w:szCs w:val="20"/>
          <w:color w:val="auto"/>
        </w:rPr>
      </w:pPr>
    </w:p>
    <w:p>
      <w:pPr>
        <w:ind w:left="660"/>
        <w:spacing w:after="0"/>
        <w:rPr>
          <w:sz w:val="20"/>
          <w:szCs w:val="20"/>
          <w:color w:val="auto"/>
        </w:rPr>
      </w:pPr>
      <w:r>
        <w:rPr>
          <w:rFonts w:ascii="Arial" w:cs="Arial" w:eastAsia="Arial" w:hAnsi="Arial"/>
          <w:sz w:val="16"/>
          <w:szCs w:val="16"/>
          <w:color w:val="auto"/>
        </w:rPr>
        <w:t>The weighted-average estimated fair value per share of stock options granted during the year ended December 31, 2020 was $1.21, using the</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Black-Scholes option-pricing model with the following weighted-average assumptions:</w:t>
      </w:r>
    </w:p>
    <w:p>
      <w:pPr>
        <w:spacing w:after="0" w:line="207" w:lineRule="exact"/>
        <w:rPr>
          <w:sz w:val="20"/>
          <w:szCs w:val="20"/>
          <w:color w:val="auto"/>
        </w:rPr>
      </w:pPr>
    </w:p>
    <w:tbl>
      <w:tblPr>
        <w:tblLayout w:type="fixed"/>
        <w:tblInd w:w="660" w:type="dxa"/>
        <w:tblCellMar>
          <w:top w:w="0" w:type="dxa"/>
          <w:left w:w="0" w:type="dxa"/>
          <w:bottom w:w="0" w:type="dxa"/>
          <w:right w:w="0" w:type="dxa"/>
        </w:tblCellMar>
      </w:tblPr>
      <w:tr>
        <w:trPr>
          <w:trHeight w:val="234"/>
        </w:trPr>
        <w:tc>
          <w:tcPr>
            <w:tcW w:w="9020" w:type="dxa"/>
            <w:vAlign w:val="bottom"/>
          </w:tcPr>
          <w:p>
            <w:pPr>
              <w:spacing w:after="0"/>
              <w:rPr>
                <w:sz w:val="20"/>
                <w:szCs w:val="20"/>
                <w:color w:val="auto"/>
              </w:rPr>
            </w:pPr>
          </w:p>
        </w:tc>
        <w:tc>
          <w:tcPr>
            <w:tcW w:w="1640" w:type="dxa"/>
            <w:vAlign w:val="bottom"/>
            <w:tcBorders>
              <w:bottom w:val="single" w:sz="8" w:color="auto"/>
            </w:tcBorders>
          </w:tcPr>
          <w:p>
            <w:pPr>
              <w:jc w:val="right"/>
              <w:ind w:right="630"/>
              <w:spacing w:after="0"/>
              <w:rPr>
                <w:sz w:val="20"/>
                <w:szCs w:val="20"/>
                <w:color w:val="auto"/>
              </w:rPr>
            </w:pPr>
            <w:r>
              <w:rPr>
                <w:rFonts w:ascii="Arial" w:cs="Arial" w:eastAsia="Arial" w:hAnsi="Arial"/>
                <w:sz w:val="18"/>
                <w:szCs w:val="18"/>
                <w:b w:val="1"/>
                <w:bCs w:val="1"/>
                <w:color w:val="auto"/>
              </w:rPr>
              <w:t>2020</w:t>
            </w:r>
          </w:p>
        </w:tc>
      </w:tr>
      <w:tr>
        <w:trPr>
          <w:trHeight w:val="209"/>
        </w:trPr>
        <w:tc>
          <w:tcPr>
            <w:tcW w:w="9020" w:type="dxa"/>
            <w:vAlign w:val="bottom"/>
            <w:shd w:val="clear" w:color="auto" w:fill="CCEEFF"/>
          </w:tcPr>
          <w:p>
            <w:pPr>
              <w:spacing w:after="0"/>
              <w:rPr>
                <w:sz w:val="20"/>
                <w:szCs w:val="20"/>
                <w:color w:val="auto"/>
              </w:rPr>
            </w:pPr>
            <w:r>
              <w:rPr>
                <w:rFonts w:ascii="Arial" w:cs="Arial" w:eastAsia="Arial" w:hAnsi="Arial"/>
                <w:sz w:val="18"/>
                <w:szCs w:val="18"/>
                <w:color w:val="auto"/>
              </w:rPr>
              <w:t>Volatility</w:t>
            </w:r>
          </w:p>
        </w:tc>
        <w:tc>
          <w:tcPr>
            <w:tcW w:w="1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58.3%</w:t>
            </w:r>
          </w:p>
        </w:tc>
      </w:tr>
      <w:tr>
        <w:trPr>
          <w:trHeight w:val="216"/>
        </w:trPr>
        <w:tc>
          <w:tcPr>
            <w:tcW w:w="9020" w:type="dxa"/>
            <w:vAlign w:val="bottom"/>
          </w:tcPr>
          <w:p>
            <w:pPr>
              <w:spacing w:after="0"/>
              <w:rPr>
                <w:sz w:val="20"/>
                <w:szCs w:val="20"/>
                <w:color w:val="auto"/>
              </w:rPr>
            </w:pPr>
            <w:r>
              <w:rPr>
                <w:rFonts w:ascii="Arial" w:cs="Arial" w:eastAsia="Arial" w:hAnsi="Arial"/>
                <w:sz w:val="18"/>
                <w:szCs w:val="18"/>
                <w:color w:val="auto"/>
              </w:rPr>
              <w:t>Risk-free interest rate</w:t>
            </w:r>
          </w:p>
        </w:tc>
        <w:tc>
          <w:tcPr>
            <w:tcW w:w="1640" w:type="dxa"/>
            <w:vAlign w:val="bottom"/>
          </w:tcPr>
          <w:p>
            <w:pPr>
              <w:jc w:val="right"/>
              <w:spacing w:after="0"/>
              <w:rPr>
                <w:sz w:val="20"/>
                <w:szCs w:val="20"/>
                <w:color w:val="auto"/>
              </w:rPr>
            </w:pPr>
            <w:r>
              <w:rPr>
                <w:rFonts w:ascii="Arial" w:cs="Arial" w:eastAsia="Arial" w:hAnsi="Arial"/>
                <w:sz w:val="18"/>
                <w:szCs w:val="18"/>
                <w:color w:val="auto"/>
              </w:rPr>
              <w:t>0.3%</w:t>
            </w:r>
          </w:p>
        </w:tc>
      </w:tr>
      <w:tr>
        <w:trPr>
          <w:trHeight w:val="216"/>
        </w:trPr>
        <w:tc>
          <w:tcPr>
            <w:tcW w:w="9020" w:type="dxa"/>
            <w:vAlign w:val="bottom"/>
            <w:shd w:val="clear" w:color="auto" w:fill="CCEEFF"/>
          </w:tcPr>
          <w:p>
            <w:pPr>
              <w:spacing w:after="0"/>
              <w:rPr>
                <w:sz w:val="20"/>
                <w:szCs w:val="20"/>
                <w:color w:val="auto"/>
              </w:rPr>
            </w:pPr>
            <w:r>
              <w:rPr>
                <w:rFonts w:ascii="Arial" w:cs="Arial" w:eastAsia="Arial" w:hAnsi="Arial"/>
                <w:sz w:val="18"/>
                <w:szCs w:val="18"/>
                <w:color w:val="auto"/>
              </w:rPr>
              <w:t>Expected holding period (in years)</w:t>
            </w:r>
          </w:p>
        </w:tc>
        <w:tc>
          <w:tcPr>
            <w:tcW w:w="164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rPr>
              <w:t>4.4</w:t>
            </w:r>
          </w:p>
        </w:tc>
      </w:tr>
      <w:tr>
        <w:trPr>
          <w:trHeight w:val="230"/>
        </w:trPr>
        <w:tc>
          <w:tcPr>
            <w:tcW w:w="9020" w:type="dxa"/>
            <w:vAlign w:val="bottom"/>
          </w:tcPr>
          <w:p>
            <w:pPr>
              <w:spacing w:after="0"/>
              <w:rPr>
                <w:sz w:val="20"/>
                <w:szCs w:val="20"/>
                <w:color w:val="auto"/>
              </w:rPr>
            </w:pPr>
            <w:r>
              <w:rPr>
                <w:rFonts w:ascii="Arial" w:cs="Arial" w:eastAsia="Arial" w:hAnsi="Arial"/>
                <w:sz w:val="18"/>
                <w:szCs w:val="18"/>
                <w:color w:val="auto"/>
              </w:rPr>
              <w:t>Dividend Yield</w:t>
            </w:r>
          </w:p>
        </w:tc>
        <w:tc>
          <w:tcPr>
            <w:tcW w:w="1640" w:type="dxa"/>
            <w:vAlign w:val="bottom"/>
          </w:tcPr>
          <w:p>
            <w:pPr>
              <w:jc w:val="right"/>
              <w:spacing w:after="0"/>
              <w:rPr>
                <w:sz w:val="20"/>
                <w:szCs w:val="20"/>
                <w:color w:val="auto"/>
              </w:rPr>
            </w:pPr>
            <w:r>
              <w:rPr>
                <w:rFonts w:ascii="Arial" w:cs="Arial" w:eastAsia="Arial" w:hAnsi="Arial"/>
                <w:sz w:val="18"/>
                <w:szCs w:val="18"/>
                <w:color w:val="auto"/>
              </w:rPr>
              <w:t>-%</w:t>
            </w:r>
          </w:p>
        </w:tc>
      </w:tr>
    </w:tbl>
    <w:p>
      <w:pPr>
        <w:spacing w:after="0" w:line="187" w:lineRule="exact"/>
        <w:rPr>
          <w:sz w:val="20"/>
          <w:szCs w:val="20"/>
          <w:color w:val="auto"/>
        </w:rPr>
      </w:pPr>
    </w:p>
    <w:p>
      <w:pPr>
        <w:jc w:val="both"/>
        <w:ind w:right="80" w:firstLine="648"/>
        <w:spacing w:after="0" w:line="308" w:lineRule="auto"/>
        <w:rPr>
          <w:sz w:val="20"/>
          <w:szCs w:val="20"/>
          <w:color w:val="auto"/>
        </w:rPr>
      </w:pPr>
      <w:r>
        <w:rPr>
          <w:rFonts w:ascii="Arial" w:cs="Arial" w:eastAsia="Arial" w:hAnsi="Arial"/>
          <w:sz w:val="17"/>
          <w:szCs w:val="17"/>
          <w:color w:val="auto"/>
        </w:rPr>
        <w:t>The weighted average estimated fair value per share of the Market Condition RSUs granted during the year ended December 31, 2021 and 2020 was $4.61 and $2.98, respectively, using a Monte-Carlo valuation simulation, with the following weighted-average assumptions:</w:t>
      </w:r>
    </w:p>
    <w:p>
      <w:pPr>
        <w:spacing w:after="0" w:line="142" w:lineRule="exact"/>
        <w:rPr>
          <w:sz w:val="20"/>
          <w:szCs w:val="20"/>
          <w:color w:val="auto"/>
        </w:rPr>
      </w:pPr>
    </w:p>
    <w:tbl>
      <w:tblPr>
        <w:tblLayout w:type="fixed"/>
        <w:tblInd w:w="660" w:type="dxa"/>
        <w:tblCellMar>
          <w:top w:w="0" w:type="dxa"/>
          <w:left w:w="0" w:type="dxa"/>
          <w:bottom w:w="0" w:type="dxa"/>
          <w:right w:w="0" w:type="dxa"/>
        </w:tblCellMar>
      </w:tblPr>
      <w:tr>
        <w:trPr>
          <w:trHeight w:val="234"/>
        </w:trPr>
        <w:tc>
          <w:tcPr>
            <w:tcW w:w="7300" w:type="dxa"/>
            <w:vAlign w:val="bottom"/>
          </w:tcPr>
          <w:p>
            <w:pPr>
              <w:spacing w:after="0"/>
              <w:rPr>
                <w:sz w:val="20"/>
                <w:szCs w:val="20"/>
                <w:color w:val="auto"/>
              </w:rPr>
            </w:pPr>
          </w:p>
        </w:tc>
        <w:tc>
          <w:tcPr>
            <w:tcW w:w="104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b w:val="1"/>
                <w:bCs w:val="1"/>
                <w:color w:val="auto"/>
              </w:rPr>
              <w:t>2021</w:t>
            </w:r>
          </w:p>
        </w:tc>
        <w:tc>
          <w:tcPr>
            <w:tcW w:w="600" w:type="dxa"/>
            <w:vAlign w:val="bottom"/>
            <w:tcBorders>
              <w:bottom w:val="single" w:sz="8" w:color="auto"/>
            </w:tcBorders>
          </w:tcPr>
          <w:p>
            <w:pPr>
              <w:spacing w:after="0"/>
              <w:rPr>
                <w:sz w:val="20"/>
                <w:szCs w:val="20"/>
                <w:color w:val="auto"/>
              </w:rPr>
            </w:pPr>
          </w:p>
        </w:tc>
        <w:tc>
          <w:tcPr>
            <w:tcW w:w="80" w:type="dxa"/>
            <w:vAlign w:val="bottom"/>
          </w:tcPr>
          <w:p>
            <w:pPr>
              <w:spacing w:after="0"/>
              <w:rPr>
                <w:sz w:val="20"/>
                <w:szCs w:val="20"/>
                <w:color w:val="auto"/>
              </w:rPr>
            </w:pPr>
          </w:p>
        </w:tc>
        <w:tc>
          <w:tcPr>
            <w:tcW w:w="1640" w:type="dxa"/>
            <w:vAlign w:val="bottom"/>
            <w:tcBorders>
              <w:bottom w:val="single" w:sz="8" w:color="auto"/>
            </w:tcBorders>
          </w:tcPr>
          <w:p>
            <w:pPr>
              <w:jc w:val="right"/>
              <w:ind w:right="630"/>
              <w:spacing w:after="0"/>
              <w:rPr>
                <w:sz w:val="20"/>
                <w:szCs w:val="20"/>
                <w:color w:val="auto"/>
              </w:rPr>
            </w:pPr>
            <w:r>
              <w:rPr>
                <w:rFonts w:ascii="Arial" w:cs="Arial" w:eastAsia="Arial" w:hAnsi="Arial"/>
                <w:sz w:val="18"/>
                <w:szCs w:val="18"/>
                <w:b w:val="1"/>
                <w:bCs w:val="1"/>
                <w:color w:val="auto"/>
              </w:rPr>
              <w:t>2020</w:t>
            </w:r>
          </w:p>
        </w:tc>
      </w:tr>
      <w:tr>
        <w:trPr>
          <w:trHeight w:val="210"/>
        </w:trPr>
        <w:tc>
          <w:tcPr>
            <w:tcW w:w="83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Volatility</w:t>
            </w: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65.1%</w:t>
            </w:r>
          </w:p>
        </w:tc>
        <w:tc>
          <w:tcPr>
            <w:tcW w:w="17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80.6%</w:t>
            </w:r>
          </w:p>
        </w:tc>
      </w:tr>
      <w:tr>
        <w:trPr>
          <w:trHeight w:val="216"/>
        </w:trPr>
        <w:tc>
          <w:tcPr>
            <w:tcW w:w="8340" w:type="dxa"/>
            <w:vAlign w:val="bottom"/>
            <w:gridSpan w:val="2"/>
          </w:tcPr>
          <w:p>
            <w:pPr>
              <w:spacing w:after="0"/>
              <w:rPr>
                <w:sz w:val="20"/>
                <w:szCs w:val="20"/>
                <w:color w:val="auto"/>
              </w:rPr>
            </w:pPr>
            <w:r>
              <w:rPr>
                <w:rFonts w:ascii="Arial" w:cs="Arial" w:eastAsia="Arial" w:hAnsi="Arial"/>
                <w:sz w:val="18"/>
                <w:szCs w:val="18"/>
                <w:color w:val="auto"/>
              </w:rPr>
              <w:t>Risk-free interest rate</w:t>
            </w:r>
          </w:p>
        </w:tc>
        <w:tc>
          <w:tcPr>
            <w:tcW w:w="600" w:type="dxa"/>
            <w:vAlign w:val="bottom"/>
          </w:tcPr>
          <w:p>
            <w:pPr>
              <w:jc w:val="right"/>
              <w:spacing w:after="0"/>
              <w:rPr>
                <w:sz w:val="20"/>
                <w:szCs w:val="20"/>
                <w:color w:val="auto"/>
              </w:rPr>
            </w:pPr>
            <w:r>
              <w:rPr>
                <w:rFonts w:ascii="Arial" w:cs="Arial" w:eastAsia="Arial" w:hAnsi="Arial"/>
                <w:sz w:val="18"/>
                <w:szCs w:val="18"/>
                <w:color w:val="auto"/>
              </w:rPr>
              <w:t>0.3%</w:t>
            </w:r>
          </w:p>
        </w:tc>
        <w:tc>
          <w:tcPr>
            <w:tcW w:w="1720" w:type="dxa"/>
            <w:vAlign w:val="bottom"/>
            <w:gridSpan w:val="2"/>
          </w:tcPr>
          <w:p>
            <w:pPr>
              <w:jc w:val="right"/>
              <w:spacing w:after="0"/>
              <w:rPr>
                <w:sz w:val="20"/>
                <w:szCs w:val="20"/>
                <w:color w:val="auto"/>
              </w:rPr>
            </w:pPr>
            <w:r>
              <w:rPr>
                <w:rFonts w:ascii="Arial" w:cs="Arial" w:eastAsia="Arial" w:hAnsi="Arial"/>
                <w:sz w:val="18"/>
                <w:szCs w:val="18"/>
                <w:color w:val="auto"/>
              </w:rPr>
              <w:t>0.2%</w:t>
            </w:r>
          </w:p>
        </w:tc>
      </w:tr>
      <w:tr>
        <w:trPr>
          <w:trHeight w:val="216"/>
        </w:trPr>
        <w:tc>
          <w:tcPr>
            <w:tcW w:w="83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Correlation coefficient</w:t>
            </w: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35.7%</w:t>
            </w:r>
          </w:p>
        </w:tc>
        <w:tc>
          <w:tcPr>
            <w:tcW w:w="17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31.5%</w:t>
            </w:r>
          </w:p>
        </w:tc>
      </w:tr>
      <w:tr>
        <w:trPr>
          <w:trHeight w:val="230"/>
        </w:trPr>
        <w:tc>
          <w:tcPr>
            <w:tcW w:w="8340" w:type="dxa"/>
            <w:vAlign w:val="bottom"/>
            <w:gridSpan w:val="2"/>
          </w:tcPr>
          <w:p>
            <w:pPr>
              <w:spacing w:after="0"/>
              <w:rPr>
                <w:sz w:val="20"/>
                <w:szCs w:val="20"/>
                <w:color w:val="auto"/>
              </w:rPr>
            </w:pPr>
            <w:r>
              <w:rPr>
                <w:rFonts w:ascii="Arial" w:cs="Arial" w:eastAsia="Arial" w:hAnsi="Arial"/>
                <w:sz w:val="18"/>
                <w:szCs w:val="18"/>
                <w:color w:val="auto"/>
              </w:rPr>
              <w:t>Dividend yield</w:t>
            </w:r>
          </w:p>
        </w:tc>
        <w:tc>
          <w:tcPr>
            <w:tcW w:w="600" w:type="dxa"/>
            <w:vAlign w:val="bottom"/>
          </w:tcPr>
          <w:p>
            <w:pPr>
              <w:jc w:val="right"/>
              <w:spacing w:after="0"/>
              <w:rPr>
                <w:sz w:val="20"/>
                <w:szCs w:val="20"/>
                <w:color w:val="auto"/>
              </w:rPr>
            </w:pPr>
            <w:r>
              <w:rPr>
                <w:rFonts w:ascii="Arial" w:cs="Arial" w:eastAsia="Arial" w:hAnsi="Arial"/>
                <w:sz w:val="18"/>
                <w:szCs w:val="18"/>
                <w:color w:val="auto"/>
              </w:rPr>
              <w:t>-%</w:t>
            </w:r>
          </w:p>
        </w:tc>
        <w:tc>
          <w:tcPr>
            <w:tcW w:w="1720" w:type="dxa"/>
            <w:vAlign w:val="bottom"/>
            <w:gridSpan w:val="2"/>
          </w:tcPr>
          <w:p>
            <w:pPr>
              <w:jc w:val="right"/>
              <w:spacing w:after="0"/>
              <w:rPr>
                <w:sz w:val="20"/>
                <w:szCs w:val="20"/>
                <w:color w:val="auto"/>
              </w:rPr>
            </w:pPr>
            <w:r>
              <w:rPr>
                <w:rFonts w:ascii="Arial" w:cs="Arial" w:eastAsia="Arial" w:hAnsi="Arial"/>
                <w:sz w:val="18"/>
                <w:szCs w:val="18"/>
                <w:color w:val="auto"/>
              </w:rPr>
              <w:t>-%</w:t>
            </w:r>
          </w:p>
        </w:tc>
      </w:tr>
    </w:tbl>
    <w:p>
      <w:pPr>
        <w:spacing w:after="0" w:line="187" w:lineRule="exact"/>
        <w:rPr>
          <w:sz w:val="20"/>
          <w:szCs w:val="20"/>
          <w:color w:val="auto"/>
        </w:rPr>
      </w:pPr>
    </w:p>
    <w:p>
      <w:pPr>
        <w:jc w:val="both"/>
        <w:ind w:right="80" w:firstLine="648"/>
        <w:spacing w:after="0" w:line="301" w:lineRule="auto"/>
        <w:rPr>
          <w:sz w:val="20"/>
          <w:szCs w:val="20"/>
          <w:color w:val="auto"/>
        </w:rPr>
      </w:pPr>
      <w:r>
        <w:rPr>
          <w:rFonts w:ascii="Arial" w:cs="Arial" w:eastAsia="Arial" w:hAnsi="Arial"/>
          <w:sz w:val="16"/>
          <w:szCs w:val="16"/>
          <w:color w:val="auto"/>
        </w:rPr>
        <w:t>The Company used historical volatility to calculate the expected volatility. Historical volatility was determined by calculating the mean reversion of the daily adjusted closing stock price. The risk-free interest rate assumption is based upon observed U.S. Treasury bill interest rates (risk-free) appropriate for the term of the Company’s stock options. The expected holding period of stock options represents the period of time options are expected to be outstanding and were based on historical experience. The vesting period ranges from one to four years and the contractual life is ten years.</w:t>
      </w:r>
    </w:p>
    <w:p>
      <w:pPr>
        <w:spacing w:after="0" w:line="200" w:lineRule="exact"/>
        <w:rPr>
          <w:sz w:val="20"/>
          <w:szCs w:val="20"/>
          <w:color w:val="auto"/>
        </w:rPr>
      </w:pPr>
    </w:p>
    <w:p>
      <w:pPr>
        <w:spacing w:after="0" w:line="200" w:lineRule="exact"/>
        <w:rPr>
          <w:sz w:val="20"/>
          <w:szCs w:val="20"/>
          <w:color w:val="auto"/>
        </w:rPr>
      </w:pPr>
    </w:p>
    <w:p>
      <w:pPr>
        <w:spacing w:after="0" w:line="398" w:lineRule="exact"/>
        <w:rPr>
          <w:sz w:val="20"/>
          <w:szCs w:val="20"/>
          <w:color w:val="auto"/>
        </w:rPr>
      </w:pPr>
    </w:p>
    <w:p>
      <w:pPr>
        <w:jc w:val="center"/>
        <w:ind w:right="80"/>
        <w:spacing w:after="0"/>
        <w:rPr>
          <w:sz w:val="20"/>
          <w:szCs w:val="20"/>
          <w:color w:val="auto"/>
        </w:rPr>
      </w:pPr>
      <w:r>
        <w:rPr>
          <w:rFonts w:ascii="Arial" w:cs="Arial" w:eastAsia="Arial" w:hAnsi="Arial"/>
          <w:sz w:val="22"/>
          <w:szCs w:val="22"/>
          <w:color w:val="auto"/>
        </w:rPr>
        <w:t>F- 23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75565</wp:posOffset>
            </wp:positionV>
            <wp:extent cx="7132320" cy="17145"/>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320"/>
          </w:cols>
          <w:pgMar w:left="320" w:top="125" w:right="259" w:bottom="1440" w:gutter="0" w:footer="0" w:header="0"/>
          <w:type w:val="continuous"/>
        </w:sectPr>
      </w:pPr>
    </w:p>
    <w:bookmarkStart w:id="52" w:name="page53"/>
    <w:bookmarkEnd w:id="52"/>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64" w:lineRule="exact"/>
        <w:rPr>
          <w:sz w:val="20"/>
          <w:szCs w:val="20"/>
          <w:color w:val="auto"/>
        </w:rPr>
      </w:pPr>
    </w:p>
    <w:p>
      <w:pPr>
        <w:ind w:left="1300" w:hanging="644"/>
        <w:spacing w:after="0"/>
        <w:tabs>
          <w:tab w:leader="none" w:pos="1300" w:val="left"/>
        </w:tabs>
        <w:numPr>
          <w:ilvl w:val="0"/>
          <w:numId w:val="24"/>
        </w:numPr>
        <w:rPr>
          <w:rFonts w:ascii="Arial" w:cs="Arial" w:eastAsia="Arial" w:hAnsi="Arial"/>
          <w:sz w:val="18"/>
          <w:szCs w:val="18"/>
          <w:b w:val="1"/>
          <w:bCs w:val="1"/>
          <w:color w:val="auto"/>
        </w:rPr>
      </w:pPr>
      <w:r>
        <w:rPr>
          <w:rFonts w:ascii="Arial" w:cs="Arial" w:eastAsia="Arial" w:hAnsi="Arial"/>
          <w:sz w:val="18"/>
          <w:szCs w:val="18"/>
          <w:b w:val="1"/>
          <w:bCs w:val="1"/>
          <w:color w:val="auto"/>
        </w:rPr>
        <w:t>Long Term Debt</w:t>
      </w:r>
    </w:p>
    <w:p>
      <w:pPr>
        <w:spacing w:after="0" w:line="256" w:lineRule="exact"/>
        <w:rPr>
          <w:sz w:val="20"/>
          <w:szCs w:val="20"/>
          <w:color w:val="auto"/>
        </w:rPr>
      </w:pPr>
    </w:p>
    <w:p>
      <w:pPr>
        <w:ind w:left="660"/>
        <w:spacing w:after="0"/>
        <w:rPr>
          <w:sz w:val="20"/>
          <w:szCs w:val="20"/>
          <w:color w:val="auto"/>
        </w:rPr>
      </w:pPr>
      <w:r>
        <w:rPr>
          <w:rFonts w:ascii="Arial" w:cs="Arial" w:eastAsia="Arial" w:hAnsi="Arial"/>
          <w:sz w:val="18"/>
          <w:szCs w:val="18"/>
          <w:color w:val="auto"/>
        </w:rPr>
        <w:t>As of December 31, 2021 and December 31, 2020, the Company’s borrowings were comprised of the following:</w:t>
      </w:r>
    </w:p>
    <w:p>
      <w:pPr>
        <w:spacing w:after="0" w:line="221" w:lineRule="exact"/>
        <w:rPr>
          <w:sz w:val="20"/>
          <w:szCs w:val="20"/>
          <w:color w:val="auto"/>
        </w:rPr>
      </w:pPr>
    </w:p>
    <w:tbl>
      <w:tblPr>
        <w:tblLayout w:type="fixed"/>
        <w:tblInd w:w="660" w:type="dxa"/>
        <w:tblCellMar>
          <w:top w:w="0" w:type="dxa"/>
          <w:left w:w="0" w:type="dxa"/>
          <w:bottom w:w="0" w:type="dxa"/>
          <w:right w:w="0" w:type="dxa"/>
        </w:tblCellMar>
      </w:tblPr>
      <w:tr>
        <w:trPr>
          <w:trHeight w:val="234"/>
        </w:trPr>
        <w:tc>
          <w:tcPr>
            <w:tcW w:w="7360" w:type="dxa"/>
            <w:vAlign w:val="bottom"/>
          </w:tcPr>
          <w:p>
            <w:pPr>
              <w:spacing w:after="0"/>
              <w:rPr>
                <w:sz w:val="20"/>
                <w:szCs w:val="20"/>
                <w:color w:val="auto"/>
              </w:rPr>
            </w:pPr>
          </w:p>
        </w:tc>
        <w:tc>
          <w:tcPr>
            <w:tcW w:w="340" w:type="dxa"/>
            <w:vAlign w:val="bottom"/>
            <w:tcBorders>
              <w:bottom w:val="single" w:sz="8" w:color="auto"/>
            </w:tcBorders>
          </w:tcPr>
          <w:p>
            <w:pPr>
              <w:spacing w:after="0"/>
              <w:rPr>
                <w:sz w:val="20"/>
                <w:szCs w:val="20"/>
                <w:color w:val="auto"/>
              </w:rPr>
            </w:pPr>
          </w:p>
        </w:tc>
        <w:tc>
          <w:tcPr>
            <w:tcW w:w="1860" w:type="dxa"/>
            <w:vAlign w:val="bottom"/>
            <w:tcBorders>
              <w:bottom w:val="single" w:sz="8" w:color="auto"/>
            </w:tcBorders>
            <w:gridSpan w:val="4"/>
          </w:tcPr>
          <w:p>
            <w:pPr>
              <w:jc w:val="right"/>
              <w:ind w:right="60"/>
              <w:spacing w:after="0"/>
              <w:rPr>
                <w:sz w:val="20"/>
                <w:szCs w:val="20"/>
                <w:color w:val="auto"/>
              </w:rPr>
            </w:pPr>
            <w:r>
              <w:rPr>
                <w:rFonts w:ascii="Arial" w:cs="Arial" w:eastAsia="Arial" w:hAnsi="Arial"/>
                <w:sz w:val="18"/>
                <w:szCs w:val="18"/>
                <w:b w:val="1"/>
                <w:bCs w:val="1"/>
                <w:color w:val="auto"/>
              </w:rPr>
              <w:t>December 31,</w:t>
            </w:r>
          </w:p>
        </w:tc>
        <w:tc>
          <w:tcPr>
            <w:tcW w:w="1100" w:type="dxa"/>
            <w:vAlign w:val="bottom"/>
            <w:tcBorders>
              <w:bottom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209"/>
        </w:trPr>
        <w:tc>
          <w:tcPr>
            <w:tcW w:w="7360" w:type="dxa"/>
            <w:vAlign w:val="bottom"/>
          </w:tcPr>
          <w:p>
            <w:pPr>
              <w:spacing w:after="0"/>
              <w:rPr>
                <w:sz w:val="20"/>
                <w:szCs w:val="20"/>
                <w:color w:val="auto"/>
              </w:rPr>
            </w:pPr>
            <w:r>
              <w:rPr>
                <w:rFonts w:ascii="Arial" w:cs="Arial" w:eastAsia="Arial" w:hAnsi="Arial"/>
                <w:sz w:val="18"/>
                <w:szCs w:val="18"/>
                <w:color w:val="auto"/>
              </w:rPr>
              <w:t>(in thousands)</w:t>
            </w:r>
          </w:p>
        </w:tc>
        <w:tc>
          <w:tcPr>
            <w:tcW w:w="340" w:type="dxa"/>
            <w:vAlign w:val="bottom"/>
            <w:tcBorders>
              <w:bottom w:val="single" w:sz="8" w:color="auto"/>
            </w:tcBorders>
          </w:tcPr>
          <w:p>
            <w:pPr>
              <w:spacing w:after="0"/>
              <w:rPr>
                <w:sz w:val="18"/>
                <w:szCs w:val="18"/>
                <w:color w:val="auto"/>
              </w:rPr>
            </w:pPr>
          </w:p>
        </w:tc>
        <w:tc>
          <w:tcPr>
            <w:tcW w:w="1280" w:type="dxa"/>
            <w:vAlign w:val="bottom"/>
            <w:tcBorders>
              <w:bottom w:val="single" w:sz="8" w:color="auto"/>
            </w:tcBorders>
          </w:tcPr>
          <w:p>
            <w:pPr>
              <w:jc w:val="right"/>
              <w:ind w:right="590"/>
              <w:spacing w:after="0"/>
              <w:rPr>
                <w:sz w:val="20"/>
                <w:szCs w:val="20"/>
                <w:color w:val="auto"/>
              </w:rPr>
            </w:pPr>
            <w:r>
              <w:rPr>
                <w:rFonts w:ascii="Arial" w:cs="Arial" w:eastAsia="Arial" w:hAnsi="Arial"/>
                <w:sz w:val="18"/>
                <w:szCs w:val="18"/>
                <w:b w:val="1"/>
                <w:bCs w:val="1"/>
                <w:color w:val="auto"/>
              </w:rPr>
              <w:t>2021</w:t>
            </w: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480" w:type="dxa"/>
            <w:vAlign w:val="bottom"/>
            <w:tcBorders>
              <w:bottom w:val="single" w:sz="8" w:color="auto"/>
            </w:tcBorders>
          </w:tcPr>
          <w:p>
            <w:pPr>
              <w:spacing w:after="0"/>
              <w:rPr>
                <w:sz w:val="18"/>
                <w:szCs w:val="18"/>
                <w:color w:val="auto"/>
              </w:rPr>
            </w:pPr>
          </w:p>
        </w:tc>
        <w:tc>
          <w:tcPr>
            <w:tcW w:w="1100" w:type="dxa"/>
            <w:vAlign w:val="bottom"/>
            <w:tcBorders>
              <w:bottom w:val="single" w:sz="8" w:color="auto"/>
            </w:tcBorders>
          </w:tcPr>
          <w:p>
            <w:pPr>
              <w:jc w:val="right"/>
              <w:ind w:right="570"/>
              <w:spacing w:after="0"/>
              <w:rPr>
                <w:sz w:val="20"/>
                <w:szCs w:val="20"/>
                <w:color w:val="auto"/>
              </w:rPr>
            </w:pPr>
            <w:r>
              <w:rPr>
                <w:rFonts w:ascii="Arial" w:cs="Arial" w:eastAsia="Arial" w:hAnsi="Arial"/>
                <w:sz w:val="18"/>
                <w:szCs w:val="18"/>
                <w:b w:val="1"/>
                <w:bCs w:val="1"/>
                <w:color w:val="auto"/>
              </w:rPr>
              <w:t>2020</w:t>
            </w:r>
          </w:p>
        </w:tc>
        <w:tc>
          <w:tcPr>
            <w:tcW w:w="0" w:type="dxa"/>
            <w:vAlign w:val="bottom"/>
          </w:tcPr>
          <w:p>
            <w:pPr>
              <w:spacing w:after="0"/>
              <w:rPr>
                <w:sz w:val="1"/>
                <w:szCs w:val="1"/>
                <w:color w:val="auto"/>
              </w:rPr>
            </w:pPr>
          </w:p>
        </w:tc>
      </w:tr>
      <w:tr>
        <w:trPr>
          <w:trHeight w:val="210"/>
        </w:trPr>
        <w:tc>
          <w:tcPr>
            <w:tcW w:w="7360" w:type="dxa"/>
            <w:vAlign w:val="bottom"/>
            <w:shd w:val="clear" w:color="auto" w:fill="CCEEFF"/>
          </w:tcPr>
          <w:p>
            <w:pPr>
              <w:spacing w:after="0"/>
              <w:rPr>
                <w:sz w:val="20"/>
                <w:szCs w:val="20"/>
                <w:color w:val="auto"/>
              </w:rPr>
            </w:pPr>
            <w:r>
              <w:rPr>
                <w:rFonts w:ascii="Arial" w:cs="Arial" w:eastAsia="Arial" w:hAnsi="Arial"/>
                <w:sz w:val="18"/>
                <w:szCs w:val="18"/>
                <w:color w:val="auto"/>
              </w:rPr>
              <w:t>Long-term debt:</w:t>
            </w:r>
          </w:p>
        </w:tc>
        <w:tc>
          <w:tcPr>
            <w:tcW w:w="340" w:type="dxa"/>
            <w:vAlign w:val="bottom"/>
            <w:shd w:val="clear" w:color="auto" w:fill="CCEEFF"/>
          </w:tcPr>
          <w:p>
            <w:pPr>
              <w:spacing w:after="0"/>
              <w:rPr>
                <w:sz w:val="18"/>
                <w:szCs w:val="18"/>
                <w:color w:val="auto"/>
              </w:rPr>
            </w:pPr>
          </w:p>
        </w:tc>
        <w:tc>
          <w:tcPr>
            <w:tcW w:w="12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360" w:type="dxa"/>
            <w:vAlign w:val="bottom"/>
          </w:tcPr>
          <w:p>
            <w:pPr>
              <w:ind w:left="160"/>
              <w:spacing w:after="0"/>
              <w:rPr>
                <w:sz w:val="20"/>
                <w:szCs w:val="20"/>
                <w:color w:val="auto"/>
              </w:rPr>
            </w:pPr>
            <w:r>
              <w:rPr>
                <w:rFonts w:ascii="Arial" w:cs="Arial" w:eastAsia="Arial" w:hAnsi="Arial"/>
                <w:sz w:val="18"/>
                <w:szCs w:val="18"/>
                <w:color w:val="auto"/>
              </w:rPr>
              <w:t>Term loan</w:t>
            </w:r>
          </w:p>
        </w:tc>
        <w:tc>
          <w:tcPr>
            <w:tcW w:w="340" w:type="dxa"/>
            <w:vAlign w:val="bottom"/>
          </w:tcPr>
          <w:p>
            <w:pPr>
              <w:jc w:val="right"/>
              <w:ind w:right="150"/>
              <w:spacing w:after="0"/>
              <w:rPr>
                <w:sz w:val="20"/>
                <w:szCs w:val="20"/>
                <w:color w:val="auto"/>
              </w:rPr>
            </w:pPr>
            <w:r>
              <w:rPr>
                <w:rFonts w:ascii="Arial" w:cs="Arial" w:eastAsia="Arial" w:hAnsi="Arial"/>
                <w:sz w:val="18"/>
                <w:szCs w:val="18"/>
                <w:color w:val="auto"/>
                <w:w w:val="79"/>
              </w:rPr>
              <w:t>$</w:t>
            </w:r>
          </w:p>
        </w:tc>
        <w:tc>
          <w:tcPr>
            <w:tcW w:w="1280" w:type="dxa"/>
            <w:vAlign w:val="bottom"/>
          </w:tcPr>
          <w:p>
            <w:pPr>
              <w:jc w:val="right"/>
              <w:ind w:right="30"/>
              <w:spacing w:after="0"/>
              <w:rPr>
                <w:sz w:val="20"/>
                <w:szCs w:val="20"/>
                <w:color w:val="auto"/>
              </w:rPr>
            </w:pPr>
            <w:r>
              <w:rPr>
                <w:rFonts w:ascii="Arial" w:cs="Arial" w:eastAsia="Arial" w:hAnsi="Arial"/>
                <w:sz w:val="18"/>
                <w:szCs w:val="18"/>
                <w:color w:val="auto"/>
              </w:rPr>
              <w:t>38,000</w:t>
            </w:r>
          </w:p>
        </w:tc>
        <w:tc>
          <w:tcPr>
            <w:tcW w:w="580" w:type="dxa"/>
            <w:vAlign w:val="bottom"/>
            <w:gridSpan w:val="3"/>
          </w:tcPr>
          <w:p>
            <w:pPr>
              <w:jc w:val="right"/>
              <w:ind w:right="380"/>
              <w:spacing w:after="0"/>
              <w:rPr>
                <w:sz w:val="20"/>
                <w:szCs w:val="20"/>
                <w:color w:val="auto"/>
              </w:rPr>
            </w:pPr>
            <w:r>
              <w:rPr>
                <w:rFonts w:ascii="Arial" w:cs="Arial" w:eastAsia="Arial" w:hAnsi="Arial"/>
                <w:sz w:val="18"/>
                <w:szCs w:val="18"/>
                <w:color w:val="auto"/>
              </w:rPr>
              <w:t>$</w:t>
            </w:r>
          </w:p>
        </w:tc>
        <w:tc>
          <w:tcPr>
            <w:tcW w:w="1100" w:type="dxa"/>
            <w:vAlign w:val="bottom"/>
          </w:tcPr>
          <w:p>
            <w:pPr>
              <w:jc w:val="right"/>
              <w:ind w:right="10"/>
              <w:spacing w:after="0"/>
              <w:rPr>
                <w:sz w:val="20"/>
                <w:szCs w:val="20"/>
                <w:color w:val="auto"/>
              </w:rPr>
            </w:pPr>
            <w:r>
              <w:rPr>
                <w:rFonts w:ascii="Arial" w:cs="Arial" w:eastAsia="Arial" w:hAnsi="Arial"/>
                <w:sz w:val="18"/>
                <w:szCs w:val="18"/>
                <w:color w:val="auto"/>
              </w:rPr>
              <w:t>40,000</w:t>
            </w:r>
          </w:p>
        </w:tc>
        <w:tc>
          <w:tcPr>
            <w:tcW w:w="0" w:type="dxa"/>
            <w:vAlign w:val="bottom"/>
          </w:tcPr>
          <w:p>
            <w:pPr>
              <w:spacing w:after="0"/>
              <w:rPr>
                <w:sz w:val="1"/>
                <w:szCs w:val="1"/>
                <w:color w:val="auto"/>
              </w:rPr>
            </w:pPr>
          </w:p>
        </w:tc>
      </w:tr>
      <w:tr>
        <w:trPr>
          <w:trHeight w:val="216"/>
        </w:trPr>
        <w:tc>
          <w:tcPr>
            <w:tcW w:w="7360" w:type="dxa"/>
            <w:vAlign w:val="bottom"/>
            <w:shd w:val="clear" w:color="auto" w:fill="CCEEFF"/>
          </w:tcPr>
          <w:p>
            <w:pPr>
              <w:ind w:left="160"/>
              <w:spacing w:after="0"/>
              <w:rPr>
                <w:sz w:val="20"/>
                <w:szCs w:val="20"/>
                <w:color w:val="auto"/>
              </w:rPr>
            </w:pPr>
            <w:r>
              <w:rPr>
                <w:rFonts w:ascii="Arial" w:cs="Arial" w:eastAsia="Arial" w:hAnsi="Arial"/>
                <w:sz w:val="18"/>
                <w:szCs w:val="18"/>
                <w:color w:val="auto"/>
              </w:rPr>
              <w:t>Revolving line</w:t>
            </w:r>
          </w:p>
        </w:tc>
        <w:tc>
          <w:tcPr>
            <w:tcW w:w="340" w:type="dxa"/>
            <w:vAlign w:val="bottom"/>
            <w:shd w:val="clear" w:color="auto" w:fill="CCEEFF"/>
          </w:tcPr>
          <w:p>
            <w:pPr>
              <w:spacing w:after="0"/>
              <w:rPr>
                <w:sz w:val="18"/>
                <w:szCs w:val="18"/>
                <w:color w:val="auto"/>
              </w:rPr>
            </w:pPr>
          </w:p>
        </w:tc>
        <w:tc>
          <w:tcPr>
            <w:tcW w:w="128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11,450</w:t>
            </w:r>
          </w:p>
        </w:tc>
        <w:tc>
          <w:tcPr>
            <w:tcW w:w="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110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9,400</w:t>
            </w:r>
          </w:p>
        </w:tc>
        <w:tc>
          <w:tcPr>
            <w:tcW w:w="0" w:type="dxa"/>
            <w:vAlign w:val="bottom"/>
          </w:tcPr>
          <w:p>
            <w:pPr>
              <w:spacing w:after="0"/>
              <w:rPr>
                <w:sz w:val="1"/>
                <w:szCs w:val="1"/>
                <w:color w:val="auto"/>
              </w:rPr>
            </w:pPr>
          </w:p>
        </w:tc>
      </w:tr>
      <w:tr>
        <w:trPr>
          <w:trHeight w:val="216"/>
        </w:trPr>
        <w:tc>
          <w:tcPr>
            <w:tcW w:w="7360" w:type="dxa"/>
            <w:vAlign w:val="bottom"/>
          </w:tcPr>
          <w:p>
            <w:pPr>
              <w:ind w:left="160"/>
              <w:spacing w:after="0"/>
              <w:rPr>
                <w:sz w:val="20"/>
                <w:szCs w:val="20"/>
                <w:color w:val="auto"/>
              </w:rPr>
            </w:pPr>
            <w:r>
              <w:rPr>
                <w:rFonts w:ascii="Arial" w:cs="Arial" w:eastAsia="Arial" w:hAnsi="Arial"/>
                <w:sz w:val="18"/>
                <w:szCs w:val="18"/>
                <w:color w:val="auto"/>
              </w:rPr>
              <w:t>Less unamortized deferred financing costs</w:t>
            </w:r>
          </w:p>
        </w:tc>
        <w:tc>
          <w:tcPr>
            <w:tcW w:w="340" w:type="dxa"/>
            <w:vAlign w:val="bottom"/>
            <w:tcBorders>
              <w:bottom w:val="single" w:sz="8" w:color="auto"/>
            </w:tcBorders>
          </w:tcPr>
          <w:p>
            <w:pPr>
              <w:spacing w:after="0"/>
              <w:rPr>
                <w:sz w:val="18"/>
                <w:szCs w:val="18"/>
                <w:color w:val="auto"/>
              </w:rPr>
            </w:pPr>
          </w:p>
        </w:tc>
        <w:tc>
          <w:tcPr>
            <w:tcW w:w="12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(1,120)</w:t>
            </w: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480" w:type="dxa"/>
            <w:vAlign w:val="bottom"/>
            <w:tcBorders>
              <w:bottom w:val="single" w:sz="8" w:color="auto"/>
            </w:tcBorders>
          </w:tcPr>
          <w:p>
            <w:pPr>
              <w:spacing w:after="0"/>
              <w:rPr>
                <w:sz w:val="18"/>
                <w:szCs w:val="18"/>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(1,393)</w:t>
            </w:r>
          </w:p>
        </w:tc>
        <w:tc>
          <w:tcPr>
            <w:tcW w:w="0" w:type="dxa"/>
            <w:vAlign w:val="bottom"/>
          </w:tcPr>
          <w:p>
            <w:pPr>
              <w:spacing w:after="0"/>
              <w:rPr>
                <w:sz w:val="1"/>
                <w:szCs w:val="1"/>
                <w:color w:val="auto"/>
              </w:rPr>
            </w:pPr>
          </w:p>
        </w:tc>
      </w:tr>
      <w:tr>
        <w:trPr>
          <w:trHeight w:val="209"/>
        </w:trPr>
        <w:tc>
          <w:tcPr>
            <w:tcW w:w="7360" w:type="dxa"/>
            <w:vAlign w:val="bottom"/>
            <w:shd w:val="clear" w:color="auto" w:fill="CCEEFF"/>
          </w:tcPr>
          <w:p>
            <w:pPr>
              <w:spacing w:after="0"/>
              <w:rPr>
                <w:sz w:val="20"/>
                <w:szCs w:val="20"/>
                <w:color w:val="auto"/>
              </w:rPr>
            </w:pPr>
            <w:r>
              <w:rPr>
                <w:rFonts w:ascii="Arial" w:cs="Arial" w:eastAsia="Arial" w:hAnsi="Arial"/>
                <w:sz w:val="18"/>
                <w:szCs w:val="18"/>
                <w:color w:val="auto"/>
              </w:rPr>
              <w:t>Total debt</w:t>
            </w:r>
          </w:p>
        </w:tc>
        <w:tc>
          <w:tcPr>
            <w:tcW w:w="340" w:type="dxa"/>
            <w:vAlign w:val="bottom"/>
            <w:shd w:val="clear" w:color="auto" w:fill="CCEEFF"/>
          </w:tcPr>
          <w:p>
            <w:pPr>
              <w:spacing w:after="0"/>
              <w:rPr>
                <w:sz w:val="18"/>
                <w:szCs w:val="18"/>
                <w:color w:val="auto"/>
              </w:rPr>
            </w:pPr>
          </w:p>
        </w:tc>
        <w:tc>
          <w:tcPr>
            <w:tcW w:w="128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48,330</w:t>
            </w:r>
          </w:p>
        </w:tc>
        <w:tc>
          <w:tcPr>
            <w:tcW w:w="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110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48,007</w:t>
            </w:r>
          </w:p>
        </w:tc>
        <w:tc>
          <w:tcPr>
            <w:tcW w:w="0" w:type="dxa"/>
            <w:vAlign w:val="bottom"/>
          </w:tcPr>
          <w:p>
            <w:pPr>
              <w:spacing w:after="0"/>
              <w:rPr>
                <w:sz w:val="1"/>
                <w:szCs w:val="1"/>
                <w:color w:val="auto"/>
              </w:rPr>
            </w:pPr>
          </w:p>
        </w:tc>
      </w:tr>
      <w:tr>
        <w:trPr>
          <w:trHeight w:val="216"/>
        </w:trPr>
        <w:tc>
          <w:tcPr>
            <w:tcW w:w="7360" w:type="dxa"/>
            <w:vAlign w:val="bottom"/>
          </w:tcPr>
          <w:p>
            <w:pPr>
              <w:ind w:left="160"/>
              <w:spacing w:after="0"/>
              <w:rPr>
                <w:sz w:val="20"/>
                <w:szCs w:val="20"/>
                <w:color w:val="auto"/>
              </w:rPr>
            </w:pPr>
            <w:r>
              <w:rPr>
                <w:rFonts w:ascii="Arial" w:cs="Arial" w:eastAsia="Arial" w:hAnsi="Arial"/>
                <w:sz w:val="18"/>
                <w:szCs w:val="18"/>
                <w:color w:val="auto"/>
              </w:rPr>
              <w:t>Current portion of long-term debt</w:t>
            </w:r>
          </w:p>
        </w:tc>
        <w:tc>
          <w:tcPr>
            <w:tcW w:w="340" w:type="dxa"/>
            <w:vAlign w:val="bottom"/>
          </w:tcPr>
          <w:p>
            <w:pPr>
              <w:spacing w:after="0"/>
              <w:rPr>
                <w:sz w:val="18"/>
                <w:szCs w:val="18"/>
                <w:color w:val="auto"/>
              </w:rPr>
            </w:pPr>
          </w:p>
        </w:tc>
        <w:tc>
          <w:tcPr>
            <w:tcW w:w="1280" w:type="dxa"/>
            <w:vAlign w:val="bottom"/>
          </w:tcPr>
          <w:p>
            <w:pPr>
              <w:jc w:val="right"/>
              <w:spacing w:after="0"/>
              <w:rPr>
                <w:sz w:val="20"/>
                <w:szCs w:val="20"/>
                <w:color w:val="auto"/>
              </w:rPr>
            </w:pPr>
            <w:r>
              <w:rPr>
                <w:rFonts w:ascii="Arial" w:cs="Arial" w:eastAsia="Arial" w:hAnsi="Arial"/>
                <w:sz w:val="18"/>
                <w:szCs w:val="18"/>
                <w:color w:val="auto"/>
              </w:rPr>
              <w:t>(3,515)</w:t>
            </w: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(2,000)</w:t>
            </w:r>
          </w:p>
        </w:tc>
        <w:tc>
          <w:tcPr>
            <w:tcW w:w="0" w:type="dxa"/>
            <w:vAlign w:val="bottom"/>
          </w:tcPr>
          <w:p>
            <w:pPr>
              <w:spacing w:after="0"/>
              <w:rPr>
                <w:sz w:val="1"/>
                <w:szCs w:val="1"/>
                <w:color w:val="auto"/>
              </w:rPr>
            </w:pPr>
          </w:p>
        </w:tc>
      </w:tr>
      <w:tr>
        <w:trPr>
          <w:trHeight w:val="216"/>
        </w:trPr>
        <w:tc>
          <w:tcPr>
            <w:tcW w:w="7360" w:type="dxa"/>
            <w:vAlign w:val="bottom"/>
            <w:tcBorders>
              <w:bottom w:val="single" w:sz="8" w:color="CCEEFF"/>
            </w:tcBorders>
            <w:shd w:val="clear" w:color="auto" w:fill="CCEEFF"/>
          </w:tcPr>
          <w:p>
            <w:pPr>
              <w:ind w:left="160"/>
              <w:spacing w:after="0"/>
              <w:rPr>
                <w:sz w:val="20"/>
                <w:szCs w:val="20"/>
                <w:color w:val="auto"/>
              </w:rPr>
            </w:pPr>
            <w:r>
              <w:rPr>
                <w:rFonts w:ascii="Arial" w:cs="Arial" w:eastAsia="Arial" w:hAnsi="Arial"/>
                <w:sz w:val="18"/>
                <w:szCs w:val="18"/>
                <w:color w:val="auto"/>
              </w:rPr>
              <w:t>Current unamortized deferred financing costs</w:t>
            </w:r>
          </w:p>
        </w:tc>
        <w:tc>
          <w:tcPr>
            <w:tcW w:w="340" w:type="dxa"/>
            <w:vAlign w:val="bottom"/>
            <w:tcBorders>
              <w:bottom w:val="single" w:sz="8" w:color="auto"/>
            </w:tcBorders>
            <w:shd w:val="clear" w:color="auto" w:fill="CCEEFF"/>
          </w:tcPr>
          <w:p>
            <w:pPr>
              <w:spacing w:after="0"/>
              <w:rPr>
                <w:sz w:val="18"/>
                <w:szCs w:val="18"/>
                <w:color w:val="auto"/>
              </w:rPr>
            </w:pPr>
          </w:p>
        </w:tc>
        <w:tc>
          <w:tcPr>
            <w:tcW w:w="128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rPr>
              <w:t>280</w:t>
            </w:r>
          </w:p>
        </w:tc>
        <w:tc>
          <w:tcPr>
            <w:tcW w:w="80" w:type="dxa"/>
            <w:vAlign w:val="bottom"/>
            <w:tcBorders>
              <w:bottom w:val="single" w:sz="8" w:color="CCEEFF"/>
            </w:tcBorders>
            <w:shd w:val="clear" w:color="auto" w:fill="CCEEFF"/>
          </w:tcPr>
          <w:p>
            <w:pPr>
              <w:spacing w:after="0"/>
              <w:rPr>
                <w:sz w:val="18"/>
                <w:szCs w:val="18"/>
                <w:color w:val="auto"/>
              </w:rPr>
            </w:pPr>
          </w:p>
        </w:tc>
        <w:tc>
          <w:tcPr>
            <w:tcW w:w="20" w:type="dxa"/>
            <w:vAlign w:val="bottom"/>
            <w:tcBorders>
              <w:bottom w:val="single" w:sz="8" w:color="CCEEFF"/>
            </w:tcBorders>
            <w:shd w:val="clear" w:color="auto" w:fill="CCEEFF"/>
          </w:tcPr>
          <w:p>
            <w:pPr>
              <w:spacing w:after="0"/>
              <w:rPr>
                <w:sz w:val="18"/>
                <w:szCs w:val="18"/>
                <w:color w:val="auto"/>
              </w:rPr>
            </w:pPr>
          </w:p>
        </w:tc>
        <w:tc>
          <w:tcPr>
            <w:tcW w:w="480" w:type="dxa"/>
            <w:vAlign w:val="bottom"/>
            <w:tcBorders>
              <w:bottom w:val="single" w:sz="8" w:color="auto"/>
            </w:tcBorders>
            <w:shd w:val="clear" w:color="auto" w:fill="CCEEFF"/>
          </w:tcPr>
          <w:p>
            <w:pPr>
              <w:spacing w:after="0"/>
              <w:rPr>
                <w:sz w:val="18"/>
                <w:szCs w:val="18"/>
                <w:color w:val="auto"/>
              </w:rPr>
            </w:pPr>
          </w:p>
        </w:tc>
        <w:tc>
          <w:tcPr>
            <w:tcW w:w="110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279</w:t>
            </w:r>
          </w:p>
        </w:tc>
        <w:tc>
          <w:tcPr>
            <w:tcW w:w="0" w:type="dxa"/>
            <w:vAlign w:val="bottom"/>
          </w:tcPr>
          <w:p>
            <w:pPr>
              <w:spacing w:after="0"/>
              <w:rPr>
                <w:sz w:val="1"/>
                <w:szCs w:val="1"/>
                <w:color w:val="auto"/>
              </w:rPr>
            </w:pPr>
          </w:p>
        </w:tc>
      </w:tr>
      <w:tr>
        <w:trPr>
          <w:trHeight w:val="209"/>
        </w:trPr>
        <w:tc>
          <w:tcPr>
            <w:tcW w:w="7360" w:type="dxa"/>
            <w:vAlign w:val="bottom"/>
          </w:tcPr>
          <w:p>
            <w:pPr>
              <w:spacing w:after="0"/>
              <w:rPr>
                <w:sz w:val="20"/>
                <w:szCs w:val="20"/>
                <w:color w:val="auto"/>
              </w:rPr>
            </w:pPr>
            <w:r>
              <w:rPr>
                <w:rFonts w:ascii="Arial" w:cs="Arial" w:eastAsia="Arial" w:hAnsi="Arial"/>
                <w:sz w:val="18"/>
                <w:szCs w:val="18"/>
                <w:color w:val="auto"/>
              </w:rPr>
              <w:t>Long-term debt</w:t>
            </w:r>
          </w:p>
        </w:tc>
        <w:tc>
          <w:tcPr>
            <w:tcW w:w="340" w:type="dxa"/>
            <w:vAlign w:val="bottom"/>
          </w:tcPr>
          <w:p>
            <w:pPr>
              <w:jc w:val="right"/>
              <w:ind w:right="150"/>
              <w:spacing w:after="0"/>
              <w:rPr>
                <w:sz w:val="20"/>
                <w:szCs w:val="20"/>
                <w:color w:val="auto"/>
              </w:rPr>
            </w:pPr>
            <w:r>
              <w:rPr>
                <w:rFonts w:ascii="Arial" w:cs="Arial" w:eastAsia="Arial" w:hAnsi="Arial"/>
                <w:sz w:val="18"/>
                <w:szCs w:val="18"/>
                <w:color w:val="auto"/>
                <w:w w:val="79"/>
              </w:rPr>
              <w:t>$</w:t>
            </w:r>
          </w:p>
        </w:tc>
        <w:tc>
          <w:tcPr>
            <w:tcW w:w="1280" w:type="dxa"/>
            <w:vAlign w:val="bottom"/>
          </w:tcPr>
          <w:p>
            <w:pPr>
              <w:jc w:val="right"/>
              <w:ind w:right="30"/>
              <w:spacing w:after="0"/>
              <w:rPr>
                <w:sz w:val="20"/>
                <w:szCs w:val="20"/>
                <w:color w:val="auto"/>
              </w:rPr>
            </w:pPr>
            <w:r>
              <w:rPr>
                <w:rFonts w:ascii="Arial" w:cs="Arial" w:eastAsia="Arial" w:hAnsi="Arial"/>
                <w:sz w:val="18"/>
                <w:szCs w:val="18"/>
                <w:color w:val="auto"/>
              </w:rPr>
              <w:t>45,095</w:t>
            </w:r>
          </w:p>
        </w:tc>
        <w:tc>
          <w:tcPr>
            <w:tcW w:w="580" w:type="dxa"/>
            <w:vAlign w:val="bottom"/>
            <w:gridSpan w:val="3"/>
          </w:tcPr>
          <w:p>
            <w:pPr>
              <w:jc w:val="right"/>
              <w:ind w:right="380"/>
              <w:spacing w:after="0"/>
              <w:rPr>
                <w:sz w:val="20"/>
                <w:szCs w:val="20"/>
                <w:color w:val="auto"/>
              </w:rPr>
            </w:pPr>
            <w:r>
              <w:rPr>
                <w:rFonts w:ascii="Arial" w:cs="Arial" w:eastAsia="Arial" w:hAnsi="Arial"/>
                <w:sz w:val="18"/>
                <w:szCs w:val="18"/>
                <w:color w:val="auto"/>
              </w:rPr>
              <w:t>$</w:t>
            </w:r>
          </w:p>
        </w:tc>
        <w:tc>
          <w:tcPr>
            <w:tcW w:w="1100" w:type="dxa"/>
            <w:vAlign w:val="bottom"/>
          </w:tcPr>
          <w:p>
            <w:pPr>
              <w:jc w:val="right"/>
              <w:ind w:right="10"/>
              <w:spacing w:after="0"/>
              <w:rPr>
                <w:sz w:val="20"/>
                <w:szCs w:val="20"/>
                <w:color w:val="auto"/>
              </w:rPr>
            </w:pPr>
            <w:r>
              <w:rPr>
                <w:rFonts w:ascii="Arial" w:cs="Arial" w:eastAsia="Arial" w:hAnsi="Arial"/>
                <w:sz w:val="18"/>
                <w:szCs w:val="18"/>
                <w:color w:val="auto"/>
              </w:rPr>
              <w:t>46,286</w:t>
            </w:r>
          </w:p>
        </w:tc>
        <w:tc>
          <w:tcPr>
            <w:tcW w:w="0" w:type="dxa"/>
            <w:vAlign w:val="bottom"/>
          </w:tcPr>
          <w:p>
            <w:pPr>
              <w:spacing w:after="0"/>
              <w:rPr>
                <w:sz w:val="1"/>
                <w:szCs w:val="1"/>
                <w:color w:val="auto"/>
              </w:rPr>
            </w:pPr>
          </w:p>
        </w:tc>
      </w:tr>
      <w:tr>
        <w:trPr>
          <w:trHeight w:val="20"/>
        </w:trPr>
        <w:tc>
          <w:tcPr>
            <w:tcW w:w="7360" w:type="dxa"/>
            <w:vAlign w:val="bottom"/>
            <w:vMerge w:val="restart"/>
          </w:tcPr>
          <w:p>
            <w:pPr>
              <w:spacing w:after="0"/>
              <w:rPr>
                <w:sz w:val="20"/>
                <w:szCs w:val="20"/>
                <w:color w:val="auto"/>
              </w:rPr>
            </w:pPr>
            <w:r>
              <w:rPr>
                <w:rFonts w:ascii="Arial" w:cs="Arial" w:eastAsia="Arial" w:hAnsi="Arial"/>
                <w:sz w:val="18"/>
                <w:szCs w:val="18"/>
                <w:color w:val="auto"/>
              </w:rPr>
              <w:t>The aggregate amounts of debt maturing during the next five years are as follows:</w:t>
            </w:r>
          </w:p>
        </w:tc>
        <w:tc>
          <w:tcPr>
            <w:tcW w:w="340" w:type="dxa"/>
            <w:vAlign w:val="bottom"/>
            <w:tcBorders>
              <w:top w:val="single" w:sz="8" w:color="auto"/>
              <w:bottom w:val="single" w:sz="8" w:color="auto"/>
            </w:tcBorders>
          </w:tcPr>
          <w:p>
            <w:pPr>
              <w:spacing w:after="0" w:line="20" w:lineRule="exact"/>
              <w:rPr>
                <w:sz w:val="1"/>
                <w:szCs w:val="1"/>
                <w:color w:val="auto"/>
              </w:rPr>
            </w:pPr>
          </w:p>
        </w:tc>
        <w:tc>
          <w:tcPr>
            <w:tcW w:w="128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3"/>
        </w:trPr>
        <w:tc>
          <w:tcPr>
            <w:tcW w:w="7360" w:type="dxa"/>
            <w:vAlign w:val="bottom"/>
            <w:vMerge w:val="continue"/>
          </w:tcPr>
          <w:p>
            <w:pPr>
              <w:spacing w:after="0"/>
              <w:rPr>
                <w:sz w:val="24"/>
                <w:szCs w:val="24"/>
                <w:color w:val="auto"/>
              </w:rPr>
            </w:pPr>
          </w:p>
        </w:tc>
        <w:tc>
          <w:tcPr>
            <w:tcW w:w="34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32"/>
        </w:trPr>
        <w:tc>
          <w:tcPr>
            <w:tcW w:w="7360" w:type="dxa"/>
            <w:vAlign w:val="bottom"/>
          </w:tcPr>
          <w:p>
            <w:pPr>
              <w:spacing w:after="0"/>
              <w:rPr>
                <w:sz w:val="20"/>
                <w:szCs w:val="20"/>
                <w:color w:val="auto"/>
              </w:rPr>
            </w:pPr>
            <w:r>
              <w:rPr>
                <w:rFonts w:ascii="Arial" w:cs="Arial" w:eastAsia="Arial" w:hAnsi="Arial"/>
                <w:sz w:val="18"/>
                <w:szCs w:val="18"/>
                <w:color w:val="auto"/>
              </w:rPr>
              <w:t>(in thousands)</w:t>
            </w:r>
          </w:p>
        </w:tc>
        <w:tc>
          <w:tcPr>
            <w:tcW w:w="34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7360" w:type="dxa"/>
            <w:vAlign w:val="bottom"/>
            <w:shd w:val="clear" w:color="auto" w:fill="CCEEFF"/>
          </w:tcPr>
          <w:p>
            <w:pPr>
              <w:spacing w:after="0"/>
              <w:rPr>
                <w:sz w:val="20"/>
                <w:szCs w:val="20"/>
                <w:color w:val="auto"/>
              </w:rPr>
            </w:pPr>
            <w:r>
              <w:rPr>
                <w:rFonts w:ascii="Arial" w:cs="Arial" w:eastAsia="Arial" w:hAnsi="Arial"/>
                <w:sz w:val="18"/>
                <w:szCs w:val="18"/>
                <w:color w:val="auto"/>
              </w:rPr>
              <w:t>2022</w:t>
            </w:r>
          </w:p>
        </w:tc>
        <w:tc>
          <w:tcPr>
            <w:tcW w:w="340" w:type="dxa"/>
            <w:vAlign w:val="bottom"/>
            <w:shd w:val="clear" w:color="auto" w:fill="CCEEFF"/>
          </w:tcPr>
          <w:p>
            <w:pPr>
              <w:spacing w:after="0"/>
              <w:rPr>
                <w:sz w:val="18"/>
                <w:szCs w:val="18"/>
                <w:color w:val="auto"/>
              </w:rPr>
            </w:pPr>
          </w:p>
        </w:tc>
        <w:tc>
          <w:tcPr>
            <w:tcW w:w="1280" w:type="dxa"/>
            <w:vAlign w:val="bottom"/>
            <w:shd w:val="clear" w:color="auto" w:fill="CCEEFF"/>
          </w:tcPr>
          <w:p>
            <w:pPr>
              <w:spacing w:after="0"/>
              <w:rPr>
                <w:sz w:val="18"/>
                <w:szCs w:val="18"/>
                <w:color w:val="auto"/>
              </w:rPr>
            </w:pPr>
          </w:p>
        </w:tc>
        <w:tc>
          <w:tcPr>
            <w:tcW w:w="580" w:type="dxa"/>
            <w:vAlign w:val="bottom"/>
            <w:gridSpan w:val="3"/>
            <w:shd w:val="clear" w:color="auto" w:fill="CCEEFF"/>
          </w:tcPr>
          <w:p>
            <w:pPr>
              <w:jc w:val="right"/>
              <w:ind w:right="400"/>
              <w:spacing w:after="0"/>
              <w:rPr>
                <w:sz w:val="20"/>
                <w:szCs w:val="20"/>
                <w:color w:val="auto"/>
              </w:rPr>
            </w:pPr>
            <w:r>
              <w:rPr>
                <w:rFonts w:ascii="Arial" w:cs="Arial" w:eastAsia="Arial" w:hAnsi="Arial"/>
                <w:sz w:val="18"/>
                <w:szCs w:val="18"/>
                <w:color w:val="auto"/>
              </w:rPr>
              <w:t>$</w:t>
            </w:r>
          </w:p>
        </w:tc>
        <w:tc>
          <w:tcPr>
            <w:tcW w:w="110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3,515</w:t>
            </w:r>
          </w:p>
        </w:tc>
        <w:tc>
          <w:tcPr>
            <w:tcW w:w="0" w:type="dxa"/>
            <w:vAlign w:val="bottom"/>
          </w:tcPr>
          <w:p>
            <w:pPr>
              <w:spacing w:after="0"/>
              <w:rPr>
                <w:sz w:val="1"/>
                <w:szCs w:val="1"/>
                <w:color w:val="auto"/>
              </w:rPr>
            </w:pPr>
          </w:p>
        </w:tc>
      </w:tr>
      <w:tr>
        <w:trPr>
          <w:trHeight w:val="216"/>
        </w:trPr>
        <w:tc>
          <w:tcPr>
            <w:tcW w:w="7360" w:type="dxa"/>
            <w:vAlign w:val="bottom"/>
          </w:tcPr>
          <w:p>
            <w:pPr>
              <w:spacing w:after="0"/>
              <w:rPr>
                <w:sz w:val="20"/>
                <w:szCs w:val="20"/>
                <w:color w:val="auto"/>
              </w:rPr>
            </w:pPr>
            <w:r>
              <w:rPr>
                <w:rFonts w:ascii="Arial" w:cs="Arial" w:eastAsia="Arial" w:hAnsi="Arial"/>
                <w:sz w:val="18"/>
                <w:szCs w:val="18"/>
                <w:color w:val="auto"/>
              </w:rPr>
              <w:t>2023</w:t>
            </w:r>
          </w:p>
        </w:tc>
        <w:tc>
          <w:tcPr>
            <w:tcW w:w="340" w:type="dxa"/>
            <w:vAlign w:val="bottom"/>
          </w:tcPr>
          <w:p>
            <w:pPr>
              <w:spacing w:after="0"/>
              <w:rPr>
                <w:sz w:val="18"/>
                <w:szCs w:val="18"/>
                <w:color w:val="auto"/>
              </w:rPr>
            </w:pPr>
          </w:p>
        </w:tc>
        <w:tc>
          <w:tcPr>
            <w:tcW w:w="12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1100" w:type="dxa"/>
            <w:vAlign w:val="bottom"/>
          </w:tcPr>
          <w:p>
            <w:pPr>
              <w:jc w:val="right"/>
              <w:ind w:right="10"/>
              <w:spacing w:after="0"/>
              <w:rPr>
                <w:sz w:val="20"/>
                <w:szCs w:val="20"/>
                <w:color w:val="auto"/>
              </w:rPr>
            </w:pPr>
            <w:r>
              <w:rPr>
                <w:rFonts w:ascii="Arial" w:cs="Arial" w:eastAsia="Arial" w:hAnsi="Arial"/>
                <w:sz w:val="18"/>
                <w:szCs w:val="18"/>
                <w:color w:val="auto"/>
              </w:rPr>
              <w:t>3,000</w:t>
            </w:r>
          </w:p>
        </w:tc>
        <w:tc>
          <w:tcPr>
            <w:tcW w:w="0" w:type="dxa"/>
            <w:vAlign w:val="bottom"/>
          </w:tcPr>
          <w:p>
            <w:pPr>
              <w:spacing w:after="0"/>
              <w:rPr>
                <w:sz w:val="1"/>
                <w:szCs w:val="1"/>
                <w:color w:val="auto"/>
              </w:rPr>
            </w:pPr>
          </w:p>
        </w:tc>
      </w:tr>
      <w:tr>
        <w:trPr>
          <w:trHeight w:val="216"/>
        </w:trPr>
        <w:tc>
          <w:tcPr>
            <w:tcW w:w="7360" w:type="dxa"/>
            <w:vAlign w:val="bottom"/>
            <w:shd w:val="clear" w:color="auto" w:fill="CCEEFF"/>
          </w:tcPr>
          <w:p>
            <w:pPr>
              <w:spacing w:after="0"/>
              <w:rPr>
                <w:sz w:val="20"/>
                <w:szCs w:val="20"/>
                <w:color w:val="auto"/>
              </w:rPr>
            </w:pPr>
            <w:r>
              <w:rPr>
                <w:rFonts w:ascii="Arial" w:cs="Arial" w:eastAsia="Arial" w:hAnsi="Arial"/>
                <w:sz w:val="18"/>
                <w:szCs w:val="18"/>
                <w:color w:val="auto"/>
              </w:rPr>
              <w:t>2024</w:t>
            </w:r>
          </w:p>
        </w:tc>
        <w:tc>
          <w:tcPr>
            <w:tcW w:w="340" w:type="dxa"/>
            <w:vAlign w:val="bottom"/>
            <w:shd w:val="clear" w:color="auto" w:fill="CCEEFF"/>
          </w:tcPr>
          <w:p>
            <w:pPr>
              <w:spacing w:after="0"/>
              <w:rPr>
                <w:sz w:val="18"/>
                <w:szCs w:val="18"/>
                <w:color w:val="auto"/>
              </w:rPr>
            </w:pPr>
          </w:p>
        </w:tc>
        <w:tc>
          <w:tcPr>
            <w:tcW w:w="12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110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4,000</w:t>
            </w:r>
          </w:p>
        </w:tc>
        <w:tc>
          <w:tcPr>
            <w:tcW w:w="0" w:type="dxa"/>
            <w:vAlign w:val="bottom"/>
          </w:tcPr>
          <w:p>
            <w:pPr>
              <w:spacing w:after="0"/>
              <w:rPr>
                <w:sz w:val="1"/>
                <w:szCs w:val="1"/>
                <w:color w:val="auto"/>
              </w:rPr>
            </w:pPr>
          </w:p>
        </w:tc>
      </w:tr>
      <w:tr>
        <w:trPr>
          <w:trHeight w:val="216"/>
        </w:trPr>
        <w:tc>
          <w:tcPr>
            <w:tcW w:w="7360" w:type="dxa"/>
            <w:vAlign w:val="bottom"/>
          </w:tcPr>
          <w:p>
            <w:pPr>
              <w:spacing w:after="0"/>
              <w:rPr>
                <w:sz w:val="20"/>
                <w:szCs w:val="20"/>
                <w:color w:val="auto"/>
              </w:rPr>
            </w:pPr>
            <w:r>
              <w:rPr>
                <w:rFonts w:ascii="Arial" w:cs="Arial" w:eastAsia="Arial" w:hAnsi="Arial"/>
                <w:sz w:val="18"/>
                <w:szCs w:val="18"/>
                <w:color w:val="auto"/>
              </w:rPr>
              <w:t>2025</w:t>
            </w:r>
          </w:p>
        </w:tc>
        <w:tc>
          <w:tcPr>
            <w:tcW w:w="340" w:type="dxa"/>
            <w:vAlign w:val="bottom"/>
          </w:tcPr>
          <w:p>
            <w:pPr>
              <w:spacing w:after="0"/>
              <w:rPr>
                <w:sz w:val="18"/>
                <w:szCs w:val="18"/>
                <w:color w:val="auto"/>
              </w:rPr>
            </w:pPr>
          </w:p>
        </w:tc>
        <w:tc>
          <w:tcPr>
            <w:tcW w:w="12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 w:type="dxa"/>
            <w:vAlign w:val="bottom"/>
            <w:tcBorders>
              <w:bottom w:val="single" w:sz="8" w:color="auto"/>
            </w:tcBorders>
          </w:tcPr>
          <w:p>
            <w:pPr>
              <w:spacing w:after="0"/>
              <w:rPr>
                <w:sz w:val="18"/>
                <w:szCs w:val="18"/>
                <w:color w:val="auto"/>
              </w:rPr>
            </w:pPr>
          </w:p>
        </w:tc>
        <w:tc>
          <w:tcPr>
            <w:tcW w:w="480" w:type="dxa"/>
            <w:vAlign w:val="bottom"/>
            <w:tcBorders>
              <w:bottom w:val="single" w:sz="8" w:color="auto"/>
            </w:tcBorders>
          </w:tcPr>
          <w:p>
            <w:pPr>
              <w:spacing w:after="0"/>
              <w:rPr>
                <w:sz w:val="18"/>
                <w:szCs w:val="18"/>
                <w:color w:val="auto"/>
              </w:rPr>
            </w:pPr>
          </w:p>
        </w:tc>
        <w:tc>
          <w:tcPr>
            <w:tcW w:w="110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38,935</w:t>
            </w:r>
          </w:p>
        </w:tc>
        <w:tc>
          <w:tcPr>
            <w:tcW w:w="0" w:type="dxa"/>
            <w:vAlign w:val="bottom"/>
          </w:tcPr>
          <w:p>
            <w:pPr>
              <w:spacing w:after="0"/>
              <w:rPr>
                <w:sz w:val="1"/>
                <w:szCs w:val="1"/>
                <w:color w:val="auto"/>
              </w:rPr>
            </w:pPr>
          </w:p>
        </w:tc>
      </w:tr>
      <w:tr>
        <w:trPr>
          <w:trHeight w:val="250"/>
        </w:trPr>
        <w:tc>
          <w:tcPr>
            <w:tcW w:w="736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500" w:type="dxa"/>
            <w:vAlign w:val="bottom"/>
            <w:tcBorders>
              <w:bottom w:val="single" w:sz="8" w:color="auto"/>
            </w:tcBorders>
            <w:gridSpan w:val="2"/>
            <w:shd w:val="clear" w:color="auto" w:fill="CCEEFF"/>
          </w:tcPr>
          <w:p>
            <w:pPr>
              <w:jc w:val="right"/>
              <w:ind w:right="400"/>
              <w:spacing w:after="0"/>
              <w:rPr>
                <w:sz w:val="20"/>
                <w:szCs w:val="20"/>
                <w:color w:val="auto"/>
              </w:rPr>
            </w:pPr>
            <w:r>
              <w:rPr>
                <w:rFonts w:ascii="Arial" w:cs="Arial" w:eastAsia="Arial" w:hAnsi="Arial"/>
                <w:sz w:val="18"/>
                <w:szCs w:val="18"/>
                <w:color w:val="auto"/>
                <w:w w:val="79"/>
              </w:rPr>
              <w:t>$</w:t>
            </w:r>
          </w:p>
        </w:tc>
        <w:tc>
          <w:tcPr>
            <w:tcW w:w="110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49,450</w:t>
            </w:r>
          </w:p>
        </w:tc>
        <w:tc>
          <w:tcPr>
            <w:tcW w:w="0" w:type="dxa"/>
            <w:vAlign w:val="bottom"/>
          </w:tcPr>
          <w:p>
            <w:pPr>
              <w:spacing w:after="0"/>
              <w:rPr>
                <w:sz w:val="1"/>
                <w:szCs w:val="1"/>
                <w:color w:val="auto"/>
              </w:rPr>
            </w:pPr>
          </w:p>
        </w:tc>
      </w:tr>
    </w:tbl>
    <w:p>
      <w:pPr>
        <w:spacing w:after="0" w:line="202" w:lineRule="exact"/>
        <w:rPr>
          <w:sz w:val="20"/>
          <w:szCs w:val="20"/>
          <w:color w:val="auto"/>
        </w:rPr>
      </w:pPr>
    </w:p>
    <w:p>
      <w:pPr>
        <w:jc w:val="both"/>
        <w:ind w:right="80" w:firstLine="648"/>
        <w:spacing w:after="0" w:line="270" w:lineRule="auto"/>
        <w:rPr>
          <w:sz w:val="20"/>
          <w:szCs w:val="20"/>
          <w:color w:val="auto"/>
        </w:rPr>
      </w:pPr>
      <w:r>
        <w:rPr>
          <w:rFonts w:ascii="Arial" w:cs="Arial" w:eastAsia="Arial" w:hAnsi="Arial"/>
          <w:sz w:val="17"/>
          <w:szCs w:val="17"/>
          <w:color w:val="auto"/>
        </w:rPr>
        <w:t>On December 22, 2020, the Company entered into a Credit Agreement (the “Credit Agreement”) with Citizens Bank, N.A., Wells Fargo Bank, National Association, and Silicon Valley Bank, (together, the “Lenders”). The Credit Agreement provides for a term loan of $40.0 million and a $25.0 million senior revolving credit facility (including a $10.0 million sub-facility for the issuance of letters of credit and a $10.0 million swingline loan sub-facility) (collectively, the “Credit Facility”). The Company’s obligations under the Credit Agreement are guaranteed by certain of the Company’s direct, domestic wholly-owned subsidiaries; none of the Company’s direct or indirect foreign subsidiaries has guaranteed the Credit Facility. The Company’s obligations under the Credit Agreement are secured by substantially all of the assets of Harvard Bioscience, Inc. and each guarantor (including all or a portion of the equity interests in certain of the Company’s domestic and foreign subsidiaries). The Credit Facility matures on December 22, 2025. Issuance costs of $1.3 million are amortized over the contractual term to maturity date on a straight-line basis, which approximates the effective interest method. As of December 31, 2021, available borrowing capacity under the revolving line of credit was $13.6 million.</w:t>
      </w:r>
    </w:p>
    <w:p>
      <w:pPr>
        <w:spacing w:after="0" w:line="181" w:lineRule="exact"/>
        <w:rPr>
          <w:sz w:val="20"/>
          <w:szCs w:val="20"/>
          <w:color w:val="auto"/>
        </w:rPr>
      </w:pPr>
    </w:p>
    <w:p>
      <w:pPr>
        <w:jc w:val="both"/>
        <w:ind w:right="80" w:firstLine="648"/>
        <w:spacing w:after="0" w:line="255" w:lineRule="auto"/>
        <w:rPr>
          <w:sz w:val="20"/>
          <w:szCs w:val="20"/>
          <w:color w:val="auto"/>
        </w:rPr>
      </w:pPr>
      <w:r>
        <w:rPr>
          <w:rFonts w:ascii="Arial" w:cs="Arial" w:eastAsia="Arial" w:hAnsi="Arial"/>
          <w:sz w:val="18"/>
          <w:szCs w:val="18"/>
          <w:color w:val="auto"/>
        </w:rPr>
        <w:t>The Credit Facility replaced the Company’s prior credit agreement which consisted of a revolving credit facility and a term loan that was scheduled to expire on January 31, 2023. On December 22, 2020, the Company paid the prior credit facility outstanding borrowing balance of $46.7 million, paid $0.6 million in debt extinguishment costs, and wrote off the remaining balance of its unamortized debt issuance cost which amounted to $0.8 million. The write-off of the unamortized debt issuance costs is included in the Other expense – debt extinguishment and related costs in the Consolidated Statements of Operations. The Company financed the payoff of the outstanding borrowings under the prior credit facility with borrowings under the Credit Agreement.</w:t>
      </w:r>
    </w:p>
    <w:p>
      <w:pPr>
        <w:spacing w:after="0" w:line="192" w:lineRule="exact"/>
        <w:rPr>
          <w:sz w:val="20"/>
          <w:szCs w:val="20"/>
          <w:color w:val="auto"/>
        </w:rPr>
      </w:pPr>
    </w:p>
    <w:p>
      <w:pPr>
        <w:jc w:val="both"/>
        <w:ind w:right="80" w:firstLine="648"/>
        <w:spacing w:after="0" w:line="269" w:lineRule="auto"/>
        <w:rPr>
          <w:sz w:val="20"/>
          <w:szCs w:val="20"/>
          <w:color w:val="auto"/>
        </w:rPr>
      </w:pPr>
      <w:r>
        <w:rPr>
          <w:rFonts w:ascii="Arial" w:cs="Arial" w:eastAsia="Arial" w:hAnsi="Arial"/>
          <w:sz w:val="17"/>
          <w:szCs w:val="17"/>
          <w:color w:val="auto"/>
        </w:rPr>
        <w:t>Borrowings under the Credit Facility will, at the option of the Company, bear interest at either (i) a rate per annum based on LIBOR for an interest period of one, two, three or six months, plus an applicable interest rate margin determined as provided in the Credit Agreement (a “LIBOR Loan”), or (ii) an alternative base rate plus an applicable interest rate margin, each as determined as provided in the Credit Agreement (an “ABR Loan”). LIBOR interest under the Credit Agreement is subject to applicable market rates and a floor of 0.50 %. The alternative base rate is based on the bank prime rate or the federal funds effective rate of the Federal Reserve Bank of New York and is subject to a floor of 1.0%. The applicable interest rate margin varies from 2.0% per annum to 3.25% per annum for LIBOR Loans, and from 1.5% per annum to 3.0% per annum for ABR Loans, in each case depending on the Company’s consolidated leverage ratio and is determined in accordance with a pricing grid set forth in the Credit Agreement (the “Pricing Grid”). Interest on LIBOR Loans is payable in arrears on the last day of each applicable interest period, and interest on ABR Loans is payable in arrears at the end of each calendar quarter. There are no prepayment penalties in the event the Company elects to prepay and terminate the Credit Facility prior to its scheduled maturity date, subject to LIBOR breakage and redeployment costs in certain circumstances.</w:t>
      </w:r>
    </w:p>
    <w:p>
      <w:pPr>
        <w:spacing w:after="0" w:line="185" w:lineRule="exact"/>
        <w:rPr>
          <w:sz w:val="20"/>
          <w:szCs w:val="20"/>
          <w:color w:val="auto"/>
        </w:rPr>
      </w:pPr>
    </w:p>
    <w:p>
      <w:pPr>
        <w:jc w:val="center"/>
        <w:ind w:right="80"/>
        <w:spacing w:after="0"/>
        <w:rPr>
          <w:sz w:val="20"/>
          <w:szCs w:val="20"/>
          <w:color w:val="auto"/>
        </w:rPr>
      </w:pPr>
      <w:r>
        <w:rPr>
          <w:rFonts w:ascii="Arial" w:cs="Arial" w:eastAsia="Arial" w:hAnsi="Arial"/>
          <w:sz w:val="18"/>
          <w:szCs w:val="18"/>
          <w:color w:val="auto"/>
        </w:rPr>
        <w:t>F- 24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320"/>
          </w:cols>
          <w:pgMar w:left="320" w:top="125" w:right="259" w:bottom="1440" w:gutter="0" w:footer="0" w:header="0"/>
        </w:sectPr>
      </w:pPr>
    </w:p>
    <w:bookmarkStart w:id="53" w:name="page54"/>
    <w:bookmarkEnd w:id="53"/>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52" w:lineRule="exact"/>
        <w:rPr>
          <w:sz w:val="20"/>
          <w:szCs w:val="20"/>
          <w:color w:val="auto"/>
        </w:rPr>
      </w:pPr>
    </w:p>
    <w:p>
      <w:pPr>
        <w:jc w:val="both"/>
        <w:ind w:firstLine="648"/>
        <w:spacing w:after="0" w:line="271" w:lineRule="auto"/>
        <w:rPr>
          <w:sz w:val="20"/>
          <w:szCs w:val="20"/>
          <w:color w:val="auto"/>
        </w:rPr>
      </w:pPr>
      <w:r>
        <w:rPr>
          <w:rFonts w:ascii="Arial" w:cs="Arial" w:eastAsia="Arial" w:hAnsi="Arial"/>
          <w:sz w:val="17"/>
          <w:szCs w:val="17"/>
          <w:color w:val="auto"/>
        </w:rPr>
        <w:t>Commencing on March 31, 2021, the outstanding term loans amortizes in equal quarterly installments equal to $0.5 million per quarter on such date and during each of the next three quarters thereafter, $0.75 million per quarter during the next eight quarters thereafter and $1.0 million per quarter thereafter, with a balloon payment at maturity. Furthermore, within ninety days after the end of the Company’s fiscal year ended December 31, 2021 and for each fiscal year thereafter, the term loans may be permanently reduced pursuant to certain mandatory prepayment events including an annual “excess cash flow sweep” of 50% of the consolidated excess cash flow, as defined in the agreement; provided that, in any fiscal year, any voluntary prepayments of the term loans shall be credited against the Company’s “excess cash flow” prepayment obligations on a dollar-for-dollar basis for such fiscal year. Amounts outstanding under the revolving credit facility can be repaid at any time but are due in full at maturity. As of December 31, 2021, the current portion of long-term debt includes an excess cash flow sweep of $0.5 million to be paid by March 31, 2022.</w:t>
      </w:r>
    </w:p>
    <w:p>
      <w:pPr>
        <w:spacing w:after="0" w:line="178"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The Credit Agreement includes customary affirmative, negative, and financial covenants binding on the Company. The negative covenants limit the ability of the Company, among other things, to incur debt, incur liens, make investments, sell assets and pay dividends on its capital stock. The financial covenants include a maximum consolidated net leverage ratio and a minimum consolidated fixed charge coverage ratio. The Credit Agreement also includes customary events of default.</w:t>
      </w:r>
    </w:p>
    <w:p>
      <w:pPr>
        <w:spacing w:after="0" w:line="187" w:lineRule="exact"/>
        <w:rPr>
          <w:sz w:val="20"/>
          <w:szCs w:val="20"/>
          <w:color w:val="auto"/>
        </w:rPr>
      </w:pPr>
    </w:p>
    <w:p>
      <w:pPr>
        <w:jc w:val="both"/>
        <w:ind w:firstLine="648"/>
        <w:spacing w:after="0" w:line="263" w:lineRule="auto"/>
        <w:rPr>
          <w:sz w:val="20"/>
          <w:szCs w:val="20"/>
          <w:color w:val="auto"/>
        </w:rPr>
      </w:pPr>
      <w:r>
        <w:rPr>
          <w:rFonts w:ascii="Arial" w:cs="Arial" w:eastAsia="Arial" w:hAnsi="Arial"/>
          <w:sz w:val="18"/>
          <w:szCs w:val="18"/>
          <w:color w:val="auto"/>
        </w:rPr>
        <w:t>As of December 31, 2021 and 2020, the weighted effective interest rate on the Credit Agreement borrowings was 3.0% and 3.25%, respectively. The carrying value of the debt approximates fair value because the interest rate under the obligation approximates market rates of interest available to the Company for similar instruments.</w:t>
      </w:r>
    </w:p>
    <w:p>
      <w:pPr>
        <w:spacing w:after="0" w:line="184" w:lineRule="exact"/>
        <w:rPr>
          <w:sz w:val="20"/>
          <w:szCs w:val="20"/>
          <w:color w:val="auto"/>
        </w:rPr>
      </w:pPr>
    </w:p>
    <w:p>
      <w:pPr>
        <w:jc w:val="both"/>
        <w:ind w:firstLine="648"/>
        <w:spacing w:after="0" w:line="255" w:lineRule="auto"/>
        <w:rPr>
          <w:sz w:val="20"/>
          <w:szCs w:val="20"/>
          <w:color w:val="auto"/>
        </w:rPr>
      </w:pPr>
      <w:r>
        <w:rPr>
          <w:rFonts w:ascii="Arial" w:cs="Arial" w:eastAsia="Arial" w:hAnsi="Arial"/>
          <w:sz w:val="18"/>
          <w:szCs w:val="18"/>
          <w:color w:val="auto"/>
        </w:rPr>
        <w:t>On April 18, 2020, the Company entered into a promissory note with PNC Bank, National Association, which provided for a loan in the amount of $6.1 million (the “PPP Loan”) pursuant to the Paycheck Protection Program (the “PPP”) of the Coronavirus Aid, Relief, and Economic Security Act (the “CARES Act”) administered by the U.S. Small Business Administration (the “SBA”). On April 23, 2020, the SBA, in consultation with the U.S. Department of the Treasury issued guidance regarding consideration of alternate available sources of liquidity and its impact on qualification for PPP loans. The Company reassessed its business plans and liquidity available under its existing credit facility and elected to repay all PPP funds. The PPP Loan was repaid in full on May 4, 2020.</w:t>
      </w:r>
    </w:p>
    <w:p>
      <w:pPr>
        <w:spacing w:after="0" w:line="188" w:lineRule="exact"/>
        <w:rPr>
          <w:sz w:val="20"/>
          <w:szCs w:val="20"/>
          <w:color w:val="auto"/>
        </w:rPr>
      </w:pPr>
    </w:p>
    <w:p>
      <w:pPr>
        <w:ind w:left="660"/>
        <w:spacing w:after="0"/>
        <w:rPr>
          <w:sz w:val="20"/>
          <w:szCs w:val="20"/>
          <w:color w:val="auto"/>
        </w:rPr>
      </w:pPr>
      <w:r>
        <w:rPr>
          <w:rFonts w:ascii="Arial" w:cs="Arial" w:eastAsia="Arial" w:hAnsi="Arial"/>
          <w:sz w:val="18"/>
          <w:szCs w:val="18"/>
          <w:b w:val="1"/>
          <w:bCs w:val="1"/>
          <w:color w:val="auto"/>
        </w:rPr>
        <w:t>Derivatives</w:t>
      </w:r>
    </w:p>
    <w:p>
      <w:pPr>
        <w:spacing w:after="0" w:line="229" w:lineRule="exact"/>
        <w:rPr>
          <w:sz w:val="20"/>
          <w:szCs w:val="20"/>
          <w:color w:val="auto"/>
        </w:rPr>
      </w:pPr>
    </w:p>
    <w:p>
      <w:pPr>
        <w:jc w:val="both"/>
        <w:ind w:right="20" w:firstLine="648"/>
        <w:spacing w:after="0" w:line="277" w:lineRule="auto"/>
        <w:rPr>
          <w:sz w:val="20"/>
          <w:szCs w:val="20"/>
          <w:color w:val="auto"/>
        </w:rPr>
      </w:pPr>
      <w:r>
        <w:rPr>
          <w:rFonts w:ascii="Arial" w:cs="Arial" w:eastAsia="Arial" w:hAnsi="Arial"/>
          <w:sz w:val="18"/>
          <w:szCs w:val="18"/>
          <w:color w:val="auto"/>
        </w:rPr>
        <w:t>The Company monitors interest rate risk attributable to both its outstanding and forecasted debt obligations by the use of cash flow sensitivity analysis which estimates the expected impact of changes in interest rates on the Company’s future cash flows.</w:t>
      </w:r>
    </w:p>
    <w:p>
      <w:pPr>
        <w:spacing w:after="0" w:line="170" w:lineRule="exact"/>
        <w:rPr>
          <w:sz w:val="20"/>
          <w:szCs w:val="20"/>
          <w:color w:val="auto"/>
        </w:rPr>
      </w:pPr>
    </w:p>
    <w:p>
      <w:pPr>
        <w:jc w:val="both"/>
        <w:ind w:firstLine="648"/>
        <w:spacing w:after="0" w:line="255" w:lineRule="auto"/>
        <w:rPr>
          <w:sz w:val="20"/>
          <w:szCs w:val="20"/>
          <w:color w:val="auto"/>
        </w:rPr>
      </w:pPr>
      <w:r>
        <w:rPr>
          <w:rFonts w:ascii="Arial" w:cs="Arial" w:eastAsia="Arial" w:hAnsi="Arial"/>
          <w:sz w:val="18"/>
          <w:szCs w:val="18"/>
          <w:color w:val="auto"/>
        </w:rPr>
        <w:t>On January 31, 2018, the Company entered into an interest rate swap contract with a notional amount of $36.0 million and a termination date of January 1, 2023. This swap contract, which converted specific variable-rate debt into fixed-rate debt and fixed the LIBOR rate associated with a portion of the term loan under the Company’s prior credit facility at 2.72% was cancelled on December 22, 2020, in connection with the new Credit Agreement as described above. The Company paid $0.5 million to cancel its outstanding interest rate swap agreement with PNC Bank (notional value of $23.0 million). The cancellation amount represented the fair value of the contracts at the time and was recorded as debt extinguishment and related costs in the Consolidated Statements of Operations.</w:t>
      </w:r>
    </w:p>
    <w:p>
      <w:pPr>
        <w:spacing w:after="0" w:line="192"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The Company structured this interest rate swap to be fully effective in accordance with ASC 815 “Derivatives and Hedging”, and therefore changes in the fair value of the swap offset the variability of cash flows associated with the variable-rate, long-term debt obligations and were reported in accumulated other comprehensive income (AOCI). These amounts subsequently were reclassified into interest expense as a yield adjustment of the hedged interest payments in the same period in which the related interest affects earnings.</w:t>
      </w:r>
    </w:p>
    <w:p>
      <w:pPr>
        <w:spacing w:after="0" w:line="200" w:lineRule="exact"/>
        <w:rPr>
          <w:sz w:val="20"/>
          <w:szCs w:val="20"/>
          <w:color w:val="auto"/>
        </w:rPr>
      </w:pPr>
    </w:p>
    <w:p>
      <w:pPr>
        <w:spacing w:after="0" w:line="20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F- 25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54" w:name="page55"/>
    <w:bookmarkEnd w:id="54"/>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52" w:lineRule="exact"/>
        <w:rPr>
          <w:sz w:val="20"/>
          <w:szCs w:val="20"/>
          <w:color w:val="auto"/>
        </w:rPr>
      </w:pPr>
    </w:p>
    <w:p>
      <w:pPr>
        <w:ind w:right="80" w:firstLine="648"/>
        <w:spacing w:after="0" w:line="277" w:lineRule="auto"/>
        <w:rPr>
          <w:sz w:val="20"/>
          <w:szCs w:val="20"/>
          <w:color w:val="auto"/>
        </w:rPr>
      </w:pPr>
      <w:r>
        <w:rPr>
          <w:rFonts w:ascii="Arial" w:cs="Arial" w:eastAsia="Arial" w:hAnsi="Arial"/>
          <w:sz w:val="18"/>
          <w:szCs w:val="18"/>
          <w:color w:val="auto"/>
        </w:rPr>
        <w:t>The following table summarizes the effect of interest rate swap derivatives designated as cash flow hedging instruments and their classification within the consolidated financial statements for the year ended December 31, 2020:</w:t>
      </w:r>
    </w:p>
    <w:p>
      <w:pPr>
        <w:spacing w:after="0" w:line="166" w:lineRule="exact"/>
        <w:rPr>
          <w:sz w:val="20"/>
          <w:szCs w:val="20"/>
          <w:color w:val="auto"/>
        </w:rPr>
      </w:pPr>
    </w:p>
    <w:tbl>
      <w:tblPr>
        <w:tblLayout w:type="fixed"/>
        <w:tblInd w:w="660" w:type="dxa"/>
        <w:tblCellMar>
          <w:top w:w="0" w:type="dxa"/>
          <w:left w:w="0" w:type="dxa"/>
          <w:bottom w:w="0" w:type="dxa"/>
          <w:right w:w="0" w:type="dxa"/>
        </w:tblCellMar>
      </w:tblPr>
      <w:tr>
        <w:trPr>
          <w:trHeight w:val="216"/>
        </w:trPr>
        <w:tc>
          <w:tcPr>
            <w:tcW w:w="404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4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400" w:type="dxa"/>
            <w:vAlign w:val="bottom"/>
          </w:tcPr>
          <w:p>
            <w:pPr>
              <w:jc w:val="right"/>
              <w:ind w:right="310"/>
              <w:spacing w:after="0"/>
              <w:rPr>
                <w:sz w:val="20"/>
                <w:szCs w:val="20"/>
                <w:color w:val="auto"/>
              </w:rPr>
            </w:pPr>
            <w:r>
              <w:rPr>
                <w:rFonts w:ascii="Arial" w:cs="Arial" w:eastAsia="Arial" w:hAnsi="Arial"/>
                <w:sz w:val="18"/>
                <w:szCs w:val="18"/>
                <w:b w:val="1"/>
                <w:bCs w:val="1"/>
                <w:color w:val="auto"/>
                <w:w w:val="98"/>
              </w:rPr>
              <w:t>Year Ended</w:t>
            </w:r>
          </w:p>
        </w:tc>
      </w:tr>
      <w:tr>
        <w:trPr>
          <w:trHeight w:val="234"/>
        </w:trPr>
        <w:tc>
          <w:tcPr>
            <w:tcW w:w="4040" w:type="dxa"/>
            <w:vAlign w:val="bottom"/>
          </w:tcPr>
          <w:p>
            <w:pPr>
              <w:spacing w:after="0"/>
              <w:rPr>
                <w:sz w:val="20"/>
                <w:szCs w:val="20"/>
                <w:color w:val="auto"/>
              </w:rPr>
            </w:pPr>
            <w:r>
              <w:rPr>
                <w:rFonts w:ascii="Arial" w:cs="Arial" w:eastAsia="Arial" w:hAnsi="Arial"/>
                <w:sz w:val="18"/>
                <w:szCs w:val="18"/>
                <w:color w:val="auto"/>
              </w:rPr>
              <w:t>(in thousands)</w:t>
            </w:r>
          </w:p>
        </w:tc>
        <w:tc>
          <w:tcPr>
            <w:tcW w:w="800" w:type="dxa"/>
            <w:vAlign w:val="bottom"/>
          </w:tcPr>
          <w:p>
            <w:pPr>
              <w:spacing w:after="0"/>
              <w:rPr>
                <w:sz w:val="20"/>
                <w:szCs w:val="20"/>
                <w:color w:val="auto"/>
              </w:rPr>
            </w:pPr>
          </w:p>
        </w:tc>
        <w:tc>
          <w:tcPr>
            <w:tcW w:w="4120" w:type="dxa"/>
            <w:vAlign w:val="bottom"/>
            <w:tcBorders>
              <w:bottom w:val="single" w:sz="8" w:color="auto"/>
            </w:tcBorders>
          </w:tcPr>
          <w:p>
            <w:pPr>
              <w:ind w:left="1720"/>
              <w:spacing w:after="0"/>
              <w:rPr>
                <w:sz w:val="20"/>
                <w:szCs w:val="20"/>
                <w:color w:val="auto"/>
              </w:rPr>
            </w:pPr>
            <w:r>
              <w:rPr>
                <w:rFonts w:ascii="Arial" w:cs="Arial" w:eastAsia="Arial" w:hAnsi="Arial"/>
                <w:sz w:val="18"/>
                <w:szCs w:val="18"/>
                <w:b w:val="1"/>
                <w:bCs w:val="1"/>
                <w:color w:val="auto"/>
              </w:rPr>
              <w:t>Location</w:t>
            </w:r>
          </w:p>
        </w:tc>
        <w:tc>
          <w:tcPr>
            <w:tcW w:w="100" w:type="dxa"/>
            <w:vAlign w:val="bottom"/>
          </w:tcPr>
          <w:p>
            <w:pPr>
              <w:spacing w:after="0"/>
              <w:rPr>
                <w:sz w:val="20"/>
                <w:szCs w:val="20"/>
                <w:color w:val="auto"/>
              </w:rPr>
            </w:pPr>
          </w:p>
        </w:tc>
        <w:tc>
          <w:tcPr>
            <w:tcW w:w="1600" w:type="dxa"/>
            <w:vAlign w:val="bottom"/>
            <w:tcBorders>
              <w:bottom w:val="single" w:sz="8" w:color="auto"/>
            </w:tcBorders>
            <w:gridSpan w:val="2"/>
          </w:tcPr>
          <w:p>
            <w:pPr>
              <w:ind w:left="40"/>
              <w:spacing w:after="0"/>
              <w:rPr>
                <w:sz w:val="20"/>
                <w:szCs w:val="20"/>
                <w:color w:val="auto"/>
              </w:rPr>
            </w:pPr>
            <w:r>
              <w:rPr>
                <w:rFonts w:ascii="Arial" w:cs="Arial" w:eastAsia="Arial" w:hAnsi="Arial"/>
                <w:sz w:val="18"/>
                <w:szCs w:val="18"/>
                <w:b w:val="1"/>
                <w:bCs w:val="1"/>
                <w:color w:val="auto"/>
                <w:w w:val="94"/>
              </w:rPr>
              <w:t>December 31, 2020</w:t>
            </w:r>
          </w:p>
        </w:tc>
      </w:tr>
      <w:tr>
        <w:trPr>
          <w:trHeight w:val="210"/>
        </w:trPr>
        <w:tc>
          <w:tcPr>
            <w:tcW w:w="4040" w:type="dxa"/>
            <w:vAlign w:val="bottom"/>
            <w:shd w:val="clear" w:color="auto" w:fill="CCEEFF"/>
          </w:tcPr>
          <w:p>
            <w:pPr>
              <w:spacing w:after="0"/>
              <w:rPr>
                <w:sz w:val="20"/>
                <w:szCs w:val="20"/>
                <w:color w:val="auto"/>
              </w:rPr>
            </w:pPr>
            <w:r>
              <w:rPr>
                <w:rFonts w:ascii="Arial" w:cs="Arial" w:eastAsia="Arial" w:hAnsi="Arial"/>
                <w:sz w:val="18"/>
                <w:szCs w:val="18"/>
                <w:color w:val="auto"/>
              </w:rPr>
              <w:t>Amount of loss recognized in OCI</w:t>
            </w:r>
          </w:p>
        </w:tc>
        <w:tc>
          <w:tcPr>
            <w:tcW w:w="4920" w:type="dxa"/>
            <w:vAlign w:val="bottom"/>
            <w:gridSpan w:val="2"/>
            <w:shd w:val="clear" w:color="auto" w:fill="CCEEFF"/>
          </w:tcPr>
          <w:p>
            <w:pPr>
              <w:ind w:left="800"/>
              <w:spacing w:after="0"/>
              <w:rPr>
                <w:sz w:val="20"/>
                <w:szCs w:val="20"/>
                <w:color w:val="auto"/>
              </w:rPr>
            </w:pPr>
            <w:r>
              <w:rPr>
                <w:rFonts w:ascii="Arial" w:cs="Arial" w:eastAsia="Arial" w:hAnsi="Arial"/>
                <w:sz w:val="18"/>
                <w:szCs w:val="18"/>
                <w:color w:val="auto"/>
              </w:rPr>
              <w:t>Other comprehensive loss</w:t>
            </w:r>
          </w:p>
        </w:tc>
        <w:tc>
          <w:tcPr>
            <w:tcW w:w="300" w:type="dxa"/>
            <w:vAlign w:val="bottom"/>
            <w:gridSpan w:val="2"/>
            <w:shd w:val="clear" w:color="auto" w:fill="CCEEFF"/>
          </w:tcPr>
          <w:p>
            <w:pPr>
              <w:ind w:left="100"/>
              <w:spacing w:after="0"/>
              <w:rPr>
                <w:sz w:val="20"/>
                <w:szCs w:val="20"/>
                <w:color w:val="auto"/>
              </w:rPr>
            </w:pPr>
            <w:r>
              <w:rPr>
                <w:rFonts w:ascii="Arial" w:cs="Arial" w:eastAsia="Arial" w:hAnsi="Arial"/>
                <w:sz w:val="18"/>
                <w:szCs w:val="18"/>
                <w:color w:val="auto"/>
              </w:rPr>
              <w:t>$</w:t>
            </w:r>
          </w:p>
        </w:tc>
        <w:tc>
          <w:tcPr>
            <w:tcW w:w="14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(206)</w:t>
            </w:r>
          </w:p>
        </w:tc>
      </w:tr>
      <w:tr>
        <w:trPr>
          <w:trHeight w:val="216"/>
        </w:trPr>
        <w:tc>
          <w:tcPr>
            <w:tcW w:w="404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4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400" w:type="dxa"/>
            <w:vAlign w:val="bottom"/>
          </w:tcPr>
          <w:p>
            <w:pPr>
              <w:spacing w:after="0"/>
              <w:rPr>
                <w:sz w:val="18"/>
                <w:szCs w:val="18"/>
                <w:color w:val="auto"/>
              </w:rPr>
            </w:pPr>
          </w:p>
        </w:tc>
      </w:tr>
      <w:tr>
        <w:trPr>
          <w:trHeight w:val="216"/>
        </w:trPr>
        <w:tc>
          <w:tcPr>
            <w:tcW w:w="4040" w:type="dxa"/>
            <w:vAlign w:val="bottom"/>
            <w:shd w:val="clear" w:color="auto" w:fill="CCEEFF"/>
          </w:tcPr>
          <w:p>
            <w:pPr>
              <w:spacing w:after="0"/>
              <w:rPr>
                <w:sz w:val="20"/>
                <w:szCs w:val="20"/>
                <w:color w:val="auto"/>
              </w:rPr>
            </w:pPr>
            <w:r>
              <w:rPr>
                <w:rFonts w:ascii="Arial" w:cs="Arial" w:eastAsia="Arial" w:hAnsi="Arial"/>
                <w:sz w:val="18"/>
                <w:szCs w:val="18"/>
                <w:color w:val="auto"/>
              </w:rPr>
              <w:t>Amount reclassified from AOCI into income</w:t>
            </w:r>
          </w:p>
        </w:tc>
        <w:tc>
          <w:tcPr>
            <w:tcW w:w="4920" w:type="dxa"/>
            <w:vAlign w:val="bottom"/>
            <w:gridSpan w:val="2"/>
            <w:shd w:val="clear" w:color="auto" w:fill="CCEEFF"/>
          </w:tcPr>
          <w:p>
            <w:pPr>
              <w:ind w:left="800"/>
              <w:spacing w:after="0"/>
              <w:rPr>
                <w:sz w:val="20"/>
                <w:szCs w:val="20"/>
                <w:color w:val="auto"/>
              </w:rPr>
            </w:pPr>
            <w:r>
              <w:rPr>
                <w:rFonts w:ascii="Arial" w:cs="Arial" w:eastAsia="Arial" w:hAnsi="Arial"/>
                <w:sz w:val="18"/>
                <w:szCs w:val="18"/>
                <w:color w:val="auto"/>
              </w:rPr>
              <w:t>Interest expense</w:t>
            </w: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40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319</w:t>
            </w:r>
          </w:p>
        </w:tc>
      </w:tr>
      <w:tr>
        <w:trPr>
          <w:trHeight w:val="216"/>
        </w:trPr>
        <w:tc>
          <w:tcPr>
            <w:tcW w:w="4040" w:type="dxa"/>
            <w:vAlign w:val="bottom"/>
          </w:tcPr>
          <w:p>
            <w:pPr>
              <w:spacing w:after="0"/>
              <w:rPr>
                <w:sz w:val="18"/>
                <w:szCs w:val="18"/>
                <w:color w:val="auto"/>
              </w:rPr>
            </w:pPr>
          </w:p>
        </w:tc>
        <w:tc>
          <w:tcPr>
            <w:tcW w:w="4920" w:type="dxa"/>
            <w:vAlign w:val="bottom"/>
            <w:gridSpan w:val="2"/>
          </w:tcPr>
          <w:p>
            <w:pPr>
              <w:ind w:left="800"/>
              <w:spacing w:after="0"/>
              <w:rPr>
                <w:sz w:val="20"/>
                <w:szCs w:val="20"/>
                <w:color w:val="auto"/>
              </w:rPr>
            </w:pPr>
            <w:r>
              <w:rPr>
                <w:rFonts w:ascii="Arial" w:cs="Arial" w:eastAsia="Arial" w:hAnsi="Arial"/>
                <w:sz w:val="18"/>
                <w:szCs w:val="18"/>
                <w:color w:val="auto"/>
              </w:rPr>
              <w:t>Debt extinguishment and related costs</w:t>
            </w:r>
          </w:p>
        </w:tc>
        <w:tc>
          <w:tcPr>
            <w:tcW w:w="100" w:type="dxa"/>
            <w:vAlign w:val="bottom"/>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140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490</w:t>
            </w:r>
          </w:p>
        </w:tc>
      </w:tr>
      <w:tr>
        <w:trPr>
          <w:trHeight w:val="210"/>
        </w:trPr>
        <w:tc>
          <w:tcPr>
            <w:tcW w:w="4040" w:type="dxa"/>
            <w:vAlign w:val="bottom"/>
            <w:tcBorders>
              <w:bottom w:val="single" w:sz="8" w:color="CCEEFF"/>
            </w:tcBorders>
            <w:shd w:val="clear" w:color="auto" w:fill="CCEEFF"/>
          </w:tcPr>
          <w:p>
            <w:pPr>
              <w:spacing w:after="0"/>
              <w:rPr>
                <w:sz w:val="18"/>
                <w:szCs w:val="18"/>
                <w:color w:val="auto"/>
              </w:rPr>
            </w:pPr>
          </w:p>
        </w:tc>
        <w:tc>
          <w:tcPr>
            <w:tcW w:w="800" w:type="dxa"/>
            <w:vAlign w:val="bottom"/>
            <w:tcBorders>
              <w:bottom w:val="single" w:sz="8" w:color="CCEEFF"/>
            </w:tcBorders>
            <w:shd w:val="clear" w:color="auto" w:fill="CCEEFF"/>
          </w:tcPr>
          <w:p>
            <w:pPr>
              <w:spacing w:after="0"/>
              <w:rPr>
                <w:sz w:val="18"/>
                <w:szCs w:val="18"/>
                <w:color w:val="auto"/>
              </w:rPr>
            </w:pPr>
          </w:p>
        </w:tc>
        <w:tc>
          <w:tcPr>
            <w:tcW w:w="4120" w:type="dxa"/>
            <w:vAlign w:val="bottom"/>
            <w:tcBorders>
              <w:bottom w:val="single" w:sz="8" w:color="CCEEFF"/>
            </w:tcBorders>
            <w:shd w:val="clear" w:color="auto" w:fill="CCEEFF"/>
          </w:tcPr>
          <w:p>
            <w:pPr>
              <w:spacing w:after="0"/>
              <w:rPr>
                <w:sz w:val="18"/>
                <w:szCs w:val="18"/>
                <w:color w:val="auto"/>
              </w:rPr>
            </w:pPr>
          </w:p>
        </w:tc>
        <w:tc>
          <w:tcPr>
            <w:tcW w:w="100" w:type="dxa"/>
            <w:vAlign w:val="bottom"/>
            <w:tcBorders>
              <w:bottom w:val="single" w:sz="8" w:color="CCEEFF"/>
            </w:tcBorders>
            <w:shd w:val="clear" w:color="auto" w:fill="CCEEFF"/>
          </w:tcPr>
          <w:p>
            <w:pPr>
              <w:spacing w:after="0"/>
              <w:rPr>
                <w:sz w:val="18"/>
                <w:szCs w:val="18"/>
                <w:color w:val="auto"/>
              </w:rPr>
            </w:pPr>
          </w:p>
        </w:tc>
        <w:tc>
          <w:tcPr>
            <w:tcW w:w="200" w:type="dxa"/>
            <w:vAlign w:val="bottom"/>
            <w:tcBorders>
              <w:bottom w:val="single" w:sz="8" w:color="auto"/>
            </w:tcBorders>
            <w:shd w:val="clear" w:color="auto" w:fill="CCEEFF"/>
          </w:tcPr>
          <w:p>
            <w:pPr>
              <w:spacing w:after="0"/>
              <w:rPr>
                <w:sz w:val="18"/>
                <w:szCs w:val="18"/>
                <w:color w:val="auto"/>
              </w:rPr>
            </w:pPr>
          </w:p>
        </w:tc>
        <w:tc>
          <w:tcPr>
            <w:tcW w:w="140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809</w:t>
            </w:r>
          </w:p>
        </w:tc>
      </w:tr>
      <w:tr>
        <w:trPr>
          <w:trHeight w:val="209"/>
        </w:trPr>
        <w:tc>
          <w:tcPr>
            <w:tcW w:w="4040" w:type="dxa"/>
            <w:vAlign w:val="bottom"/>
          </w:tcPr>
          <w:p>
            <w:pPr>
              <w:spacing w:after="0"/>
              <w:rPr>
                <w:sz w:val="20"/>
                <w:szCs w:val="20"/>
                <w:color w:val="auto"/>
              </w:rPr>
            </w:pPr>
            <w:r>
              <w:rPr>
                <w:rFonts w:ascii="Arial" w:cs="Arial" w:eastAsia="Arial" w:hAnsi="Arial"/>
                <w:sz w:val="18"/>
                <w:szCs w:val="18"/>
                <w:color w:val="auto"/>
              </w:rPr>
              <w:t>Total</w:t>
            </w:r>
          </w:p>
        </w:tc>
        <w:tc>
          <w:tcPr>
            <w:tcW w:w="800" w:type="dxa"/>
            <w:vAlign w:val="bottom"/>
          </w:tcPr>
          <w:p>
            <w:pPr>
              <w:spacing w:after="0"/>
              <w:rPr>
                <w:sz w:val="18"/>
                <w:szCs w:val="18"/>
                <w:color w:val="auto"/>
              </w:rPr>
            </w:pPr>
          </w:p>
        </w:tc>
        <w:tc>
          <w:tcPr>
            <w:tcW w:w="4120" w:type="dxa"/>
            <w:vAlign w:val="bottom"/>
          </w:tcPr>
          <w:p>
            <w:pPr>
              <w:spacing w:after="0"/>
              <w:rPr>
                <w:sz w:val="18"/>
                <w:szCs w:val="18"/>
                <w:color w:val="auto"/>
              </w:rPr>
            </w:pPr>
          </w:p>
        </w:tc>
        <w:tc>
          <w:tcPr>
            <w:tcW w:w="300" w:type="dxa"/>
            <w:vAlign w:val="bottom"/>
            <w:gridSpan w:val="2"/>
          </w:tcPr>
          <w:p>
            <w:pPr>
              <w:ind w:left="100"/>
              <w:spacing w:after="0"/>
              <w:rPr>
                <w:sz w:val="20"/>
                <w:szCs w:val="20"/>
                <w:color w:val="auto"/>
              </w:rPr>
            </w:pPr>
            <w:r>
              <w:rPr>
                <w:rFonts w:ascii="Arial" w:cs="Arial" w:eastAsia="Arial" w:hAnsi="Arial"/>
                <w:sz w:val="18"/>
                <w:szCs w:val="18"/>
                <w:color w:val="auto"/>
              </w:rPr>
              <w:t>$</w:t>
            </w:r>
          </w:p>
        </w:tc>
        <w:tc>
          <w:tcPr>
            <w:tcW w:w="1400" w:type="dxa"/>
            <w:vAlign w:val="bottom"/>
          </w:tcPr>
          <w:p>
            <w:pPr>
              <w:jc w:val="right"/>
              <w:ind w:right="10"/>
              <w:spacing w:after="0"/>
              <w:rPr>
                <w:sz w:val="20"/>
                <w:szCs w:val="20"/>
                <w:color w:val="auto"/>
              </w:rPr>
            </w:pPr>
            <w:r>
              <w:rPr>
                <w:rFonts w:ascii="Arial" w:cs="Arial" w:eastAsia="Arial" w:hAnsi="Arial"/>
                <w:sz w:val="18"/>
                <w:szCs w:val="18"/>
                <w:color w:val="auto"/>
              </w:rPr>
              <w:t>603</w:t>
            </w:r>
          </w:p>
        </w:tc>
      </w:tr>
      <w:tr>
        <w:trPr>
          <w:trHeight w:val="20"/>
        </w:trPr>
        <w:tc>
          <w:tcPr>
            <w:tcW w:w="404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4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1400" w:type="dxa"/>
            <w:vAlign w:val="bottom"/>
            <w:tcBorders>
              <w:top w:val="single" w:sz="8" w:color="auto"/>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41" w:lineRule="exact"/>
        <w:rPr>
          <w:sz w:val="20"/>
          <w:szCs w:val="20"/>
          <w:color w:val="auto"/>
        </w:rPr>
      </w:pPr>
    </w:p>
    <w:p>
      <w:pPr>
        <w:ind w:left="1300" w:hanging="644"/>
        <w:spacing w:after="0"/>
        <w:tabs>
          <w:tab w:leader="none" w:pos="1300" w:val="left"/>
        </w:tabs>
        <w:numPr>
          <w:ilvl w:val="0"/>
          <w:numId w:val="25"/>
        </w:numPr>
        <w:rPr>
          <w:rFonts w:ascii="Arial" w:cs="Arial" w:eastAsia="Arial" w:hAnsi="Arial"/>
          <w:sz w:val="18"/>
          <w:szCs w:val="18"/>
          <w:b w:val="1"/>
          <w:bCs w:val="1"/>
          <w:color w:val="auto"/>
        </w:rPr>
      </w:pPr>
      <w:r>
        <w:rPr>
          <w:rFonts w:ascii="Arial" w:cs="Arial" w:eastAsia="Arial" w:hAnsi="Arial"/>
          <w:sz w:val="18"/>
          <w:szCs w:val="18"/>
          <w:b w:val="1"/>
          <w:bCs w:val="1"/>
          <w:color w:val="auto"/>
        </w:rPr>
        <w:t>Revenues</w:t>
      </w:r>
    </w:p>
    <w:p>
      <w:pPr>
        <w:spacing w:after="0" w:line="256" w:lineRule="exact"/>
        <w:rPr>
          <w:sz w:val="20"/>
          <w:szCs w:val="20"/>
          <w:color w:val="auto"/>
        </w:rPr>
      </w:pPr>
    </w:p>
    <w:p>
      <w:pPr>
        <w:ind w:left="660"/>
        <w:spacing w:after="0"/>
        <w:rPr>
          <w:sz w:val="20"/>
          <w:szCs w:val="20"/>
          <w:color w:val="auto"/>
        </w:rPr>
      </w:pPr>
      <w:r>
        <w:rPr>
          <w:rFonts w:ascii="Arial" w:cs="Arial" w:eastAsia="Arial" w:hAnsi="Arial"/>
          <w:sz w:val="17"/>
          <w:szCs w:val="17"/>
          <w:color w:val="auto"/>
        </w:rPr>
        <w:t>The following table represents a disaggregation of revenue from contracts with customers for the years ended December 31, 2021 and 2020:</w:t>
      </w:r>
    </w:p>
    <w:p>
      <w:pPr>
        <w:spacing w:after="0" w:line="233" w:lineRule="exact"/>
        <w:rPr>
          <w:sz w:val="20"/>
          <w:szCs w:val="20"/>
          <w:color w:val="auto"/>
        </w:rPr>
      </w:pPr>
    </w:p>
    <w:tbl>
      <w:tblPr>
        <w:tblLayout w:type="fixed"/>
        <w:tblInd w:w="660" w:type="dxa"/>
        <w:tblCellMar>
          <w:top w:w="0" w:type="dxa"/>
          <w:left w:w="0" w:type="dxa"/>
          <w:bottom w:w="0" w:type="dxa"/>
          <w:right w:w="0" w:type="dxa"/>
        </w:tblCellMar>
      </w:tblPr>
      <w:tr>
        <w:trPr>
          <w:trHeight w:val="234"/>
        </w:trPr>
        <w:tc>
          <w:tcPr>
            <w:tcW w:w="7360" w:type="dxa"/>
            <w:vAlign w:val="bottom"/>
          </w:tcPr>
          <w:p>
            <w:pPr>
              <w:spacing w:after="0"/>
              <w:rPr>
                <w:sz w:val="20"/>
                <w:szCs w:val="20"/>
                <w:color w:val="auto"/>
              </w:rPr>
            </w:pPr>
          </w:p>
        </w:tc>
        <w:tc>
          <w:tcPr>
            <w:tcW w:w="340" w:type="dxa"/>
            <w:vAlign w:val="bottom"/>
            <w:tcBorders>
              <w:bottom w:val="single" w:sz="8" w:color="auto"/>
            </w:tcBorders>
          </w:tcPr>
          <w:p>
            <w:pPr>
              <w:spacing w:after="0"/>
              <w:rPr>
                <w:sz w:val="20"/>
                <w:szCs w:val="20"/>
                <w:color w:val="auto"/>
              </w:rPr>
            </w:pPr>
          </w:p>
        </w:tc>
        <w:tc>
          <w:tcPr>
            <w:tcW w:w="2960" w:type="dxa"/>
            <w:vAlign w:val="bottom"/>
            <w:tcBorders>
              <w:bottom w:val="single" w:sz="8" w:color="auto"/>
            </w:tcBorders>
            <w:gridSpan w:val="4"/>
          </w:tcPr>
          <w:p>
            <w:pPr>
              <w:jc w:val="right"/>
              <w:ind w:right="610"/>
              <w:spacing w:after="0"/>
              <w:rPr>
                <w:sz w:val="20"/>
                <w:szCs w:val="20"/>
                <w:color w:val="auto"/>
              </w:rPr>
            </w:pPr>
            <w:r>
              <w:rPr>
                <w:rFonts w:ascii="Arial" w:cs="Arial" w:eastAsia="Arial" w:hAnsi="Arial"/>
                <w:sz w:val="18"/>
                <w:szCs w:val="18"/>
                <w:b w:val="1"/>
                <w:bCs w:val="1"/>
                <w:color w:val="auto"/>
              </w:rPr>
              <w:t>Year Ended December 31,</w:t>
            </w:r>
          </w:p>
        </w:tc>
      </w:tr>
      <w:tr>
        <w:trPr>
          <w:trHeight w:val="209"/>
        </w:trPr>
        <w:tc>
          <w:tcPr>
            <w:tcW w:w="7360" w:type="dxa"/>
            <w:vAlign w:val="bottom"/>
          </w:tcPr>
          <w:p>
            <w:pPr>
              <w:spacing w:after="0"/>
              <w:rPr>
                <w:sz w:val="20"/>
                <w:szCs w:val="20"/>
                <w:color w:val="auto"/>
              </w:rPr>
            </w:pPr>
            <w:r>
              <w:rPr>
                <w:rFonts w:ascii="Arial" w:cs="Arial" w:eastAsia="Arial" w:hAnsi="Arial"/>
                <w:sz w:val="18"/>
                <w:szCs w:val="18"/>
                <w:color w:val="auto"/>
              </w:rPr>
              <w:t>(in thousands)</w:t>
            </w:r>
          </w:p>
        </w:tc>
        <w:tc>
          <w:tcPr>
            <w:tcW w:w="340" w:type="dxa"/>
            <w:vAlign w:val="bottom"/>
            <w:tcBorders>
              <w:bottom w:val="single" w:sz="8" w:color="auto"/>
            </w:tcBorders>
          </w:tcPr>
          <w:p>
            <w:pPr>
              <w:spacing w:after="0"/>
              <w:rPr>
                <w:sz w:val="18"/>
                <w:szCs w:val="18"/>
                <w:color w:val="auto"/>
              </w:rPr>
            </w:pPr>
          </w:p>
        </w:tc>
        <w:tc>
          <w:tcPr>
            <w:tcW w:w="1280" w:type="dxa"/>
            <w:vAlign w:val="bottom"/>
            <w:tcBorders>
              <w:bottom w:val="single" w:sz="8" w:color="auto"/>
            </w:tcBorders>
          </w:tcPr>
          <w:p>
            <w:pPr>
              <w:jc w:val="right"/>
              <w:ind w:right="590"/>
              <w:spacing w:after="0"/>
              <w:rPr>
                <w:sz w:val="20"/>
                <w:szCs w:val="20"/>
                <w:color w:val="auto"/>
              </w:rPr>
            </w:pPr>
            <w:r>
              <w:rPr>
                <w:rFonts w:ascii="Arial" w:cs="Arial" w:eastAsia="Arial" w:hAnsi="Arial"/>
                <w:sz w:val="18"/>
                <w:szCs w:val="18"/>
                <w:b w:val="1"/>
                <w:bCs w:val="1"/>
                <w:color w:val="auto"/>
              </w:rPr>
              <w:t>2021</w:t>
            </w:r>
          </w:p>
        </w:tc>
        <w:tc>
          <w:tcPr>
            <w:tcW w:w="100" w:type="dxa"/>
            <w:vAlign w:val="bottom"/>
          </w:tcPr>
          <w:p>
            <w:pPr>
              <w:spacing w:after="0"/>
              <w:rPr>
                <w:sz w:val="18"/>
                <w:szCs w:val="18"/>
                <w:color w:val="auto"/>
              </w:rPr>
            </w:pPr>
          </w:p>
        </w:tc>
        <w:tc>
          <w:tcPr>
            <w:tcW w:w="320" w:type="dxa"/>
            <w:vAlign w:val="bottom"/>
            <w:tcBorders>
              <w:bottom w:val="single" w:sz="8" w:color="auto"/>
            </w:tcBorders>
          </w:tcPr>
          <w:p>
            <w:pPr>
              <w:spacing w:after="0"/>
              <w:rPr>
                <w:sz w:val="18"/>
                <w:szCs w:val="18"/>
                <w:color w:val="auto"/>
              </w:rPr>
            </w:pPr>
          </w:p>
        </w:tc>
        <w:tc>
          <w:tcPr>
            <w:tcW w:w="1260" w:type="dxa"/>
            <w:vAlign w:val="bottom"/>
            <w:tcBorders>
              <w:bottom w:val="single" w:sz="8" w:color="auto"/>
            </w:tcBorders>
          </w:tcPr>
          <w:p>
            <w:pPr>
              <w:jc w:val="right"/>
              <w:ind w:right="570"/>
              <w:spacing w:after="0"/>
              <w:rPr>
                <w:sz w:val="20"/>
                <w:szCs w:val="20"/>
                <w:color w:val="auto"/>
              </w:rPr>
            </w:pPr>
            <w:r>
              <w:rPr>
                <w:rFonts w:ascii="Arial" w:cs="Arial" w:eastAsia="Arial" w:hAnsi="Arial"/>
                <w:sz w:val="18"/>
                <w:szCs w:val="18"/>
                <w:b w:val="1"/>
                <w:bCs w:val="1"/>
                <w:color w:val="auto"/>
              </w:rPr>
              <w:t>2020</w:t>
            </w:r>
          </w:p>
        </w:tc>
      </w:tr>
      <w:tr>
        <w:trPr>
          <w:trHeight w:val="209"/>
        </w:trPr>
        <w:tc>
          <w:tcPr>
            <w:tcW w:w="7360" w:type="dxa"/>
            <w:vAlign w:val="bottom"/>
            <w:shd w:val="clear" w:color="auto" w:fill="CCEEFF"/>
          </w:tcPr>
          <w:p>
            <w:pPr>
              <w:spacing w:after="0"/>
              <w:rPr>
                <w:sz w:val="20"/>
                <w:szCs w:val="20"/>
                <w:color w:val="auto"/>
              </w:rPr>
            </w:pPr>
            <w:r>
              <w:rPr>
                <w:rFonts w:ascii="Arial" w:cs="Arial" w:eastAsia="Arial" w:hAnsi="Arial"/>
                <w:sz w:val="18"/>
                <w:szCs w:val="18"/>
                <w:color w:val="auto"/>
              </w:rPr>
              <w:t>Instruments, equipment, software and accessories</w:t>
            </w:r>
          </w:p>
        </w:tc>
        <w:tc>
          <w:tcPr>
            <w:tcW w:w="340" w:type="dxa"/>
            <w:vAlign w:val="bottom"/>
            <w:shd w:val="clear" w:color="auto" w:fill="CCEEFF"/>
          </w:tcPr>
          <w:p>
            <w:pPr>
              <w:jc w:val="right"/>
              <w:ind w:right="150"/>
              <w:spacing w:after="0"/>
              <w:rPr>
                <w:sz w:val="20"/>
                <w:szCs w:val="20"/>
                <w:color w:val="auto"/>
              </w:rPr>
            </w:pPr>
            <w:r>
              <w:rPr>
                <w:rFonts w:ascii="Arial" w:cs="Arial" w:eastAsia="Arial" w:hAnsi="Arial"/>
                <w:sz w:val="18"/>
                <w:szCs w:val="18"/>
                <w:color w:val="auto"/>
                <w:w w:val="79"/>
              </w:rPr>
              <w:t>$</w:t>
            </w:r>
          </w:p>
        </w:tc>
        <w:tc>
          <w:tcPr>
            <w:tcW w:w="128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114,115</w:t>
            </w:r>
          </w:p>
        </w:tc>
        <w:tc>
          <w:tcPr>
            <w:tcW w:w="4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26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97,473</w:t>
            </w:r>
          </w:p>
        </w:tc>
      </w:tr>
      <w:tr>
        <w:trPr>
          <w:trHeight w:val="216"/>
        </w:trPr>
        <w:tc>
          <w:tcPr>
            <w:tcW w:w="7360" w:type="dxa"/>
            <w:vAlign w:val="bottom"/>
          </w:tcPr>
          <w:p>
            <w:pPr>
              <w:spacing w:after="0"/>
              <w:rPr>
                <w:sz w:val="20"/>
                <w:szCs w:val="20"/>
                <w:color w:val="auto"/>
              </w:rPr>
            </w:pPr>
            <w:r>
              <w:rPr>
                <w:rFonts w:ascii="Arial" w:cs="Arial" w:eastAsia="Arial" w:hAnsi="Arial"/>
                <w:sz w:val="18"/>
                <w:szCs w:val="18"/>
                <w:color w:val="auto"/>
              </w:rPr>
              <w:t>Service, maintenance and warranty contracts</w:t>
            </w:r>
          </w:p>
        </w:tc>
        <w:tc>
          <w:tcPr>
            <w:tcW w:w="340" w:type="dxa"/>
            <w:vAlign w:val="bottom"/>
            <w:tcBorders>
              <w:bottom w:val="single" w:sz="8" w:color="auto"/>
            </w:tcBorders>
          </w:tcPr>
          <w:p>
            <w:pPr>
              <w:spacing w:after="0"/>
              <w:rPr>
                <w:sz w:val="18"/>
                <w:szCs w:val="18"/>
                <w:color w:val="auto"/>
              </w:rPr>
            </w:pPr>
          </w:p>
        </w:tc>
        <w:tc>
          <w:tcPr>
            <w:tcW w:w="128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4,789</w:t>
            </w:r>
          </w:p>
        </w:tc>
        <w:tc>
          <w:tcPr>
            <w:tcW w:w="100" w:type="dxa"/>
            <w:vAlign w:val="bottom"/>
          </w:tcPr>
          <w:p>
            <w:pPr>
              <w:spacing w:after="0"/>
              <w:rPr>
                <w:sz w:val="18"/>
                <w:szCs w:val="18"/>
                <w:color w:val="auto"/>
              </w:rPr>
            </w:pPr>
          </w:p>
        </w:tc>
        <w:tc>
          <w:tcPr>
            <w:tcW w:w="320" w:type="dxa"/>
            <w:vAlign w:val="bottom"/>
            <w:tcBorders>
              <w:bottom w:val="single" w:sz="8" w:color="auto"/>
            </w:tcBorders>
          </w:tcPr>
          <w:p>
            <w:pPr>
              <w:spacing w:after="0"/>
              <w:rPr>
                <w:sz w:val="18"/>
                <w:szCs w:val="18"/>
                <w:color w:val="auto"/>
              </w:rPr>
            </w:pPr>
          </w:p>
        </w:tc>
        <w:tc>
          <w:tcPr>
            <w:tcW w:w="126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4,627</w:t>
            </w:r>
          </w:p>
        </w:tc>
      </w:tr>
      <w:tr>
        <w:trPr>
          <w:trHeight w:val="249"/>
        </w:trPr>
        <w:tc>
          <w:tcPr>
            <w:tcW w:w="7360" w:type="dxa"/>
            <w:vAlign w:val="bottom"/>
            <w:shd w:val="clear" w:color="auto" w:fill="CCEEFF"/>
          </w:tcPr>
          <w:p>
            <w:pPr>
              <w:spacing w:after="0"/>
              <w:rPr>
                <w:sz w:val="20"/>
                <w:szCs w:val="20"/>
                <w:color w:val="auto"/>
              </w:rPr>
            </w:pPr>
            <w:r>
              <w:rPr>
                <w:rFonts w:ascii="Arial" w:cs="Arial" w:eastAsia="Arial" w:hAnsi="Arial"/>
                <w:sz w:val="18"/>
                <w:szCs w:val="18"/>
                <w:color w:val="auto"/>
              </w:rPr>
              <w:t>Total revenues</w:t>
            </w:r>
          </w:p>
        </w:tc>
        <w:tc>
          <w:tcPr>
            <w:tcW w:w="340" w:type="dxa"/>
            <w:vAlign w:val="bottom"/>
            <w:shd w:val="clear" w:color="auto" w:fill="CCEEFF"/>
          </w:tcPr>
          <w:p>
            <w:pPr>
              <w:jc w:val="right"/>
              <w:ind w:right="150"/>
              <w:spacing w:after="0"/>
              <w:rPr>
                <w:sz w:val="20"/>
                <w:szCs w:val="20"/>
                <w:color w:val="auto"/>
              </w:rPr>
            </w:pPr>
            <w:r>
              <w:rPr>
                <w:rFonts w:ascii="Arial" w:cs="Arial" w:eastAsia="Arial" w:hAnsi="Arial"/>
                <w:sz w:val="18"/>
                <w:szCs w:val="18"/>
                <w:color w:val="auto"/>
                <w:w w:val="79"/>
              </w:rPr>
              <w:t>$</w:t>
            </w:r>
          </w:p>
        </w:tc>
        <w:tc>
          <w:tcPr>
            <w:tcW w:w="128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118,904</w:t>
            </w:r>
          </w:p>
        </w:tc>
        <w:tc>
          <w:tcPr>
            <w:tcW w:w="4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26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102,100</w:t>
            </w:r>
          </w:p>
        </w:tc>
      </w:tr>
      <w:tr>
        <w:trPr>
          <w:trHeight w:val="413"/>
        </w:trPr>
        <w:tc>
          <w:tcPr>
            <w:tcW w:w="7360" w:type="dxa"/>
            <w:vAlign w:val="bottom"/>
            <w:tcBorders>
              <w:top w:val="single" w:sz="8" w:color="CCEEFF"/>
            </w:tcBorders>
          </w:tcPr>
          <w:p>
            <w:pPr>
              <w:spacing w:after="0"/>
              <w:rPr>
                <w:sz w:val="20"/>
                <w:szCs w:val="20"/>
                <w:color w:val="auto"/>
              </w:rPr>
            </w:pPr>
            <w:r>
              <w:rPr>
                <w:rFonts w:ascii="Arial" w:cs="Arial" w:eastAsia="Arial" w:hAnsi="Arial"/>
                <w:sz w:val="18"/>
                <w:szCs w:val="18"/>
                <w:b w:val="1"/>
                <w:bCs w:val="1"/>
                <w:i w:val="1"/>
                <w:iCs w:val="1"/>
                <w:color w:val="auto"/>
              </w:rPr>
              <w:t>Deferred revenue</w:t>
            </w:r>
          </w:p>
        </w:tc>
        <w:tc>
          <w:tcPr>
            <w:tcW w:w="340" w:type="dxa"/>
            <w:vAlign w:val="bottom"/>
            <w:tcBorders>
              <w:top w:val="single" w:sz="8" w:color="auto"/>
            </w:tcBorders>
          </w:tcPr>
          <w:p>
            <w:pPr>
              <w:spacing w:after="0"/>
              <w:rPr>
                <w:sz w:val="24"/>
                <w:szCs w:val="24"/>
                <w:color w:val="auto"/>
              </w:rPr>
            </w:pPr>
          </w:p>
        </w:tc>
        <w:tc>
          <w:tcPr>
            <w:tcW w:w="1280" w:type="dxa"/>
            <w:vAlign w:val="bottom"/>
            <w:tcBorders>
              <w:top w:val="single" w:sz="8" w:color="auto"/>
            </w:tcBorders>
          </w:tcPr>
          <w:p>
            <w:pPr>
              <w:spacing w:after="0"/>
              <w:rPr>
                <w:sz w:val="24"/>
                <w:szCs w:val="24"/>
                <w:color w:val="auto"/>
              </w:rPr>
            </w:pPr>
          </w:p>
        </w:tc>
        <w:tc>
          <w:tcPr>
            <w:tcW w:w="100" w:type="dxa"/>
            <w:vAlign w:val="bottom"/>
            <w:tcBorders>
              <w:top w:val="single" w:sz="8" w:color="CCEEFF"/>
            </w:tcBorders>
          </w:tcPr>
          <w:p>
            <w:pPr>
              <w:spacing w:after="0"/>
              <w:rPr>
                <w:sz w:val="24"/>
                <w:szCs w:val="24"/>
                <w:color w:val="auto"/>
              </w:rPr>
            </w:pPr>
          </w:p>
        </w:tc>
        <w:tc>
          <w:tcPr>
            <w:tcW w:w="320" w:type="dxa"/>
            <w:vAlign w:val="bottom"/>
            <w:tcBorders>
              <w:top w:val="single" w:sz="8" w:color="auto"/>
            </w:tcBorders>
          </w:tcPr>
          <w:p>
            <w:pPr>
              <w:spacing w:after="0"/>
              <w:rPr>
                <w:sz w:val="24"/>
                <w:szCs w:val="24"/>
                <w:color w:val="auto"/>
              </w:rPr>
            </w:pPr>
          </w:p>
        </w:tc>
        <w:tc>
          <w:tcPr>
            <w:tcW w:w="1260" w:type="dxa"/>
            <w:vAlign w:val="bottom"/>
            <w:tcBorders>
              <w:top w:val="single" w:sz="8" w:color="auto"/>
            </w:tcBorders>
          </w:tcPr>
          <w:p>
            <w:pPr>
              <w:spacing w:after="0"/>
              <w:rPr>
                <w:sz w:val="24"/>
                <w:szCs w:val="24"/>
                <w:color w:val="auto"/>
              </w:rPr>
            </w:pPr>
          </w:p>
        </w:tc>
      </w:tr>
      <w:tr>
        <w:trPr>
          <w:trHeight w:val="432"/>
        </w:trPr>
        <w:tc>
          <w:tcPr>
            <w:tcW w:w="7360" w:type="dxa"/>
            <w:vAlign w:val="bottom"/>
          </w:tcPr>
          <w:p>
            <w:pPr>
              <w:spacing w:after="0"/>
              <w:rPr>
                <w:sz w:val="20"/>
                <w:szCs w:val="20"/>
                <w:color w:val="auto"/>
              </w:rPr>
            </w:pPr>
            <w:r>
              <w:rPr>
                <w:rFonts w:ascii="Arial" w:cs="Arial" w:eastAsia="Arial" w:hAnsi="Arial"/>
                <w:sz w:val="18"/>
                <w:szCs w:val="18"/>
                <w:color w:val="auto"/>
              </w:rPr>
              <w:t>The following tables provide details of deferred revenue as of the periods indicated:</w:t>
            </w:r>
          </w:p>
        </w:tc>
        <w:tc>
          <w:tcPr>
            <w:tcW w:w="34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260" w:type="dxa"/>
            <w:vAlign w:val="bottom"/>
          </w:tcPr>
          <w:p>
            <w:pPr>
              <w:spacing w:after="0"/>
              <w:rPr>
                <w:sz w:val="24"/>
                <w:szCs w:val="24"/>
                <w:color w:val="auto"/>
              </w:rPr>
            </w:pPr>
          </w:p>
        </w:tc>
      </w:tr>
    </w:tbl>
    <w:p>
      <w:pPr>
        <w:spacing w:after="0" w:line="198" w:lineRule="exact"/>
        <w:rPr>
          <w:sz w:val="20"/>
          <w:szCs w:val="20"/>
          <w:color w:val="auto"/>
        </w:rPr>
      </w:pPr>
    </w:p>
    <w:tbl>
      <w:tblPr>
        <w:tblLayout w:type="fixed"/>
        <w:tblInd w:w="660" w:type="dxa"/>
        <w:tblCellMar>
          <w:top w:w="0" w:type="dxa"/>
          <w:left w:w="0" w:type="dxa"/>
          <w:bottom w:w="0" w:type="dxa"/>
          <w:right w:w="0" w:type="dxa"/>
        </w:tblCellMar>
      </w:tblPr>
      <w:tr>
        <w:trPr>
          <w:trHeight w:val="234"/>
        </w:trPr>
        <w:tc>
          <w:tcPr>
            <w:tcW w:w="7360" w:type="dxa"/>
            <w:vAlign w:val="bottom"/>
          </w:tcPr>
          <w:p>
            <w:pPr>
              <w:spacing w:after="0"/>
              <w:rPr>
                <w:sz w:val="20"/>
                <w:szCs w:val="20"/>
                <w:color w:val="auto"/>
              </w:rPr>
            </w:pPr>
          </w:p>
        </w:tc>
        <w:tc>
          <w:tcPr>
            <w:tcW w:w="340" w:type="dxa"/>
            <w:vAlign w:val="bottom"/>
            <w:tcBorders>
              <w:bottom w:val="single" w:sz="8" w:color="auto"/>
            </w:tcBorders>
          </w:tcPr>
          <w:p>
            <w:pPr>
              <w:spacing w:after="0"/>
              <w:rPr>
                <w:sz w:val="20"/>
                <w:szCs w:val="20"/>
                <w:color w:val="auto"/>
              </w:rPr>
            </w:pPr>
          </w:p>
        </w:tc>
        <w:tc>
          <w:tcPr>
            <w:tcW w:w="1860" w:type="dxa"/>
            <w:vAlign w:val="bottom"/>
            <w:tcBorders>
              <w:bottom w:val="single" w:sz="8" w:color="auto"/>
            </w:tcBorders>
            <w:gridSpan w:val="3"/>
          </w:tcPr>
          <w:p>
            <w:pPr>
              <w:ind w:left="740"/>
              <w:spacing w:after="0"/>
              <w:rPr>
                <w:sz w:val="20"/>
                <w:szCs w:val="20"/>
                <w:color w:val="auto"/>
              </w:rPr>
            </w:pPr>
            <w:r>
              <w:rPr>
                <w:rFonts w:ascii="Arial" w:cs="Arial" w:eastAsia="Arial" w:hAnsi="Arial"/>
                <w:sz w:val="18"/>
                <w:szCs w:val="18"/>
                <w:b w:val="1"/>
                <w:bCs w:val="1"/>
                <w:color w:val="auto"/>
                <w:w w:val="93"/>
              </w:rPr>
              <w:t>December 31,</w:t>
            </w:r>
          </w:p>
        </w:tc>
        <w:tc>
          <w:tcPr>
            <w:tcW w:w="1100" w:type="dxa"/>
            <w:vAlign w:val="bottom"/>
            <w:tcBorders>
              <w:bottom w:val="single" w:sz="8" w:color="auto"/>
            </w:tcBorders>
          </w:tcPr>
          <w:p>
            <w:pPr>
              <w:spacing w:after="0"/>
              <w:rPr>
                <w:sz w:val="20"/>
                <w:szCs w:val="20"/>
                <w:color w:val="auto"/>
              </w:rPr>
            </w:pPr>
          </w:p>
        </w:tc>
      </w:tr>
      <w:tr>
        <w:trPr>
          <w:trHeight w:val="210"/>
        </w:trPr>
        <w:tc>
          <w:tcPr>
            <w:tcW w:w="7360" w:type="dxa"/>
            <w:vAlign w:val="bottom"/>
          </w:tcPr>
          <w:p>
            <w:pPr>
              <w:spacing w:after="0"/>
              <w:rPr>
                <w:sz w:val="20"/>
                <w:szCs w:val="20"/>
                <w:color w:val="auto"/>
              </w:rPr>
            </w:pPr>
            <w:r>
              <w:rPr>
                <w:rFonts w:ascii="Arial" w:cs="Arial" w:eastAsia="Arial" w:hAnsi="Arial"/>
                <w:sz w:val="18"/>
                <w:szCs w:val="18"/>
                <w:color w:val="auto"/>
              </w:rPr>
              <w:t>(in thousands)</w:t>
            </w:r>
          </w:p>
        </w:tc>
        <w:tc>
          <w:tcPr>
            <w:tcW w:w="340" w:type="dxa"/>
            <w:vAlign w:val="bottom"/>
            <w:tcBorders>
              <w:bottom w:val="single" w:sz="8" w:color="auto"/>
            </w:tcBorders>
          </w:tcPr>
          <w:p>
            <w:pPr>
              <w:spacing w:after="0"/>
              <w:rPr>
                <w:sz w:val="18"/>
                <w:szCs w:val="18"/>
                <w:color w:val="auto"/>
              </w:rPr>
            </w:pPr>
          </w:p>
        </w:tc>
        <w:tc>
          <w:tcPr>
            <w:tcW w:w="1280" w:type="dxa"/>
            <w:vAlign w:val="bottom"/>
            <w:tcBorders>
              <w:bottom w:val="single" w:sz="8" w:color="auto"/>
            </w:tcBorders>
          </w:tcPr>
          <w:p>
            <w:pPr>
              <w:ind w:left="240"/>
              <w:spacing w:after="0"/>
              <w:rPr>
                <w:sz w:val="20"/>
                <w:szCs w:val="20"/>
                <w:color w:val="auto"/>
              </w:rPr>
            </w:pPr>
            <w:r>
              <w:rPr>
                <w:rFonts w:ascii="Arial" w:cs="Arial" w:eastAsia="Arial" w:hAnsi="Arial"/>
                <w:sz w:val="18"/>
                <w:szCs w:val="18"/>
                <w:b w:val="1"/>
                <w:bCs w:val="1"/>
                <w:color w:val="auto"/>
              </w:rPr>
              <w:t>2021</w:t>
            </w:r>
          </w:p>
        </w:tc>
        <w:tc>
          <w:tcPr>
            <w:tcW w:w="100" w:type="dxa"/>
            <w:vAlign w:val="bottom"/>
          </w:tcPr>
          <w:p>
            <w:pPr>
              <w:spacing w:after="0"/>
              <w:rPr>
                <w:sz w:val="18"/>
                <w:szCs w:val="18"/>
                <w:color w:val="auto"/>
              </w:rPr>
            </w:pPr>
          </w:p>
        </w:tc>
        <w:tc>
          <w:tcPr>
            <w:tcW w:w="480" w:type="dxa"/>
            <w:vAlign w:val="bottom"/>
            <w:tcBorders>
              <w:bottom w:val="single" w:sz="8" w:color="auto"/>
            </w:tcBorders>
          </w:tcPr>
          <w:p>
            <w:pPr>
              <w:spacing w:after="0"/>
              <w:rPr>
                <w:sz w:val="18"/>
                <w:szCs w:val="18"/>
                <w:color w:val="auto"/>
              </w:rPr>
            </w:pPr>
          </w:p>
        </w:tc>
        <w:tc>
          <w:tcPr>
            <w:tcW w:w="1100" w:type="dxa"/>
            <w:vAlign w:val="bottom"/>
            <w:tcBorders>
              <w:bottom w:val="single" w:sz="8" w:color="auto"/>
            </w:tcBorders>
          </w:tcPr>
          <w:p>
            <w:pPr>
              <w:jc w:val="right"/>
              <w:ind w:right="570"/>
              <w:spacing w:after="0"/>
              <w:rPr>
                <w:sz w:val="20"/>
                <w:szCs w:val="20"/>
                <w:color w:val="auto"/>
              </w:rPr>
            </w:pPr>
            <w:r>
              <w:rPr>
                <w:rFonts w:ascii="Arial" w:cs="Arial" w:eastAsia="Arial" w:hAnsi="Arial"/>
                <w:sz w:val="18"/>
                <w:szCs w:val="18"/>
                <w:b w:val="1"/>
                <w:bCs w:val="1"/>
                <w:color w:val="auto"/>
              </w:rPr>
              <w:t>2020</w:t>
            </w:r>
          </w:p>
        </w:tc>
      </w:tr>
      <w:tr>
        <w:trPr>
          <w:trHeight w:val="210"/>
        </w:trPr>
        <w:tc>
          <w:tcPr>
            <w:tcW w:w="7360" w:type="dxa"/>
            <w:vAlign w:val="bottom"/>
            <w:shd w:val="clear" w:color="auto" w:fill="CCEEFF"/>
          </w:tcPr>
          <w:p>
            <w:pPr>
              <w:spacing w:after="0"/>
              <w:rPr>
                <w:sz w:val="20"/>
                <w:szCs w:val="20"/>
                <w:color w:val="auto"/>
              </w:rPr>
            </w:pPr>
            <w:r>
              <w:rPr>
                <w:rFonts w:ascii="Arial" w:cs="Arial" w:eastAsia="Arial" w:hAnsi="Arial"/>
                <w:sz w:val="18"/>
                <w:szCs w:val="18"/>
                <w:color w:val="auto"/>
              </w:rPr>
              <w:t>Service contracts</w:t>
            </w:r>
          </w:p>
        </w:tc>
        <w:tc>
          <w:tcPr>
            <w:tcW w:w="340" w:type="dxa"/>
            <w:vAlign w:val="bottom"/>
            <w:shd w:val="clear" w:color="auto" w:fill="CCEEFF"/>
          </w:tcPr>
          <w:p>
            <w:pPr>
              <w:jc w:val="right"/>
              <w:ind w:right="150"/>
              <w:spacing w:after="0"/>
              <w:rPr>
                <w:sz w:val="20"/>
                <w:szCs w:val="20"/>
                <w:color w:val="auto"/>
              </w:rPr>
            </w:pPr>
            <w:r>
              <w:rPr>
                <w:rFonts w:ascii="Arial" w:cs="Arial" w:eastAsia="Arial" w:hAnsi="Arial"/>
                <w:sz w:val="18"/>
                <w:szCs w:val="18"/>
                <w:color w:val="auto"/>
                <w:w w:val="79"/>
              </w:rPr>
              <w:t>$</w:t>
            </w:r>
          </w:p>
        </w:tc>
        <w:tc>
          <w:tcPr>
            <w:tcW w:w="1280" w:type="dxa"/>
            <w:vAlign w:val="bottom"/>
            <w:shd w:val="clear" w:color="auto" w:fill="CCEEFF"/>
          </w:tcPr>
          <w:p>
            <w:pPr>
              <w:ind w:left="760"/>
              <w:spacing w:after="0"/>
              <w:rPr>
                <w:sz w:val="20"/>
                <w:szCs w:val="20"/>
                <w:color w:val="auto"/>
              </w:rPr>
            </w:pPr>
            <w:r>
              <w:rPr>
                <w:rFonts w:ascii="Arial" w:cs="Arial" w:eastAsia="Arial" w:hAnsi="Arial"/>
                <w:sz w:val="18"/>
                <w:szCs w:val="18"/>
                <w:color w:val="auto"/>
              </w:rPr>
              <w:t>1,976</w:t>
            </w:r>
          </w:p>
        </w:tc>
        <w:tc>
          <w:tcPr>
            <w:tcW w:w="580" w:type="dxa"/>
            <w:vAlign w:val="bottom"/>
            <w:gridSpan w:val="2"/>
            <w:shd w:val="clear" w:color="auto" w:fill="CCEEFF"/>
          </w:tcPr>
          <w:p>
            <w:pPr>
              <w:jc w:val="right"/>
              <w:ind w:right="290"/>
              <w:spacing w:after="0"/>
              <w:rPr>
                <w:sz w:val="20"/>
                <w:szCs w:val="20"/>
                <w:color w:val="auto"/>
              </w:rPr>
            </w:pPr>
            <w:r>
              <w:rPr>
                <w:rFonts w:ascii="Arial" w:cs="Arial" w:eastAsia="Arial" w:hAnsi="Arial"/>
                <w:sz w:val="18"/>
                <w:szCs w:val="18"/>
                <w:color w:val="auto"/>
              </w:rPr>
              <w:t>$</w:t>
            </w:r>
          </w:p>
        </w:tc>
        <w:tc>
          <w:tcPr>
            <w:tcW w:w="110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1,629</w:t>
            </w:r>
          </w:p>
        </w:tc>
      </w:tr>
      <w:tr>
        <w:trPr>
          <w:trHeight w:val="216"/>
        </w:trPr>
        <w:tc>
          <w:tcPr>
            <w:tcW w:w="7360" w:type="dxa"/>
            <w:vAlign w:val="bottom"/>
          </w:tcPr>
          <w:p>
            <w:pPr>
              <w:spacing w:after="0"/>
              <w:rPr>
                <w:sz w:val="20"/>
                <w:szCs w:val="20"/>
                <w:color w:val="auto"/>
              </w:rPr>
            </w:pPr>
            <w:r>
              <w:rPr>
                <w:rFonts w:ascii="Arial" w:cs="Arial" w:eastAsia="Arial" w:hAnsi="Arial"/>
                <w:sz w:val="18"/>
                <w:szCs w:val="18"/>
                <w:color w:val="auto"/>
              </w:rPr>
              <w:t>Customer advances</w:t>
            </w:r>
          </w:p>
        </w:tc>
        <w:tc>
          <w:tcPr>
            <w:tcW w:w="340" w:type="dxa"/>
            <w:vAlign w:val="bottom"/>
            <w:tcBorders>
              <w:bottom w:val="single" w:sz="8" w:color="auto"/>
            </w:tcBorders>
          </w:tcPr>
          <w:p>
            <w:pPr>
              <w:spacing w:after="0"/>
              <w:rPr>
                <w:sz w:val="18"/>
                <w:szCs w:val="18"/>
                <w:color w:val="auto"/>
              </w:rPr>
            </w:pPr>
          </w:p>
        </w:tc>
        <w:tc>
          <w:tcPr>
            <w:tcW w:w="1280" w:type="dxa"/>
            <w:vAlign w:val="bottom"/>
            <w:tcBorders>
              <w:bottom w:val="single" w:sz="8" w:color="auto"/>
            </w:tcBorders>
          </w:tcPr>
          <w:p>
            <w:pPr>
              <w:ind w:left="760"/>
              <w:spacing w:after="0"/>
              <w:rPr>
                <w:sz w:val="20"/>
                <w:szCs w:val="20"/>
                <w:color w:val="auto"/>
              </w:rPr>
            </w:pPr>
            <w:r>
              <w:rPr>
                <w:rFonts w:ascii="Arial" w:cs="Arial" w:eastAsia="Arial" w:hAnsi="Arial"/>
                <w:sz w:val="18"/>
                <w:szCs w:val="18"/>
                <w:color w:val="auto"/>
              </w:rPr>
              <w:t>2,290</w:t>
            </w:r>
          </w:p>
        </w:tc>
        <w:tc>
          <w:tcPr>
            <w:tcW w:w="100" w:type="dxa"/>
            <w:vAlign w:val="bottom"/>
          </w:tcPr>
          <w:p>
            <w:pPr>
              <w:spacing w:after="0"/>
              <w:rPr>
                <w:sz w:val="18"/>
                <w:szCs w:val="18"/>
                <w:color w:val="auto"/>
              </w:rPr>
            </w:pPr>
          </w:p>
        </w:tc>
        <w:tc>
          <w:tcPr>
            <w:tcW w:w="480" w:type="dxa"/>
            <w:vAlign w:val="bottom"/>
            <w:tcBorders>
              <w:bottom w:val="single" w:sz="8" w:color="auto"/>
            </w:tcBorders>
          </w:tcPr>
          <w:p>
            <w:pPr>
              <w:spacing w:after="0"/>
              <w:rPr>
                <w:sz w:val="18"/>
                <w:szCs w:val="18"/>
                <w:color w:val="auto"/>
              </w:rPr>
            </w:pPr>
          </w:p>
        </w:tc>
        <w:tc>
          <w:tcPr>
            <w:tcW w:w="110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2,142</w:t>
            </w:r>
          </w:p>
        </w:tc>
      </w:tr>
      <w:tr>
        <w:trPr>
          <w:trHeight w:val="250"/>
        </w:trPr>
        <w:tc>
          <w:tcPr>
            <w:tcW w:w="736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Total deferred revenue</w:t>
            </w:r>
          </w:p>
        </w:tc>
        <w:tc>
          <w:tcPr>
            <w:tcW w:w="340" w:type="dxa"/>
            <w:vAlign w:val="bottom"/>
            <w:tcBorders>
              <w:bottom w:val="single" w:sz="8" w:color="auto"/>
            </w:tcBorders>
            <w:shd w:val="clear" w:color="auto" w:fill="CCEEFF"/>
          </w:tcPr>
          <w:p>
            <w:pPr>
              <w:jc w:val="right"/>
              <w:ind w:right="150"/>
              <w:spacing w:after="0"/>
              <w:rPr>
                <w:sz w:val="20"/>
                <w:szCs w:val="20"/>
                <w:color w:val="auto"/>
              </w:rPr>
            </w:pPr>
            <w:r>
              <w:rPr>
                <w:rFonts w:ascii="Arial" w:cs="Arial" w:eastAsia="Arial" w:hAnsi="Arial"/>
                <w:sz w:val="18"/>
                <w:szCs w:val="18"/>
                <w:color w:val="auto"/>
                <w:w w:val="79"/>
              </w:rPr>
              <w:t>$</w:t>
            </w:r>
          </w:p>
        </w:tc>
        <w:tc>
          <w:tcPr>
            <w:tcW w:w="1280" w:type="dxa"/>
            <w:vAlign w:val="bottom"/>
            <w:tcBorders>
              <w:bottom w:val="single" w:sz="8" w:color="auto"/>
            </w:tcBorders>
            <w:shd w:val="clear" w:color="auto" w:fill="CCEEFF"/>
          </w:tcPr>
          <w:p>
            <w:pPr>
              <w:ind w:left="760"/>
              <w:spacing w:after="0"/>
              <w:rPr>
                <w:sz w:val="20"/>
                <w:szCs w:val="20"/>
                <w:color w:val="auto"/>
              </w:rPr>
            </w:pPr>
            <w:r>
              <w:rPr>
                <w:rFonts w:ascii="Arial" w:cs="Arial" w:eastAsia="Arial" w:hAnsi="Arial"/>
                <w:sz w:val="18"/>
                <w:szCs w:val="18"/>
                <w:color w:val="auto"/>
              </w:rPr>
              <w:t>4,266</w:t>
            </w:r>
          </w:p>
        </w:tc>
        <w:tc>
          <w:tcPr>
            <w:tcW w:w="100" w:type="dxa"/>
            <w:vAlign w:val="bottom"/>
            <w:tcBorders>
              <w:bottom w:val="single" w:sz="8" w:color="CCEEFF"/>
            </w:tcBorders>
            <w:shd w:val="clear" w:color="auto" w:fill="CCEEFF"/>
          </w:tcPr>
          <w:p>
            <w:pPr>
              <w:spacing w:after="0"/>
              <w:rPr>
                <w:sz w:val="21"/>
                <w:szCs w:val="21"/>
                <w:color w:val="auto"/>
              </w:rPr>
            </w:pPr>
          </w:p>
        </w:tc>
        <w:tc>
          <w:tcPr>
            <w:tcW w:w="480" w:type="dxa"/>
            <w:vAlign w:val="bottom"/>
            <w:tcBorders>
              <w:bottom w:val="single" w:sz="8" w:color="auto"/>
            </w:tcBorders>
            <w:shd w:val="clear" w:color="auto" w:fill="CCEEFF"/>
          </w:tcPr>
          <w:p>
            <w:pPr>
              <w:jc w:val="right"/>
              <w:ind w:right="290"/>
              <w:spacing w:after="0"/>
              <w:rPr>
                <w:sz w:val="20"/>
                <w:szCs w:val="20"/>
                <w:color w:val="auto"/>
              </w:rPr>
            </w:pPr>
            <w:r>
              <w:rPr>
                <w:rFonts w:ascii="Arial" w:cs="Arial" w:eastAsia="Arial" w:hAnsi="Arial"/>
                <w:sz w:val="18"/>
                <w:szCs w:val="18"/>
                <w:color w:val="auto"/>
                <w:w w:val="79"/>
              </w:rPr>
              <w:t>$</w:t>
            </w:r>
          </w:p>
        </w:tc>
        <w:tc>
          <w:tcPr>
            <w:tcW w:w="110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3,771</w:t>
            </w:r>
          </w:p>
        </w:tc>
      </w:tr>
    </w:tbl>
    <w:p>
      <w:pPr>
        <w:spacing w:after="0" w:line="202" w:lineRule="exact"/>
        <w:rPr>
          <w:sz w:val="20"/>
          <w:szCs w:val="20"/>
          <w:color w:val="auto"/>
        </w:rPr>
      </w:pPr>
    </w:p>
    <w:p>
      <w:pPr>
        <w:jc w:val="both"/>
        <w:ind w:right="80" w:firstLine="648"/>
        <w:spacing w:after="0" w:line="277" w:lineRule="auto"/>
        <w:rPr>
          <w:sz w:val="20"/>
          <w:szCs w:val="20"/>
          <w:color w:val="auto"/>
        </w:rPr>
      </w:pPr>
      <w:r>
        <w:rPr>
          <w:rFonts w:ascii="Arial" w:cs="Arial" w:eastAsia="Arial" w:hAnsi="Arial"/>
          <w:sz w:val="18"/>
          <w:szCs w:val="18"/>
          <w:color w:val="auto"/>
        </w:rPr>
        <w:t>During each of the years ended December 31, 2021 and 2020, the Company recognized revenue of $2.0 million from contract liabilities existing at December 31, 2020 and 2019.</w:t>
      </w:r>
    </w:p>
    <w:p>
      <w:pPr>
        <w:spacing w:after="0" w:line="170" w:lineRule="exact"/>
        <w:rPr>
          <w:sz w:val="20"/>
          <w:szCs w:val="20"/>
          <w:color w:val="auto"/>
        </w:rPr>
      </w:pPr>
    </w:p>
    <w:p>
      <w:pPr>
        <w:ind w:left="660"/>
        <w:spacing w:after="0"/>
        <w:rPr>
          <w:sz w:val="20"/>
          <w:szCs w:val="20"/>
          <w:color w:val="auto"/>
        </w:rPr>
      </w:pPr>
      <w:r>
        <w:rPr>
          <w:rFonts w:ascii="Arial" w:cs="Arial" w:eastAsia="Arial" w:hAnsi="Arial"/>
          <w:sz w:val="18"/>
          <w:szCs w:val="18"/>
          <w:b w:val="1"/>
          <w:bCs w:val="1"/>
          <w:i w:val="1"/>
          <w:iCs w:val="1"/>
          <w:color w:val="auto"/>
        </w:rPr>
        <w:t>Allowance for Doubtful Accounts</w:t>
      </w:r>
    </w:p>
    <w:p>
      <w:pPr>
        <w:spacing w:after="0" w:line="225" w:lineRule="exact"/>
        <w:rPr>
          <w:sz w:val="20"/>
          <w:szCs w:val="20"/>
          <w:color w:val="auto"/>
        </w:rPr>
      </w:pPr>
    </w:p>
    <w:p>
      <w:pPr>
        <w:jc w:val="both"/>
        <w:ind w:right="80" w:firstLine="648"/>
        <w:spacing w:after="0" w:line="277" w:lineRule="auto"/>
        <w:rPr>
          <w:sz w:val="20"/>
          <w:szCs w:val="20"/>
          <w:color w:val="auto"/>
        </w:rPr>
      </w:pPr>
      <w:r>
        <w:rPr>
          <w:rFonts w:ascii="Arial" w:cs="Arial" w:eastAsia="Arial" w:hAnsi="Arial"/>
          <w:sz w:val="18"/>
          <w:szCs w:val="18"/>
          <w:color w:val="auto"/>
        </w:rPr>
        <w:t>Allowance for doubtful accounts is based on the Company’s assessment of the collectability of customer accounts. A rollforward of allowance for doubtful accounts is as follows:</w:t>
      </w:r>
    </w:p>
    <w:p>
      <w:pPr>
        <w:sectPr>
          <w:pgSz w:w="11900" w:h="16838" w:orient="portrait"/>
          <w:cols w:equalWidth="0" w:num="1">
            <w:col w:w="11320"/>
          </w:cols>
          <w:pgMar w:left="320" w:top="125" w:right="259" w:bottom="1440" w:gutter="0" w:footer="0" w:header="0"/>
        </w:sectPr>
      </w:pPr>
    </w:p>
    <w:p>
      <w:pPr>
        <w:spacing w:after="0" w:line="200" w:lineRule="exact"/>
        <w:rPr>
          <w:sz w:val="20"/>
          <w:szCs w:val="20"/>
          <w:color w:val="auto"/>
        </w:rPr>
      </w:pPr>
    </w:p>
    <w:p>
      <w:pPr>
        <w:spacing w:after="0" w:line="213" w:lineRule="exact"/>
        <w:rPr>
          <w:sz w:val="20"/>
          <w:szCs w:val="20"/>
          <w:color w:val="auto"/>
        </w:rPr>
      </w:pPr>
    </w:p>
    <w:p>
      <w:pPr>
        <w:ind w:left="660"/>
        <w:spacing w:after="0"/>
        <w:rPr>
          <w:sz w:val="20"/>
          <w:szCs w:val="20"/>
          <w:color w:val="auto"/>
        </w:rPr>
      </w:pPr>
      <w:r>
        <w:rPr>
          <w:rFonts w:ascii="Arial" w:cs="Arial" w:eastAsia="Arial" w:hAnsi="Arial"/>
          <w:sz w:val="18"/>
          <w:szCs w:val="18"/>
          <w:color w:val="auto"/>
        </w:rPr>
        <w:t>(in thousands)</w:t>
      </w:r>
    </w:p>
    <w:p>
      <w:pPr>
        <w:spacing w:after="0" w:line="23" w:lineRule="exact"/>
        <w:rPr>
          <w:sz w:val="20"/>
          <w:szCs w:val="20"/>
          <w:color w:val="auto"/>
        </w:rPr>
      </w:pPr>
    </w:p>
    <w:p>
      <w:pPr>
        <w:ind w:left="660"/>
        <w:spacing w:after="0"/>
        <w:rPr>
          <w:sz w:val="20"/>
          <w:szCs w:val="20"/>
          <w:color w:val="auto"/>
        </w:rPr>
      </w:pPr>
      <w:r>
        <w:rPr>
          <w:rFonts w:ascii="Arial" w:cs="Arial" w:eastAsia="Arial" w:hAnsi="Arial"/>
          <w:sz w:val="16"/>
          <w:szCs w:val="16"/>
          <w:color w:val="auto"/>
        </w:rPr>
        <w:t>Balance, beginning of period</w:t>
      </w:r>
    </w:p>
    <w:p>
      <w:pPr>
        <w:spacing w:after="0" w:line="32" w:lineRule="exact"/>
        <w:rPr>
          <w:sz w:val="20"/>
          <w:szCs w:val="20"/>
          <w:color w:val="auto"/>
        </w:rPr>
      </w:pPr>
    </w:p>
    <w:p>
      <w:pPr>
        <w:ind w:left="820"/>
        <w:spacing w:after="0"/>
        <w:rPr>
          <w:sz w:val="20"/>
          <w:szCs w:val="20"/>
          <w:color w:val="auto"/>
        </w:rPr>
      </w:pPr>
      <w:r>
        <w:rPr>
          <w:rFonts w:ascii="Arial" w:cs="Arial" w:eastAsia="Arial" w:hAnsi="Arial"/>
          <w:sz w:val="16"/>
          <w:szCs w:val="16"/>
          <w:color w:val="auto"/>
        </w:rPr>
        <w:t>Bad debt (credit) expense</w:t>
      </w:r>
    </w:p>
    <w:p>
      <w:pPr>
        <w:spacing w:after="0" w:line="32" w:lineRule="exact"/>
        <w:rPr>
          <w:sz w:val="20"/>
          <w:szCs w:val="20"/>
          <w:color w:val="auto"/>
        </w:rPr>
      </w:pPr>
    </w:p>
    <w:p>
      <w:pPr>
        <w:ind w:left="820"/>
        <w:spacing w:after="0"/>
        <w:rPr>
          <w:sz w:val="20"/>
          <w:szCs w:val="20"/>
          <w:color w:val="auto"/>
        </w:rPr>
      </w:pPr>
      <w:r>
        <w:rPr>
          <w:rFonts w:ascii="Arial" w:cs="Arial" w:eastAsia="Arial" w:hAnsi="Arial"/>
          <w:sz w:val="18"/>
          <w:szCs w:val="18"/>
          <w:color w:val="auto"/>
        </w:rPr>
        <w:t>Charge-offs and other</w:t>
      </w:r>
    </w:p>
    <w:p>
      <w:pPr>
        <w:spacing w:after="0" w:line="49" w:lineRule="exact"/>
        <w:rPr>
          <w:sz w:val="20"/>
          <w:szCs w:val="20"/>
          <w:color w:val="auto"/>
        </w:rPr>
      </w:pPr>
    </w:p>
    <w:p>
      <w:pPr>
        <w:ind w:left="660"/>
        <w:spacing w:after="0"/>
        <w:rPr>
          <w:sz w:val="20"/>
          <w:szCs w:val="20"/>
          <w:color w:val="auto"/>
        </w:rPr>
      </w:pPr>
      <w:r>
        <w:rPr>
          <w:rFonts w:ascii="Arial" w:cs="Arial" w:eastAsia="Arial" w:hAnsi="Arial"/>
          <w:sz w:val="18"/>
          <w:szCs w:val="18"/>
          <w:color w:val="auto"/>
        </w:rPr>
        <w:t>Balance, end of period</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8"/>
          <w:szCs w:val="18"/>
          <w:b w:val="1"/>
          <w:bCs w:val="1"/>
          <w:i w:val="1"/>
          <w:iCs w:val="1"/>
          <w:color w:val="auto"/>
        </w:rPr>
        <w:t>Concentrations</w:t>
      </w:r>
    </w:p>
    <w:p>
      <w:pPr>
        <w:spacing w:after="0" w:line="20" w:lineRule="exact"/>
        <w:rPr>
          <w:sz w:val="20"/>
          <w:szCs w:val="20"/>
          <w:color w:val="auto"/>
        </w:rPr>
      </w:pPr>
      <w:r>
        <w:rPr>
          <w:sz w:val="20"/>
          <w:szCs w:val="20"/>
          <w:color w:val="auto"/>
        </w:rPr>
        <w:br w:type="column"/>
      </w:r>
    </w:p>
    <w:p>
      <w:pPr>
        <w:spacing w:after="0" w:line="146" w:lineRule="exact"/>
        <w:rPr>
          <w:sz w:val="20"/>
          <w:szCs w:val="20"/>
          <w:color w:val="auto"/>
        </w:rPr>
      </w:pPr>
    </w:p>
    <w:p>
      <w:pPr>
        <w:ind w:left="1080"/>
        <w:spacing w:after="0"/>
        <w:rPr>
          <w:sz w:val="20"/>
          <w:szCs w:val="20"/>
          <w:color w:val="auto"/>
        </w:rPr>
      </w:pPr>
      <w:r>
        <w:rPr>
          <w:rFonts w:ascii="Arial" w:cs="Arial" w:eastAsia="Arial" w:hAnsi="Arial"/>
          <w:sz w:val="18"/>
          <w:szCs w:val="18"/>
          <w:b w:val="1"/>
          <w:bCs w:val="1"/>
          <w:color w:val="auto"/>
        </w:rPr>
        <w:t>December 31,</w:t>
      </w:r>
    </w:p>
    <w:p>
      <w:pPr>
        <w:spacing w:after="0" w:line="27" w:lineRule="exact"/>
        <w:rPr>
          <w:sz w:val="20"/>
          <w:szCs w:val="20"/>
          <w:color w:val="auto"/>
        </w:rPr>
      </w:pPr>
    </w:p>
    <w:tbl>
      <w:tblPr>
        <w:tblLayout w:type="fixed"/>
        <w:tblInd w:w="0" w:type="dxa"/>
        <w:tblCellMar>
          <w:top w:w="0" w:type="dxa"/>
          <w:left w:w="0" w:type="dxa"/>
          <w:bottom w:w="0" w:type="dxa"/>
          <w:right w:w="0" w:type="dxa"/>
        </w:tblCellMar>
      </w:tblPr>
      <w:tr>
        <w:trPr>
          <w:trHeight w:val="209"/>
        </w:trPr>
        <w:tc>
          <w:tcPr>
            <w:tcW w:w="340" w:type="dxa"/>
            <w:vAlign w:val="bottom"/>
            <w:tcBorders>
              <w:top w:val="single" w:sz="8" w:color="auto"/>
              <w:bottom w:val="single" w:sz="8" w:color="auto"/>
            </w:tcBorders>
          </w:tcPr>
          <w:p>
            <w:pPr>
              <w:spacing w:after="0"/>
              <w:rPr>
                <w:sz w:val="18"/>
                <w:szCs w:val="18"/>
                <w:color w:val="auto"/>
              </w:rPr>
            </w:pPr>
          </w:p>
        </w:tc>
        <w:tc>
          <w:tcPr>
            <w:tcW w:w="1280" w:type="dxa"/>
            <w:vAlign w:val="bottom"/>
            <w:tcBorders>
              <w:top w:val="single" w:sz="8" w:color="auto"/>
              <w:bottom w:val="single" w:sz="8" w:color="auto"/>
            </w:tcBorders>
          </w:tcPr>
          <w:p>
            <w:pPr>
              <w:jc w:val="right"/>
              <w:ind w:right="590"/>
              <w:spacing w:after="0"/>
              <w:rPr>
                <w:sz w:val="20"/>
                <w:szCs w:val="20"/>
                <w:color w:val="auto"/>
              </w:rPr>
            </w:pPr>
            <w:r>
              <w:rPr>
                <w:rFonts w:ascii="Arial" w:cs="Arial" w:eastAsia="Arial" w:hAnsi="Arial"/>
                <w:sz w:val="18"/>
                <w:szCs w:val="18"/>
                <w:b w:val="1"/>
                <w:bCs w:val="1"/>
                <w:color w:val="auto"/>
              </w:rPr>
              <w:t>2021</w:t>
            </w:r>
          </w:p>
        </w:tc>
        <w:tc>
          <w:tcPr>
            <w:tcW w:w="100" w:type="dxa"/>
            <w:vAlign w:val="bottom"/>
            <w:tcBorders>
              <w:top w:val="single" w:sz="8" w:color="auto"/>
            </w:tcBorders>
          </w:tcPr>
          <w:p>
            <w:pPr>
              <w:spacing w:after="0"/>
              <w:rPr>
                <w:sz w:val="18"/>
                <w:szCs w:val="18"/>
                <w:color w:val="auto"/>
              </w:rPr>
            </w:pPr>
          </w:p>
        </w:tc>
        <w:tc>
          <w:tcPr>
            <w:tcW w:w="320" w:type="dxa"/>
            <w:vAlign w:val="bottom"/>
            <w:tcBorders>
              <w:top w:val="single" w:sz="8" w:color="auto"/>
              <w:bottom w:val="single" w:sz="8" w:color="auto"/>
            </w:tcBorders>
          </w:tcPr>
          <w:p>
            <w:pPr>
              <w:spacing w:after="0"/>
              <w:rPr>
                <w:sz w:val="18"/>
                <w:szCs w:val="18"/>
                <w:color w:val="auto"/>
              </w:rPr>
            </w:pPr>
          </w:p>
        </w:tc>
        <w:tc>
          <w:tcPr>
            <w:tcW w:w="1260" w:type="dxa"/>
            <w:vAlign w:val="bottom"/>
            <w:tcBorders>
              <w:top w:val="single" w:sz="8" w:color="auto"/>
              <w:bottom w:val="single" w:sz="8" w:color="auto"/>
            </w:tcBorders>
          </w:tcPr>
          <w:p>
            <w:pPr>
              <w:jc w:val="right"/>
              <w:ind w:right="570"/>
              <w:spacing w:after="0"/>
              <w:rPr>
                <w:sz w:val="20"/>
                <w:szCs w:val="20"/>
                <w:color w:val="auto"/>
              </w:rPr>
            </w:pPr>
            <w:r>
              <w:rPr>
                <w:rFonts w:ascii="Arial" w:cs="Arial" w:eastAsia="Arial" w:hAnsi="Arial"/>
                <w:sz w:val="18"/>
                <w:szCs w:val="18"/>
                <w:b w:val="1"/>
                <w:bCs w:val="1"/>
                <w:color w:val="auto"/>
              </w:rPr>
              <w:t>2020</w:t>
            </w:r>
          </w:p>
        </w:tc>
      </w:tr>
      <w:tr>
        <w:trPr>
          <w:trHeight w:val="195"/>
        </w:trPr>
        <w:tc>
          <w:tcPr>
            <w:tcW w:w="340" w:type="dxa"/>
            <w:vAlign w:val="bottom"/>
          </w:tcPr>
          <w:p>
            <w:pPr>
              <w:jc w:val="right"/>
              <w:ind w:right="150"/>
              <w:spacing w:after="0" w:line="195" w:lineRule="exact"/>
              <w:rPr>
                <w:sz w:val="20"/>
                <w:szCs w:val="20"/>
                <w:color w:val="auto"/>
              </w:rPr>
            </w:pPr>
            <w:r>
              <w:rPr>
                <w:rFonts w:ascii="Arial" w:cs="Arial" w:eastAsia="Arial" w:hAnsi="Arial"/>
                <w:sz w:val="18"/>
                <w:szCs w:val="18"/>
                <w:color w:val="auto"/>
                <w:w w:val="79"/>
              </w:rPr>
              <w:t>$</w:t>
            </w:r>
          </w:p>
        </w:tc>
        <w:tc>
          <w:tcPr>
            <w:tcW w:w="1280" w:type="dxa"/>
            <w:vAlign w:val="bottom"/>
          </w:tcPr>
          <w:p>
            <w:pPr>
              <w:jc w:val="right"/>
              <w:ind w:right="30"/>
              <w:spacing w:after="0" w:line="195" w:lineRule="exact"/>
              <w:rPr>
                <w:sz w:val="20"/>
                <w:szCs w:val="20"/>
                <w:color w:val="auto"/>
              </w:rPr>
            </w:pPr>
            <w:r>
              <w:rPr>
                <w:rFonts w:ascii="Arial" w:cs="Arial" w:eastAsia="Arial" w:hAnsi="Arial"/>
                <w:sz w:val="18"/>
                <w:szCs w:val="18"/>
                <w:color w:val="auto"/>
              </w:rPr>
              <w:t>227</w:t>
            </w:r>
          </w:p>
        </w:tc>
        <w:tc>
          <w:tcPr>
            <w:tcW w:w="100" w:type="dxa"/>
            <w:vAlign w:val="bottom"/>
          </w:tcPr>
          <w:p>
            <w:pPr>
              <w:spacing w:after="0"/>
              <w:rPr>
                <w:sz w:val="16"/>
                <w:szCs w:val="16"/>
                <w:color w:val="auto"/>
              </w:rPr>
            </w:pPr>
          </w:p>
        </w:tc>
        <w:tc>
          <w:tcPr>
            <w:tcW w:w="320" w:type="dxa"/>
            <w:vAlign w:val="bottom"/>
          </w:tcPr>
          <w:p>
            <w:pPr>
              <w:jc w:val="right"/>
              <w:ind w:right="130"/>
              <w:spacing w:after="0" w:line="195" w:lineRule="exact"/>
              <w:rPr>
                <w:sz w:val="20"/>
                <w:szCs w:val="20"/>
                <w:color w:val="auto"/>
              </w:rPr>
            </w:pPr>
            <w:r>
              <w:rPr>
                <w:rFonts w:ascii="Arial" w:cs="Arial" w:eastAsia="Arial" w:hAnsi="Arial"/>
                <w:sz w:val="18"/>
                <w:szCs w:val="18"/>
                <w:color w:val="auto"/>
                <w:w w:val="79"/>
              </w:rPr>
              <w:t>$</w:t>
            </w:r>
          </w:p>
        </w:tc>
        <w:tc>
          <w:tcPr>
            <w:tcW w:w="1260" w:type="dxa"/>
            <w:vAlign w:val="bottom"/>
          </w:tcPr>
          <w:p>
            <w:pPr>
              <w:jc w:val="right"/>
              <w:ind w:right="10"/>
              <w:spacing w:after="0" w:line="195" w:lineRule="exact"/>
              <w:rPr>
                <w:sz w:val="20"/>
                <w:szCs w:val="20"/>
                <w:color w:val="auto"/>
              </w:rPr>
            </w:pPr>
            <w:r>
              <w:rPr>
                <w:rFonts w:ascii="Arial" w:cs="Arial" w:eastAsia="Arial" w:hAnsi="Arial"/>
                <w:sz w:val="18"/>
                <w:szCs w:val="18"/>
                <w:color w:val="auto"/>
              </w:rPr>
              <w:t>325</w:t>
            </w:r>
          </w:p>
        </w:tc>
      </w:tr>
      <w:tr>
        <w:trPr>
          <w:trHeight w:val="216"/>
        </w:trPr>
        <w:tc>
          <w:tcPr>
            <w:tcW w:w="340" w:type="dxa"/>
            <w:vAlign w:val="bottom"/>
          </w:tcPr>
          <w:p>
            <w:pPr>
              <w:spacing w:after="0"/>
              <w:rPr>
                <w:sz w:val="18"/>
                <w:szCs w:val="18"/>
                <w:color w:val="auto"/>
              </w:rPr>
            </w:pPr>
          </w:p>
        </w:tc>
        <w:tc>
          <w:tcPr>
            <w:tcW w:w="1280" w:type="dxa"/>
            <w:vAlign w:val="bottom"/>
          </w:tcPr>
          <w:p>
            <w:pPr>
              <w:jc w:val="right"/>
              <w:spacing w:after="0"/>
              <w:rPr>
                <w:sz w:val="20"/>
                <w:szCs w:val="20"/>
                <w:color w:val="auto"/>
              </w:rPr>
            </w:pPr>
            <w:r>
              <w:rPr>
                <w:rFonts w:ascii="Arial" w:cs="Arial" w:eastAsia="Arial" w:hAnsi="Arial"/>
                <w:sz w:val="18"/>
                <w:szCs w:val="18"/>
                <w:color w:val="auto"/>
              </w:rPr>
              <w:t>(4)</w:t>
            </w: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260" w:type="dxa"/>
            <w:vAlign w:val="bottom"/>
          </w:tcPr>
          <w:p>
            <w:pPr>
              <w:jc w:val="right"/>
              <w:ind w:right="10"/>
              <w:spacing w:after="0"/>
              <w:rPr>
                <w:sz w:val="20"/>
                <w:szCs w:val="20"/>
                <w:color w:val="auto"/>
              </w:rPr>
            </w:pPr>
            <w:r>
              <w:rPr>
                <w:rFonts w:ascii="Arial" w:cs="Arial" w:eastAsia="Arial" w:hAnsi="Arial"/>
                <w:sz w:val="18"/>
                <w:szCs w:val="18"/>
                <w:color w:val="auto"/>
              </w:rPr>
              <w:t>17</w:t>
            </w:r>
          </w:p>
        </w:tc>
      </w:tr>
      <w:tr>
        <w:trPr>
          <w:trHeight w:val="230"/>
        </w:trPr>
        <w:tc>
          <w:tcPr>
            <w:tcW w:w="340" w:type="dxa"/>
            <w:vAlign w:val="bottom"/>
            <w:tcBorders>
              <w:bottom w:val="single" w:sz="8" w:color="auto"/>
            </w:tcBorders>
          </w:tcPr>
          <w:p>
            <w:pPr>
              <w:spacing w:after="0"/>
              <w:rPr>
                <w:sz w:val="20"/>
                <w:szCs w:val="20"/>
                <w:color w:val="auto"/>
              </w:rPr>
            </w:pPr>
          </w:p>
        </w:tc>
        <w:tc>
          <w:tcPr>
            <w:tcW w:w="12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(87)</w:t>
            </w:r>
          </w:p>
        </w:tc>
        <w:tc>
          <w:tcPr>
            <w:tcW w:w="100" w:type="dxa"/>
            <w:vAlign w:val="bottom"/>
          </w:tcPr>
          <w:p>
            <w:pPr>
              <w:spacing w:after="0"/>
              <w:rPr>
                <w:sz w:val="20"/>
                <w:szCs w:val="20"/>
                <w:color w:val="auto"/>
              </w:rPr>
            </w:pPr>
          </w:p>
        </w:tc>
        <w:tc>
          <w:tcPr>
            <w:tcW w:w="320" w:type="dxa"/>
            <w:vAlign w:val="bottom"/>
            <w:tcBorders>
              <w:bottom w:val="single" w:sz="8" w:color="auto"/>
            </w:tcBorders>
          </w:tcPr>
          <w:p>
            <w:pPr>
              <w:spacing w:after="0"/>
              <w:rPr>
                <w:sz w:val="20"/>
                <w:szCs w:val="20"/>
                <w:color w:val="auto"/>
              </w:rPr>
            </w:pPr>
          </w:p>
        </w:tc>
        <w:tc>
          <w:tcPr>
            <w:tcW w:w="12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(115)</w:t>
            </w:r>
          </w:p>
        </w:tc>
      </w:tr>
      <w:tr>
        <w:trPr>
          <w:trHeight w:val="210"/>
        </w:trPr>
        <w:tc>
          <w:tcPr>
            <w:tcW w:w="340" w:type="dxa"/>
            <w:vAlign w:val="bottom"/>
            <w:tcBorders>
              <w:bottom w:val="single" w:sz="8" w:color="auto"/>
            </w:tcBorders>
          </w:tcPr>
          <w:p>
            <w:pPr>
              <w:jc w:val="right"/>
              <w:ind w:right="150"/>
              <w:spacing w:after="0"/>
              <w:rPr>
                <w:sz w:val="20"/>
                <w:szCs w:val="20"/>
                <w:color w:val="auto"/>
              </w:rPr>
            </w:pPr>
            <w:r>
              <w:rPr>
                <w:rFonts w:ascii="Arial" w:cs="Arial" w:eastAsia="Arial" w:hAnsi="Arial"/>
                <w:sz w:val="18"/>
                <w:szCs w:val="18"/>
                <w:color w:val="auto"/>
                <w:w w:val="79"/>
              </w:rPr>
              <w:t>$</w:t>
            </w:r>
          </w:p>
        </w:tc>
        <w:tc>
          <w:tcPr>
            <w:tcW w:w="128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136</w:t>
            </w:r>
          </w:p>
        </w:tc>
        <w:tc>
          <w:tcPr>
            <w:tcW w:w="100" w:type="dxa"/>
            <w:vAlign w:val="bottom"/>
          </w:tcPr>
          <w:p>
            <w:pPr>
              <w:spacing w:after="0"/>
              <w:rPr>
                <w:sz w:val="18"/>
                <w:szCs w:val="18"/>
                <w:color w:val="auto"/>
              </w:rPr>
            </w:pPr>
          </w:p>
        </w:tc>
        <w:tc>
          <w:tcPr>
            <w:tcW w:w="320" w:type="dxa"/>
            <w:vAlign w:val="bottom"/>
            <w:tcBorders>
              <w:bottom w:val="single" w:sz="8" w:color="auto"/>
            </w:tcBorders>
          </w:tcPr>
          <w:p>
            <w:pPr>
              <w:jc w:val="right"/>
              <w:ind w:right="130"/>
              <w:spacing w:after="0"/>
              <w:rPr>
                <w:sz w:val="20"/>
                <w:szCs w:val="20"/>
                <w:color w:val="auto"/>
              </w:rPr>
            </w:pPr>
            <w:r>
              <w:rPr>
                <w:rFonts w:ascii="Arial" w:cs="Arial" w:eastAsia="Arial" w:hAnsi="Arial"/>
                <w:sz w:val="18"/>
                <w:szCs w:val="18"/>
                <w:color w:val="auto"/>
                <w:w w:val="79"/>
              </w:rPr>
              <w:t>$</w:t>
            </w:r>
          </w:p>
        </w:tc>
        <w:tc>
          <w:tcPr>
            <w:tcW w:w="126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227</w:t>
            </w:r>
          </w:p>
        </w:tc>
      </w:tr>
      <w:tr>
        <w:trPr>
          <w:trHeight w:val="20"/>
        </w:trPr>
        <w:tc>
          <w:tcPr>
            <w:tcW w:w="34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-4675505</wp:posOffset>
            </wp:positionH>
            <wp:positionV relativeFrom="paragraph">
              <wp:posOffset>-582295</wp:posOffset>
            </wp:positionV>
            <wp:extent cx="6772275" cy="137160"/>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6772275" cy="137160"/>
                    </a:xfrm>
                    <a:prstGeom prst="rect">
                      <a:avLst/>
                    </a:prstGeom>
                    <a:noFill/>
                  </pic:spPr>
                </pic:pic>
              </a:graphicData>
            </a:graphic>
          </wp:anchor>
        </w:drawing>
        <w:drawing>
          <wp:anchor simplePos="0" relativeHeight="251657728" behindDoc="1" locked="0" layoutInCell="0" allowOverlap="1">
            <wp:simplePos x="0" y="0"/>
            <wp:positionH relativeFrom="column">
              <wp:posOffset>-4675505</wp:posOffset>
            </wp:positionH>
            <wp:positionV relativeFrom="paragraph">
              <wp:posOffset>-307975</wp:posOffset>
            </wp:positionV>
            <wp:extent cx="6772275" cy="145415"/>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6772275" cy="145415"/>
                    </a:xfrm>
                    <a:prstGeom prst="rect">
                      <a:avLst/>
                    </a:prstGeom>
                    <a:noFill/>
                  </pic:spPr>
                </pic:pic>
              </a:graphicData>
            </a:graphic>
          </wp:anchor>
        </w:drawing>
      </w:r>
    </w:p>
    <w:p>
      <w:pPr>
        <w:spacing w:after="0" w:line="608" w:lineRule="exact"/>
        <w:rPr>
          <w:sz w:val="20"/>
          <w:szCs w:val="20"/>
          <w:color w:val="auto"/>
        </w:rPr>
      </w:pPr>
    </w:p>
    <w:p>
      <w:pPr>
        <w:sectPr>
          <w:pgSz w:w="11900" w:h="16838" w:orient="portrait"/>
          <w:cols w:equalWidth="0" w:num="2">
            <w:col w:w="7300" w:space="720"/>
            <w:col w:w="3300"/>
          </w:cols>
          <w:pgMar w:left="320" w:top="125" w:right="259" w:bottom="1440" w:gutter="0" w:footer="0" w:header="0"/>
          <w:type w:val="continuous"/>
        </w:sectPr>
      </w:pPr>
    </w:p>
    <w:p>
      <w:pPr>
        <w:spacing w:after="0" w:line="25" w:lineRule="exact"/>
        <w:rPr>
          <w:sz w:val="20"/>
          <w:szCs w:val="20"/>
          <w:color w:val="auto"/>
        </w:rPr>
      </w:pPr>
    </w:p>
    <w:p>
      <w:pPr>
        <w:ind w:right="80" w:firstLine="648"/>
        <w:spacing w:after="0" w:line="277" w:lineRule="auto"/>
        <w:rPr>
          <w:sz w:val="20"/>
          <w:szCs w:val="20"/>
          <w:color w:val="auto"/>
        </w:rPr>
      </w:pPr>
      <w:r>
        <w:rPr>
          <w:rFonts w:ascii="Arial" w:cs="Arial" w:eastAsia="Arial" w:hAnsi="Arial"/>
          <w:sz w:val="18"/>
          <w:szCs w:val="18"/>
          <w:color w:val="auto"/>
        </w:rPr>
        <w:t>No customer accounted for more than 10% of the revenues for the years ended December 31, 2021, and 2020. At December 31, 2021 and 2020, no customer accounted for more than 10% of net accounts receivable.</w:t>
      </w:r>
    </w:p>
    <w:p>
      <w:pPr>
        <w:spacing w:after="0" w:line="386" w:lineRule="exact"/>
        <w:rPr>
          <w:sz w:val="20"/>
          <w:szCs w:val="20"/>
          <w:color w:val="auto"/>
        </w:rPr>
      </w:pPr>
    </w:p>
    <w:p>
      <w:pPr>
        <w:jc w:val="center"/>
        <w:ind w:right="60"/>
        <w:spacing w:after="0"/>
        <w:rPr>
          <w:sz w:val="20"/>
          <w:szCs w:val="20"/>
          <w:color w:val="auto"/>
        </w:rPr>
      </w:pPr>
      <w:r>
        <w:rPr>
          <w:rFonts w:ascii="Arial" w:cs="Arial" w:eastAsia="Arial" w:hAnsi="Arial"/>
          <w:sz w:val="18"/>
          <w:szCs w:val="18"/>
          <w:color w:val="auto"/>
        </w:rPr>
        <w:t>F- 26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320"/>
          </w:cols>
          <w:pgMar w:left="320" w:top="125" w:right="259" w:bottom="1440" w:gutter="0" w:footer="0" w:header="0"/>
          <w:type w:val="continuous"/>
        </w:sectPr>
      </w:pPr>
    </w:p>
    <w:bookmarkStart w:id="55" w:name="page56"/>
    <w:bookmarkEnd w:id="55"/>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52" w:lineRule="exact"/>
        <w:rPr>
          <w:sz w:val="20"/>
          <w:szCs w:val="20"/>
          <w:color w:val="auto"/>
        </w:rPr>
      </w:pPr>
    </w:p>
    <w:p>
      <w:pPr>
        <w:ind w:left="660"/>
        <w:spacing w:after="0"/>
        <w:rPr>
          <w:sz w:val="20"/>
          <w:szCs w:val="20"/>
          <w:color w:val="auto"/>
        </w:rPr>
      </w:pPr>
      <w:r>
        <w:rPr>
          <w:rFonts w:ascii="Arial" w:cs="Arial" w:eastAsia="Arial" w:hAnsi="Arial"/>
          <w:sz w:val="18"/>
          <w:szCs w:val="18"/>
          <w:b w:val="1"/>
          <w:bCs w:val="1"/>
          <w:i w:val="1"/>
          <w:iCs w:val="1"/>
          <w:color w:val="auto"/>
        </w:rPr>
        <w:t>Warranties</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6"/>
          <w:szCs w:val="16"/>
          <w:color w:val="auto"/>
        </w:rPr>
        <w:t>Warranties are estimated and accrued at the time revenues are recorded. A rollforward of the Company’s product warranty accrual is as follows:</w:t>
      </w:r>
    </w:p>
    <w:p>
      <w:pPr>
        <w:spacing w:after="0" w:line="244" w:lineRule="exact"/>
        <w:rPr>
          <w:sz w:val="20"/>
          <w:szCs w:val="20"/>
          <w:color w:val="auto"/>
        </w:rPr>
      </w:pPr>
    </w:p>
    <w:tbl>
      <w:tblPr>
        <w:tblLayout w:type="fixed"/>
        <w:tblInd w:w="660" w:type="dxa"/>
        <w:tblCellMar>
          <w:top w:w="0" w:type="dxa"/>
          <w:left w:w="0" w:type="dxa"/>
          <w:bottom w:w="0" w:type="dxa"/>
          <w:right w:w="0" w:type="dxa"/>
        </w:tblCellMar>
      </w:tblPr>
      <w:tr>
        <w:trPr>
          <w:trHeight w:val="234"/>
        </w:trPr>
        <w:tc>
          <w:tcPr>
            <w:tcW w:w="600" w:type="dxa"/>
            <w:vAlign w:val="bottom"/>
          </w:tcPr>
          <w:p>
            <w:pPr>
              <w:spacing w:after="0"/>
              <w:rPr>
                <w:sz w:val="20"/>
                <w:szCs w:val="20"/>
                <w:color w:val="auto"/>
              </w:rPr>
            </w:pPr>
          </w:p>
        </w:tc>
        <w:tc>
          <w:tcPr>
            <w:tcW w:w="6760" w:type="dxa"/>
            <w:vAlign w:val="bottom"/>
          </w:tcPr>
          <w:p>
            <w:pPr>
              <w:spacing w:after="0"/>
              <w:rPr>
                <w:sz w:val="20"/>
                <w:szCs w:val="20"/>
                <w:color w:val="auto"/>
              </w:rPr>
            </w:pPr>
          </w:p>
        </w:tc>
        <w:tc>
          <w:tcPr>
            <w:tcW w:w="340" w:type="dxa"/>
            <w:vAlign w:val="bottom"/>
            <w:tcBorders>
              <w:bottom w:val="single" w:sz="8" w:color="auto"/>
            </w:tcBorders>
          </w:tcPr>
          <w:p>
            <w:pPr>
              <w:spacing w:after="0"/>
              <w:rPr>
                <w:sz w:val="20"/>
                <w:szCs w:val="20"/>
                <w:color w:val="auto"/>
              </w:rPr>
            </w:pPr>
          </w:p>
        </w:tc>
        <w:tc>
          <w:tcPr>
            <w:tcW w:w="1860" w:type="dxa"/>
            <w:vAlign w:val="bottom"/>
            <w:tcBorders>
              <w:bottom w:val="single" w:sz="8" w:color="auto"/>
            </w:tcBorders>
            <w:gridSpan w:val="3"/>
          </w:tcPr>
          <w:p>
            <w:pPr>
              <w:jc w:val="right"/>
              <w:spacing w:after="0"/>
              <w:rPr>
                <w:sz w:val="20"/>
                <w:szCs w:val="20"/>
                <w:color w:val="auto"/>
              </w:rPr>
            </w:pPr>
            <w:r>
              <w:rPr>
                <w:rFonts w:ascii="Arial" w:cs="Arial" w:eastAsia="Arial" w:hAnsi="Arial"/>
                <w:sz w:val="18"/>
                <w:szCs w:val="18"/>
                <w:b w:val="1"/>
                <w:bCs w:val="1"/>
                <w:color w:val="auto"/>
              </w:rPr>
              <w:t>December 31,</w:t>
            </w:r>
          </w:p>
        </w:tc>
        <w:tc>
          <w:tcPr>
            <w:tcW w:w="1100" w:type="dxa"/>
            <w:vAlign w:val="bottom"/>
            <w:tcBorders>
              <w:bottom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210"/>
        </w:trPr>
        <w:tc>
          <w:tcPr>
            <w:tcW w:w="7360" w:type="dxa"/>
            <w:vAlign w:val="bottom"/>
            <w:gridSpan w:val="2"/>
          </w:tcPr>
          <w:p>
            <w:pPr>
              <w:spacing w:after="0"/>
              <w:rPr>
                <w:sz w:val="20"/>
                <w:szCs w:val="20"/>
                <w:color w:val="auto"/>
              </w:rPr>
            </w:pPr>
            <w:r>
              <w:rPr>
                <w:rFonts w:ascii="Arial" w:cs="Arial" w:eastAsia="Arial" w:hAnsi="Arial"/>
                <w:sz w:val="18"/>
                <w:szCs w:val="18"/>
                <w:color w:val="auto"/>
              </w:rPr>
              <w:t>(in thousands)</w:t>
            </w:r>
          </w:p>
        </w:tc>
        <w:tc>
          <w:tcPr>
            <w:tcW w:w="340" w:type="dxa"/>
            <w:vAlign w:val="bottom"/>
            <w:tcBorders>
              <w:bottom w:val="single" w:sz="8" w:color="auto"/>
            </w:tcBorders>
          </w:tcPr>
          <w:p>
            <w:pPr>
              <w:spacing w:after="0"/>
              <w:rPr>
                <w:sz w:val="18"/>
                <w:szCs w:val="18"/>
                <w:color w:val="auto"/>
              </w:rPr>
            </w:pPr>
          </w:p>
        </w:tc>
        <w:tc>
          <w:tcPr>
            <w:tcW w:w="1280" w:type="dxa"/>
            <w:vAlign w:val="bottom"/>
            <w:tcBorders>
              <w:bottom w:val="single" w:sz="8" w:color="auto"/>
            </w:tcBorders>
          </w:tcPr>
          <w:p>
            <w:pPr>
              <w:jc w:val="right"/>
              <w:ind w:right="590"/>
              <w:spacing w:after="0"/>
              <w:rPr>
                <w:sz w:val="20"/>
                <w:szCs w:val="20"/>
                <w:color w:val="auto"/>
              </w:rPr>
            </w:pPr>
            <w:r>
              <w:rPr>
                <w:rFonts w:ascii="Arial" w:cs="Arial" w:eastAsia="Arial" w:hAnsi="Arial"/>
                <w:sz w:val="18"/>
                <w:szCs w:val="18"/>
                <w:b w:val="1"/>
                <w:bCs w:val="1"/>
                <w:color w:val="auto"/>
              </w:rPr>
              <w:t>2021</w:t>
            </w:r>
          </w:p>
        </w:tc>
        <w:tc>
          <w:tcPr>
            <w:tcW w:w="100" w:type="dxa"/>
            <w:vAlign w:val="bottom"/>
          </w:tcPr>
          <w:p>
            <w:pPr>
              <w:spacing w:after="0"/>
              <w:rPr>
                <w:sz w:val="18"/>
                <w:szCs w:val="18"/>
                <w:color w:val="auto"/>
              </w:rPr>
            </w:pPr>
          </w:p>
        </w:tc>
        <w:tc>
          <w:tcPr>
            <w:tcW w:w="480" w:type="dxa"/>
            <w:vAlign w:val="bottom"/>
            <w:tcBorders>
              <w:bottom w:val="single" w:sz="8" w:color="auto"/>
            </w:tcBorders>
          </w:tcPr>
          <w:p>
            <w:pPr>
              <w:spacing w:after="0"/>
              <w:rPr>
                <w:sz w:val="18"/>
                <w:szCs w:val="18"/>
                <w:color w:val="auto"/>
              </w:rPr>
            </w:pPr>
          </w:p>
        </w:tc>
        <w:tc>
          <w:tcPr>
            <w:tcW w:w="1100" w:type="dxa"/>
            <w:vAlign w:val="bottom"/>
            <w:tcBorders>
              <w:bottom w:val="single" w:sz="8" w:color="auto"/>
            </w:tcBorders>
          </w:tcPr>
          <w:p>
            <w:pPr>
              <w:jc w:val="right"/>
              <w:ind w:right="570"/>
              <w:spacing w:after="0"/>
              <w:rPr>
                <w:sz w:val="20"/>
                <w:szCs w:val="20"/>
                <w:color w:val="auto"/>
              </w:rPr>
            </w:pPr>
            <w:r>
              <w:rPr>
                <w:rFonts w:ascii="Arial" w:cs="Arial" w:eastAsia="Arial" w:hAnsi="Arial"/>
                <w:sz w:val="18"/>
                <w:szCs w:val="18"/>
                <w:b w:val="1"/>
                <w:bCs w:val="1"/>
                <w:color w:val="auto"/>
              </w:rPr>
              <w:t>2020</w:t>
            </w:r>
          </w:p>
        </w:tc>
        <w:tc>
          <w:tcPr>
            <w:tcW w:w="0" w:type="dxa"/>
            <w:vAlign w:val="bottom"/>
          </w:tcPr>
          <w:p>
            <w:pPr>
              <w:spacing w:after="0"/>
              <w:rPr>
                <w:sz w:val="1"/>
                <w:szCs w:val="1"/>
                <w:color w:val="auto"/>
              </w:rPr>
            </w:pPr>
          </w:p>
        </w:tc>
      </w:tr>
      <w:tr>
        <w:trPr>
          <w:trHeight w:val="209"/>
        </w:trPr>
        <w:tc>
          <w:tcPr>
            <w:tcW w:w="73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Balance, beginning of period</w:t>
            </w:r>
          </w:p>
        </w:tc>
        <w:tc>
          <w:tcPr>
            <w:tcW w:w="340" w:type="dxa"/>
            <w:vAlign w:val="bottom"/>
            <w:shd w:val="clear" w:color="auto" w:fill="CCEEFF"/>
          </w:tcPr>
          <w:p>
            <w:pPr>
              <w:jc w:val="right"/>
              <w:ind w:right="150"/>
              <w:spacing w:after="0"/>
              <w:rPr>
                <w:sz w:val="20"/>
                <w:szCs w:val="20"/>
                <w:color w:val="auto"/>
              </w:rPr>
            </w:pPr>
            <w:r>
              <w:rPr>
                <w:rFonts w:ascii="Arial" w:cs="Arial" w:eastAsia="Arial" w:hAnsi="Arial"/>
                <w:sz w:val="18"/>
                <w:szCs w:val="18"/>
                <w:color w:val="auto"/>
                <w:w w:val="79"/>
              </w:rPr>
              <w:t>$</w:t>
            </w:r>
          </w:p>
        </w:tc>
        <w:tc>
          <w:tcPr>
            <w:tcW w:w="128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186</w:t>
            </w:r>
          </w:p>
        </w:tc>
        <w:tc>
          <w:tcPr>
            <w:tcW w:w="580" w:type="dxa"/>
            <w:vAlign w:val="bottom"/>
            <w:gridSpan w:val="2"/>
            <w:shd w:val="clear" w:color="auto" w:fill="CCEEFF"/>
          </w:tcPr>
          <w:p>
            <w:pPr>
              <w:jc w:val="right"/>
              <w:ind w:right="290"/>
              <w:spacing w:after="0"/>
              <w:rPr>
                <w:sz w:val="20"/>
                <w:szCs w:val="20"/>
                <w:color w:val="auto"/>
              </w:rPr>
            </w:pPr>
            <w:r>
              <w:rPr>
                <w:rFonts w:ascii="Arial" w:cs="Arial" w:eastAsia="Arial" w:hAnsi="Arial"/>
                <w:sz w:val="18"/>
                <w:szCs w:val="18"/>
                <w:color w:val="auto"/>
              </w:rPr>
              <w:t>$</w:t>
            </w:r>
          </w:p>
        </w:tc>
        <w:tc>
          <w:tcPr>
            <w:tcW w:w="110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252</w:t>
            </w:r>
          </w:p>
        </w:tc>
        <w:tc>
          <w:tcPr>
            <w:tcW w:w="0" w:type="dxa"/>
            <w:vAlign w:val="bottom"/>
          </w:tcPr>
          <w:p>
            <w:pPr>
              <w:spacing w:after="0"/>
              <w:rPr>
                <w:sz w:val="1"/>
                <w:szCs w:val="1"/>
                <w:color w:val="auto"/>
              </w:rPr>
            </w:pPr>
          </w:p>
        </w:tc>
      </w:tr>
      <w:tr>
        <w:trPr>
          <w:trHeight w:val="216"/>
        </w:trPr>
        <w:tc>
          <w:tcPr>
            <w:tcW w:w="7360" w:type="dxa"/>
            <w:vAlign w:val="bottom"/>
            <w:gridSpan w:val="2"/>
          </w:tcPr>
          <w:p>
            <w:pPr>
              <w:ind w:left="160"/>
              <w:spacing w:after="0"/>
              <w:rPr>
                <w:sz w:val="20"/>
                <w:szCs w:val="20"/>
                <w:color w:val="auto"/>
              </w:rPr>
            </w:pPr>
            <w:r>
              <w:rPr>
                <w:rFonts w:ascii="Arial" w:cs="Arial" w:eastAsia="Arial" w:hAnsi="Arial"/>
                <w:sz w:val="18"/>
                <w:szCs w:val="18"/>
                <w:color w:val="auto"/>
              </w:rPr>
              <w:t>Expense</w:t>
            </w:r>
          </w:p>
        </w:tc>
        <w:tc>
          <w:tcPr>
            <w:tcW w:w="340" w:type="dxa"/>
            <w:vAlign w:val="bottom"/>
          </w:tcPr>
          <w:p>
            <w:pPr>
              <w:spacing w:after="0"/>
              <w:rPr>
                <w:sz w:val="18"/>
                <w:szCs w:val="18"/>
                <w:color w:val="auto"/>
              </w:rPr>
            </w:pPr>
          </w:p>
        </w:tc>
        <w:tc>
          <w:tcPr>
            <w:tcW w:w="1280" w:type="dxa"/>
            <w:vAlign w:val="bottom"/>
          </w:tcPr>
          <w:p>
            <w:pPr>
              <w:jc w:val="right"/>
              <w:ind w:right="30"/>
              <w:spacing w:after="0"/>
              <w:rPr>
                <w:sz w:val="20"/>
                <w:szCs w:val="20"/>
                <w:color w:val="auto"/>
              </w:rPr>
            </w:pPr>
            <w:r>
              <w:rPr>
                <w:rFonts w:ascii="Arial" w:cs="Arial" w:eastAsia="Arial" w:hAnsi="Arial"/>
                <w:sz w:val="18"/>
                <w:szCs w:val="18"/>
                <w:color w:val="auto"/>
              </w:rPr>
              <w:t>319</w:t>
            </w:r>
          </w:p>
        </w:tc>
        <w:tc>
          <w:tcPr>
            <w:tcW w:w="10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1100" w:type="dxa"/>
            <w:vAlign w:val="bottom"/>
          </w:tcPr>
          <w:p>
            <w:pPr>
              <w:jc w:val="right"/>
              <w:ind w:right="10"/>
              <w:spacing w:after="0"/>
              <w:rPr>
                <w:sz w:val="20"/>
                <w:szCs w:val="20"/>
                <w:color w:val="auto"/>
              </w:rPr>
            </w:pPr>
            <w:r>
              <w:rPr>
                <w:rFonts w:ascii="Arial" w:cs="Arial" w:eastAsia="Arial" w:hAnsi="Arial"/>
                <w:sz w:val="18"/>
                <w:szCs w:val="18"/>
                <w:color w:val="auto"/>
              </w:rPr>
              <w:t>77</w:t>
            </w:r>
          </w:p>
        </w:tc>
        <w:tc>
          <w:tcPr>
            <w:tcW w:w="0" w:type="dxa"/>
            <w:vAlign w:val="bottom"/>
          </w:tcPr>
          <w:p>
            <w:pPr>
              <w:spacing w:after="0"/>
              <w:rPr>
                <w:sz w:val="1"/>
                <w:szCs w:val="1"/>
                <w:color w:val="auto"/>
              </w:rPr>
            </w:pPr>
          </w:p>
        </w:tc>
      </w:tr>
      <w:tr>
        <w:trPr>
          <w:trHeight w:val="216"/>
        </w:trPr>
        <w:tc>
          <w:tcPr>
            <w:tcW w:w="7360" w:type="dxa"/>
            <w:vAlign w:val="bottom"/>
            <w:tcBorders>
              <w:bottom w:val="single" w:sz="8" w:color="CCEEFF"/>
            </w:tcBorders>
            <w:gridSpan w:val="2"/>
            <w:shd w:val="clear" w:color="auto" w:fill="CCEEFF"/>
          </w:tcPr>
          <w:p>
            <w:pPr>
              <w:ind w:left="160"/>
              <w:spacing w:after="0"/>
              <w:rPr>
                <w:sz w:val="20"/>
                <w:szCs w:val="20"/>
                <w:color w:val="auto"/>
              </w:rPr>
            </w:pPr>
            <w:r>
              <w:rPr>
                <w:rFonts w:ascii="Arial" w:cs="Arial" w:eastAsia="Arial" w:hAnsi="Arial"/>
                <w:sz w:val="18"/>
                <w:szCs w:val="18"/>
                <w:color w:val="auto"/>
              </w:rPr>
              <w:t>(Charges)/Credits</w:t>
            </w:r>
          </w:p>
        </w:tc>
        <w:tc>
          <w:tcPr>
            <w:tcW w:w="340" w:type="dxa"/>
            <w:vAlign w:val="bottom"/>
            <w:tcBorders>
              <w:bottom w:val="single" w:sz="8" w:color="auto"/>
            </w:tcBorders>
            <w:shd w:val="clear" w:color="auto" w:fill="CCEEFF"/>
          </w:tcPr>
          <w:p>
            <w:pPr>
              <w:spacing w:after="0"/>
              <w:rPr>
                <w:sz w:val="18"/>
                <w:szCs w:val="18"/>
                <w:color w:val="auto"/>
              </w:rPr>
            </w:pPr>
          </w:p>
        </w:tc>
        <w:tc>
          <w:tcPr>
            <w:tcW w:w="12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(265)</w:t>
            </w:r>
          </w:p>
        </w:tc>
        <w:tc>
          <w:tcPr>
            <w:tcW w:w="100" w:type="dxa"/>
            <w:vAlign w:val="bottom"/>
            <w:tcBorders>
              <w:bottom w:val="single" w:sz="8" w:color="CCEEFF"/>
            </w:tcBorders>
            <w:shd w:val="clear" w:color="auto" w:fill="CCEEFF"/>
          </w:tcPr>
          <w:p>
            <w:pPr>
              <w:spacing w:after="0"/>
              <w:rPr>
                <w:sz w:val="18"/>
                <w:szCs w:val="18"/>
                <w:color w:val="auto"/>
              </w:rPr>
            </w:pPr>
          </w:p>
        </w:tc>
        <w:tc>
          <w:tcPr>
            <w:tcW w:w="480" w:type="dxa"/>
            <w:vAlign w:val="bottom"/>
            <w:tcBorders>
              <w:bottom w:val="single" w:sz="8" w:color="auto"/>
            </w:tcBorders>
            <w:shd w:val="clear" w:color="auto" w:fill="CCEEFF"/>
          </w:tcPr>
          <w:p>
            <w:pPr>
              <w:spacing w:after="0"/>
              <w:rPr>
                <w:sz w:val="18"/>
                <w:szCs w:val="18"/>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(143)</w:t>
            </w:r>
          </w:p>
        </w:tc>
        <w:tc>
          <w:tcPr>
            <w:tcW w:w="0" w:type="dxa"/>
            <w:vAlign w:val="bottom"/>
          </w:tcPr>
          <w:p>
            <w:pPr>
              <w:spacing w:after="0"/>
              <w:rPr>
                <w:sz w:val="1"/>
                <w:szCs w:val="1"/>
                <w:color w:val="auto"/>
              </w:rPr>
            </w:pPr>
          </w:p>
        </w:tc>
      </w:tr>
      <w:tr>
        <w:trPr>
          <w:trHeight w:val="210"/>
        </w:trPr>
        <w:tc>
          <w:tcPr>
            <w:tcW w:w="7360" w:type="dxa"/>
            <w:vAlign w:val="bottom"/>
            <w:gridSpan w:val="2"/>
          </w:tcPr>
          <w:p>
            <w:pPr>
              <w:spacing w:after="0"/>
              <w:rPr>
                <w:sz w:val="20"/>
                <w:szCs w:val="20"/>
                <w:color w:val="auto"/>
              </w:rPr>
            </w:pPr>
            <w:r>
              <w:rPr>
                <w:rFonts w:ascii="Arial" w:cs="Arial" w:eastAsia="Arial" w:hAnsi="Arial"/>
                <w:sz w:val="18"/>
                <w:szCs w:val="18"/>
                <w:color w:val="auto"/>
              </w:rPr>
              <w:t>Balance, end of period</w:t>
            </w:r>
          </w:p>
        </w:tc>
        <w:tc>
          <w:tcPr>
            <w:tcW w:w="340" w:type="dxa"/>
            <w:vAlign w:val="bottom"/>
          </w:tcPr>
          <w:p>
            <w:pPr>
              <w:jc w:val="right"/>
              <w:ind w:right="150"/>
              <w:spacing w:after="0"/>
              <w:rPr>
                <w:sz w:val="20"/>
                <w:szCs w:val="20"/>
                <w:color w:val="auto"/>
              </w:rPr>
            </w:pPr>
            <w:r>
              <w:rPr>
                <w:rFonts w:ascii="Arial" w:cs="Arial" w:eastAsia="Arial" w:hAnsi="Arial"/>
                <w:sz w:val="18"/>
                <w:szCs w:val="18"/>
                <w:color w:val="auto"/>
                <w:w w:val="79"/>
              </w:rPr>
              <w:t>$</w:t>
            </w:r>
          </w:p>
        </w:tc>
        <w:tc>
          <w:tcPr>
            <w:tcW w:w="1280" w:type="dxa"/>
            <w:vAlign w:val="bottom"/>
          </w:tcPr>
          <w:p>
            <w:pPr>
              <w:jc w:val="right"/>
              <w:ind w:right="30"/>
              <w:spacing w:after="0"/>
              <w:rPr>
                <w:sz w:val="20"/>
                <w:szCs w:val="20"/>
                <w:color w:val="auto"/>
              </w:rPr>
            </w:pPr>
            <w:r>
              <w:rPr>
                <w:rFonts w:ascii="Arial" w:cs="Arial" w:eastAsia="Arial" w:hAnsi="Arial"/>
                <w:sz w:val="18"/>
                <w:szCs w:val="18"/>
                <w:color w:val="auto"/>
              </w:rPr>
              <w:t>240</w:t>
            </w:r>
          </w:p>
        </w:tc>
        <w:tc>
          <w:tcPr>
            <w:tcW w:w="580" w:type="dxa"/>
            <w:vAlign w:val="bottom"/>
            <w:gridSpan w:val="2"/>
          </w:tcPr>
          <w:p>
            <w:pPr>
              <w:jc w:val="right"/>
              <w:ind w:right="290"/>
              <w:spacing w:after="0"/>
              <w:rPr>
                <w:sz w:val="20"/>
                <w:szCs w:val="20"/>
                <w:color w:val="auto"/>
              </w:rPr>
            </w:pPr>
            <w:r>
              <w:rPr>
                <w:rFonts w:ascii="Arial" w:cs="Arial" w:eastAsia="Arial" w:hAnsi="Arial"/>
                <w:sz w:val="18"/>
                <w:szCs w:val="18"/>
                <w:color w:val="auto"/>
              </w:rPr>
              <w:t>$</w:t>
            </w:r>
          </w:p>
        </w:tc>
        <w:tc>
          <w:tcPr>
            <w:tcW w:w="1100" w:type="dxa"/>
            <w:vAlign w:val="bottom"/>
          </w:tcPr>
          <w:p>
            <w:pPr>
              <w:jc w:val="right"/>
              <w:ind w:right="10"/>
              <w:spacing w:after="0"/>
              <w:rPr>
                <w:sz w:val="20"/>
                <w:szCs w:val="20"/>
                <w:color w:val="auto"/>
              </w:rPr>
            </w:pPr>
            <w:r>
              <w:rPr>
                <w:rFonts w:ascii="Arial" w:cs="Arial" w:eastAsia="Arial" w:hAnsi="Arial"/>
                <w:sz w:val="18"/>
                <w:szCs w:val="18"/>
                <w:color w:val="auto"/>
              </w:rPr>
              <w:t>186</w:t>
            </w:r>
          </w:p>
        </w:tc>
        <w:tc>
          <w:tcPr>
            <w:tcW w:w="0" w:type="dxa"/>
            <w:vAlign w:val="bottom"/>
          </w:tcPr>
          <w:p>
            <w:pPr>
              <w:spacing w:after="0"/>
              <w:rPr>
                <w:sz w:val="1"/>
                <w:szCs w:val="1"/>
                <w:color w:val="auto"/>
              </w:rPr>
            </w:pPr>
          </w:p>
        </w:tc>
      </w:tr>
      <w:tr>
        <w:trPr>
          <w:trHeight w:val="20"/>
        </w:trPr>
        <w:tc>
          <w:tcPr>
            <w:tcW w:w="600" w:type="dxa"/>
            <w:vAlign w:val="bottom"/>
            <w:vMerge w:val="restart"/>
          </w:tcPr>
          <w:p>
            <w:pPr>
              <w:spacing w:after="0"/>
              <w:rPr>
                <w:sz w:val="20"/>
                <w:szCs w:val="20"/>
                <w:color w:val="auto"/>
              </w:rPr>
            </w:pPr>
            <w:r>
              <w:rPr>
                <w:rFonts w:ascii="Arial" w:cs="Arial" w:eastAsia="Arial" w:hAnsi="Arial"/>
                <w:sz w:val="18"/>
                <w:szCs w:val="18"/>
                <w:b w:val="1"/>
                <w:bCs w:val="1"/>
                <w:color w:val="auto"/>
              </w:rPr>
              <w:t>13.</w:t>
            </w:r>
          </w:p>
        </w:tc>
        <w:tc>
          <w:tcPr>
            <w:tcW w:w="6760" w:type="dxa"/>
            <w:vAlign w:val="bottom"/>
            <w:vMerge w:val="restart"/>
          </w:tcPr>
          <w:p>
            <w:pPr>
              <w:ind w:left="40"/>
              <w:spacing w:after="0"/>
              <w:rPr>
                <w:sz w:val="20"/>
                <w:szCs w:val="20"/>
                <w:color w:val="auto"/>
              </w:rPr>
            </w:pPr>
            <w:r>
              <w:rPr>
                <w:rFonts w:ascii="Arial" w:cs="Arial" w:eastAsia="Arial" w:hAnsi="Arial"/>
                <w:sz w:val="18"/>
                <w:szCs w:val="18"/>
                <w:b w:val="1"/>
                <w:bCs w:val="1"/>
                <w:color w:val="auto"/>
              </w:rPr>
              <w:t>Income Tax</w:t>
            </w:r>
          </w:p>
        </w:tc>
        <w:tc>
          <w:tcPr>
            <w:tcW w:w="340" w:type="dxa"/>
            <w:vAlign w:val="bottom"/>
            <w:tcBorders>
              <w:top w:val="single" w:sz="8" w:color="auto"/>
              <w:bottom w:val="single" w:sz="8" w:color="auto"/>
            </w:tcBorders>
          </w:tcPr>
          <w:p>
            <w:pPr>
              <w:spacing w:after="0" w:line="20" w:lineRule="exact"/>
              <w:rPr>
                <w:sz w:val="1"/>
                <w:szCs w:val="1"/>
                <w:color w:val="auto"/>
              </w:rPr>
            </w:pPr>
          </w:p>
        </w:tc>
        <w:tc>
          <w:tcPr>
            <w:tcW w:w="12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656"/>
        </w:trPr>
        <w:tc>
          <w:tcPr>
            <w:tcW w:w="600" w:type="dxa"/>
            <w:vAlign w:val="bottom"/>
            <w:vMerge w:val="continue"/>
          </w:tcPr>
          <w:p>
            <w:pPr>
              <w:spacing w:after="0"/>
              <w:rPr>
                <w:sz w:val="24"/>
                <w:szCs w:val="24"/>
                <w:color w:val="auto"/>
              </w:rPr>
            </w:pPr>
          </w:p>
        </w:tc>
        <w:tc>
          <w:tcPr>
            <w:tcW w:w="6760" w:type="dxa"/>
            <w:vAlign w:val="bottom"/>
            <w:vMerge w:val="continue"/>
          </w:tcPr>
          <w:p>
            <w:pPr>
              <w:spacing w:after="0"/>
              <w:rPr>
                <w:sz w:val="24"/>
                <w:szCs w:val="24"/>
                <w:color w:val="auto"/>
              </w:rPr>
            </w:pPr>
          </w:p>
        </w:tc>
        <w:tc>
          <w:tcPr>
            <w:tcW w:w="34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59"/>
        </w:trPr>
        <w:tc>
          <w:tcPr>
            <w:tcW w:w="7360" w:type="dxa"/>
            <w:vAlign w:val="bottom"/>
            <w:gridSpan w:val="2"/>
          </w:tcPr>
          <w:p>
            <w:pPr>
              <w:spacing w:after="0"/>
              <w:rPr>
                <w:sz w:val="20"/>
                <w:szCs w:val="20"/>
                <w:color w:val="auto"/>
              </w:rPr>
            </w:pPr>
            <w:r>
              <w:rPr>
                <w:rFonts w:ascii="Arial" w:cs="Arial" w:eastAsia="Arial" w:hAnsi="Arial"/>
                <w:sz w:val="18"/>
                <w:szCs w:val="18"/>
                <w:color w:val="auto"/>
              </w:rPr>
              <w:t>Income tax expense for years ended December 31, 2021 and 2020 consisted of:</w:t>
            </w:r>
          </w:p>
        </w:tc>
        <w:tc>
          <w:tcPr>
            <w:tcW w:w="34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32"/>
        </w:trPr>
        <w:tc>
          <w:tcPr>
            <w:tcW w:w="600" w:type="dxa"/>
            <w:vAlign w:val="bottom"/>
          </w:tcPr>
          <w:p>
            <w:pPr>
              <w:spacing w:after="0"/>
              <w:rPr>
                <w:sz w:val="24"/>
                <w:szCs w:val="24"/>
                <w:color w:val="auto"/>
              </w:rPr>
            </w:pPr>
          </w:p>
        </w:tc>
        <w:tc>
          <w:tcPr>
            <w:tcW w:w="6760" w:type="dxa"/>
            <w:vAlign w:val="bottom"/>
          </w:tcPr>
          <w:p>
            <w:pPr>
              <w:spacing w:after="0"/>
              <w:rPr>
                <w:sz w:val="24"/>
                <w:szCs w:val="24"/>
                <w:color w:val="auto"/>
              </w:rPr>
            </w:pPr>
          </w:p>
        </w:tc>
        <w:tc>
          <w:tcPr>
            <w:tcW w:w="340" w:type="dxa"/>
            <w:vAlign w:val="bottom"/>
            <w:tcBorders>
              <w:bottom w:val="single" w:sz="8" w:color="auto"/>
            </w:tcBorders>
          </w:tcPr>
          <w:p>
            <w:pPr>
              <w:spacing w:after="0"/>
              <w:rPr>
                <w:sz w:val="24"/>
                <w:szCs w:val="24"/>
                <w:color w:val="auto"/>
              </w:rPr>
            </w:pPr>
          </w:p>
        </w:tc>
        <w:tc>
          <w:tcPr>
            <w:tcW w:w="2960" w:type="dxa"/>
            <w:vAlign w:val="bottom"/>
            <w:tcBorders>
              <w:bottom w:val="single" w:sz="8" w:color="auto"/>
            </w:tcBorders>
            <w:gridSpan w:val="4"/>
          </w:tcPr>
          <w:p>
            <w:pPr>
              <w:jc w:val="right"/>
              <w:ind w:right="610"/>
              <w:spacing w:after="0"/>
              <w:rPr>
                <w:sz w:val="20"/>
                <w:szCs w:val="20"/>
                <w:color w:val="auto"/>
              </w:rPr>
            </w:pPr>
            <w:r>
              <w:rPr>
                <w:rFonts w:ascii="Arial" w:cs="Arial" w:eastAsia="Arial" w:hAnsi="Arial"/>
                <w:sz w:val="18"/>
                <w:szCs w:val="18"/>
                <w:b w:val="1"/>
                <w:bCs w:val="1"/>
                <w:color w:val="auto"/>
              </w:rPr>
              <w:t>Year Ended December 31,</w:t>
            </w:r>
          </w:p>
        </w:tc>
        <w:tc>
          <w:tcPr>
            <w:tcW w:w="0" w:type="dxa"/>
            <w:vAlign w:val="bottom"/>
          </w:tcPr>
          <w:p>
            <w:pPr>
              <w:spacing w:after="0"/>
              <w:rPr>
                <w:sz w:val="1"/>
                <w:szCs w:val="1"/>
                <w:color w:val="auto"/>
              </w:rPr>
            </w:pPr>
          </w:p>
        </w:tc>
      </w:tr>
      <w:tr>
        <w:trPr>
          <w:trHeight w:val="210"/>
        </w:trPr>
        <w:tc>
          <w:tcPr>
            <w:tcW w:w="7360" w:type="dxa"/>
            <w:vAlign w:val="bottom"/>
            <w:gridSpan w:val="2"/>
          </w:tcPr>
          <w:p>
            <w:pPr>
              <w:spacing w:after="0"/>
              <w:rPr>
                <w:sz w:val="20"/>
                <w:szCs w:val="20"/>
                <w:color w:val="auto"/>
              </w:rPr>
            </w:pPr>
            <w:r>
              <w:rPr>
                <w:rFonts w:ascii="Arial" w:cs="Arial" w:eastAsia="Arial" w:hAnsi="Arial"/>
                <w:sz w:val="18"/>
                <w:szCs w:val="18"/>
                <w:color w:val="auto"/>
              </w:rPr>
              <w:t>(in thousands)</w:t>
            </w:r>
          </w:p>
        </w:tc>
        <w:tc>
          <w:tcPr>
            <w:tcW w:w="340" w:type="dxa"/>
            <w:vAlign w:val="bottom"/>
            <w:tcBorders>
              <w:bottom w:val="single" w:sz="8" w:color="auto"/>
            </w:tcBorders>
          </w:tcPr>
          <w:p>
            <w:pPr>
              <w:spacing w:after="0"/>
              <w:rPr>
                <w:sz w:val="18"/>
                <w:szCs w:val="18"/>
                <w:color w:val="auto"/>
              </w:rPr>
            </w:pPr>
          </w:p>
        </w:tc>
        <w:tc>
          <w:tcPr>
            <w:tcW w:w="1280" w:type="dxa"/>
            <w:vAlign w:val="bottom"/>
            <w:tcBorders>
              <w:bottom w:val="single" w:sz="8" w:color="auto"/>
            </w:tcBorders>
          </w:tcPr>
          <w:p>
            <w:pPr>
              <w:jc w:val="right"/>
              <w:ind w:right="590"/>
              <w:spacing w:after="0"/>
              <w:rPr>
                <w:sz w:val="20"/>
                <w:szCs w:val="20"/>
                <w:color w:val="auto"/>
              </w:rPr>
            </w:pPr>
            <w:r>
              <w:rPr>
                <w:rFonts w:ascii="Arial" w:cs="Arial" w:eastAsia="Arial" w:hAnsi="Arial"/>
                <w:sz w:val="18"/>
                <w:szCs w:val="18"/>
                <w:b w:val="1"/>
                <w:bCs w:val="1"/>
                <w:color w:val="auto"/>
              </w:rPr>
              <w:t>2021</w:t>
            </w:r>
          </w:p>
        </w:tc>
        <w:tc>
          <w:tcPr>
            <w:tcW w:w="100" w:type="dxa"/>
            <w:vAlign w:val="bottom"/>
          </w:tcPr>
          <w:p>
            <w:pPr>
              <w:spacing w:after="0"/>
              <w:rPr>
                <w:sz w:val="18"/>
                <w:szCs w:val="18"/>
                <w:color w:val="auto"/>
              </w:rPr>
            </w:pPr>
          </w:p>
        </w:tc>
        <w:tc>
          <w:tcPr>
            <w:tcW w:w="480" w:type="dxa"/>
            <w:vAlign w:val="bottom"/>
            <w:tcBorders>
              <w:bottom w:val="single" w:sz="8" w:color="auto"/>
            </w:tcBorders>
          </w:tcPr>
          <w:p>
            <w:pPr>
              <w:spacing w:after="0"/>
              <w:rPr>
                <w:sz w:val="18"/>
                <w:szCs w:val="18"/>
                <w:color w:val="auto"/>
              </w:rPr>
            </w:pPr>
          </w:p>
        </w:tc>
        <w:tc>
          <w:tcPr>
            <w:tcW w:w="1100" w:type="dxa"/>
            <w:vAlign w:val="bottom"/>
            <w:tcBorders>
              <w:bottom w:val="single" w:sz="8" w:color="auto"/>
            </w:tcBorders>
          </w:tcPr>
          <w:p>
            <w:pPr>
              <w:jc w:val="right"/>
              <w:ind w:right="570"/>
              <w:spacing w:after="0"/>
              <w:rPr>
                <w:sz w:val="20"/>
                <w:szCs w:val="20"/>
                <w:color w:val="auto"/>
              </w:rPr>
            </w:pPr>
            <w:r>
              <w:rPr>
                <w:rFonts w:ascii="Arial" w:cs="Arial" w:eastAsia="Arial" w:hAnsi="Arial"/>
                <w:sz w:val="18"/>
                <w:szCs w:val="18"/>
                <w:b w:val="1"/>
                <w:bCs w:val="1"/>
                <w:color w:val="auto"/>
              </w:rPr>
              <w:t>2020</w:t>
            </w:r>
          </w:p>
        </w:tc>
        <w:tc>
          <w:tcPr>
            <w:tcW w:w="0" w:type="dxa"/>
            <w:vAlign w:val="bottom"/>
          </w:tcPr>
          <w:p>
            <w:pPr>
              <w:spacing w:after="0"/>
              <w:rPr>
                <w:sz w:val="1"/>
                <w:szCs w:val="1"/>
                <w:color w:val="auto"/>
              </w:rPr>
            </w:pPr>
          </w:p>
        </w:tc>
      </w:tr>
      <w:tr>
        <w:trPr>
          <w:trHeight w:val="209"/>
        </w:trPr>
        <w:tc>
          <w:tcPr>
            <w:tcW w:w="73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Current income tax expense:</w:t>
            </w:r>
          </w:p>
        </w:tc>
        <w:tc>
          <w:tcPr>
            <w:tcW w:w="340" w:type="dxa"/>
            <w:vAlign w:val="bottom"/>
            <w:shd w:val="clear" w:color="auto" w:fill="CCEEFF"/>
          </w:tcPr>
          <w:p>
            <w:pPr>
              <w:spacing w:after="0"/>
              <w:rPr>
                <w:sz w:val="18"/>
                <w:szCs w:val="18"/>
                <w:color w:val="auto"/>
              </w:rPr>
            </w:pPr>
          </w:p>
        </w:tc>
        <w:tc>
          <w:tcPr>
            <w:tcW w:w="12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360" w:type="dxa"/>
            <w:vAlign w:val="bottom"/>
            <w:gridSpan w:val="2"/>
          </w:tcPr>
          <w:p>
            <w:pPr>
              <w:spacing w:after="0"/>
              <w:rPr>
                <w:sz w:val="20"/>
                <w:szCs w:val="20"/>
                <w:color w:val="auto"/>
              </w:rPr>
            </w:pPr>
            <w:r>
              <w:rPr>
                <w:rFonts w:ascii="Arial" w:cs="Arial" w:eastAsia="Arial" w:hAnsi="Arial"/>
                <w:sz w:val="18"/>
                <w:szCs w:val="18"/>
                <w:color w:val="auto"/>
              </w:rPr>
              <w:t>Federal and state</w:t>
            </w:r>
          </w:p>
        </w:tc>
        <w:tc>
          <w:tcPr>
            <w:tcW w:w="340" w:type="dxa"/>
            <w:vAlign w:val="bottom"/>
          </w:tcPr>
          <w:p>
            <w:pPr>
              <w:jc w:val="right"/>
              <w:ind w:right="150"/>
              <w:spacing w:after="0"/>
              <w:rPr>
                <w:sz w:val="20"/>
                <w:szCs w:val="20"/>
                <w:color w:val="auto"/>
              </w:rPr>
            </w:pPr>
            <w:r>
              <w:rPr>
                <w:rFonts w:ascii="Arial" w:cs="Arial" w:eastAsia="Arial" w:hAnsi="Arial"/>
                <w:sz w:val="18"/>
                <w:szCs w:val="18"/>
                <w:color w:val="auto"/>
                <w:w w:val="79"/>
              </w:rPr>
              <w:t>$</w:t>
            </w:r>
          </w:p>
        </w:tc>
        <w:tc>
          <w:tcPr>
            <w:tcW w:w="1280" w:type="dxa"/>
            <w:vAlign w:val="bottom"/>
          </w:tcPr>
          <w:p>
            <w:pPr>
              <w:jc w:val="right"/>
              <w:ind w:right="30"/>
              <w:spacing w:after="0"/>
              <w:rPr>
                <w:sz w:val="20"/>
                <w:szCs w:val="20"/>
                <w:color w:val="auto"/>
              </w:rPr>
            </w:pPr>
            <w:r>
              <w:rPr>
                <w:rFonts w:ascii="Arial" w:cs="Arial" w:eastAsia="Arial" w:hAnsi="Arial"/>
                <w:sz w:val="18"/>
                <w:szCs w:val="18"/>
                <w:color w:val="auto"/>
              </w:rPr>
              <w:t>363</w:t>
            </w:r>
          </w:p>
        </w:tc>
        <w:tc>
          <w:tcPr>
            <w:tcW w:w="580" w:type="dxa"/>
            <w:vAlign w:val="bottom"/>
            <w:gridSpan w:val="2"/>
          </w:tcPr>
          <w:p>
            <w:pPr>
              <w:jc w:val="right"/>
              <w:ind w:right="290"/>
              <w:spacing w:after="0"/>
              <w:rPr>
                <w:sz w:val="20"/>
                <w:szCs w:val="20"/>
                <w:color w:val="auto"/>
              </w:rPr>
            </w:pPr>
            <w:r>
              <w:rPr>
                <w:rFonts w:ascii="Arial" w:cs="Arial" w:eastAsia="Arial" w:hAnsi="Arial"/>
                <w:sz w:val="18"/>
                <w:szCs w:val="18"/>
                <w:color w:val="auto"/>
              </w:rPr>
              <w:t>$</w:t>
            </w:r>
          </w:p>
        </w:tc>
        <w:tc>
          <w:tcPr>
            <w:tcW w:w="1100" w:type="dxa"/>
            <w:vAlign w:val="bottom"/>
          </w:tcPr>
          <w:p>
            <w:pPr>
              <w:jc w:val="right"/>
              <w:ind w:right="10"/>
              <w:spacing w:after="0"/>
              <w:rPr>
                <w:sz w:val="20"/>
                <w:szCs w:val="20"/>
                <w:color w:val="auto"/>
              </w:rPr>
            </w:pPr>
            <w:r>
              <w:rPr>
                <w:rFonts w:ascii="Arial" w:cs="Arial" w:eastAsia="Arial" w:hAnsi="Arial"/>
                <w:sz w:val="18"/>
                <w:szCs w:val="18"/>
                <w:color w:val="auto"/>
              </w:rPr>
              <w:t>169</w:t>
            </w:r>
          </w:p>
        </w:tc>
        <w:tc>
          <w:tcPr>
            <w:tcW w:w="0" w:type="dxa"/>
            <w:vAlign w:val="bottom"/>
          </w:tcPr>
          <w:p>
            <w:pPr>
              <w:spacing w:after="0"/>
              <w:rPr>
                <w:sz w:val="1"/>
                <w:szCs w:val="1"/>
                <w:color w:val="auto"/>
              </w:rPr>
            </w:pPr>
          </w:p>
        </w:tc>
      </w:tr>
      <w:tr>
        <w:trPr>
          <w:trHeight w:val="216"/>
        </w:trPr>
        <w:tc>
          <w:tcPr>
            <w:tcW w:w="60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w w:val="94"/>
              </w:rPr>
              <w:t>Foreign</w:t>
            </w:r>
          </w:p>
        </w:tc>
        <w:tc>
          <w:tcPr>
            <w:tcW w:w="6760" w:type="dxa"/>
            <w:vAlign w:val="bottom"/>
            <w:tcBorders>
              <w:bottom w:val="single" w:sz="8" w:color="CCEEFF"/>
            </w:tcBorders>
            <w:shd w:val="clear" w:color="auto" w:fill="CCEEFF"/>
          </w:tcPr>
          <w:p>
            <w:pPr>
              <w:spacing w:after="0"/>
              <w:rPr>
                <w:sz w:val="18"/>
                <w:szCs w:val="18"/>
                <w:color w:val="auto"/>
              </w:rPr>
            </w:pPr>
          </w:p>
        </w:tc>
        <w:tc>
          <w:tcPr>
            <w:tcW w:w="340" w:type="dxa"/>
            <w:vAlign w:val="bottom"/>
            <w:tcBorders>
              <w:bottom w:val="single" w:sz="8" w:color="auto"/>
            </w:tcBorders>
            <w:shd w:val="clear" w:color="auto" w:fill="CCEEFF"/>
          </w:tcPr>
          <w:p>
            <w:pPr>
              <w:spacing w:after="0"/>
              <w:rPr>
                <w:sz w:val="18"/>
                <w:szCs w:val="18"/>
                <w:color w:val="auto"/>
              </w:rPr>
            </w:pPr>
          </w:p>
        </w:tc>
        <w:tc>
          <w:tcPr>
            <w:tcW w:w="128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rPr>
              <w:t>156</w:t>
            </w:r>
          </w:p>
        </w:tc>
        <w:tc>
          <w:tcPr>
            <w:tcW w:w="100" w:type="dxa"/>
            <w:vAlign w:val="bottom"/>
            <w:tcBorders>
              <w:bottom w:val="single" w:sz="8" w:color="CCEEFF"/>
            </w:tcBorders>
            <w:shd w:val="clear" w:color="auto" w:fill="CCEEFF"/>
          </w:tcPr>
          <w:p>
            <w:pPr>
              <w:spacing w:after="0"/>
              <w:rPr>
                <w:sz w:val="18"/>
                <w:szCs w:val="18"/>
                <w:color w:val="auto"/>
              </w:rPr>
            </w:pPr>
          </w:p>
        </w:tc>
        <w:tc>
          <w:tcPr>
            <w:tcW w:w="480" w:type="dxa"/>
            <w:vAlign w:val="bottom"/>
            <w:tcBorders>
              <w:bottom w:val="single" w:sz="8" w:color="auto"/>
            </w:tcBorders>
            <w:shd w:val="clear" w:color="auto" w:fill="CCEEFF"/>
          </w:tcPr>
          <w:p>
            <w:pPr>
              <w:spacing w:after="0"/>
              <w:rPr>
                <w:sz w:val="18"/>
                <w:szCs w:val="18"/>
                <w:color w:val="auto"/>
              </w:rPr>
            </w:pPr>
          </w:p>
        </w:tc>
        <w:tc>
          <w:tcPr>
            <w:tcW w:w="110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492</w:t>
            </w:r>
          </w:p>
        </w:tc>
        <w:tc>
          <w:tcPr>
            <w:tcW w:w="0" w:type="dxa"/>
            <w:vAlign w:val="bottom"/>
          </w:tcPr>
          <w:p>
            <w:pPr>
              <w:spacing w:after="0"/>
              <w:rPr>
                <w:sz w:val="1"/>
                <w:szCs w:val="1"/>
                <w:color w:val="auto"/>
              </w:rPr>
            </w:pPr>
          </w:p>
        </w:tc>
      </w:tr>
      <w:tr>
        <w:trPr>
          <w:trHeight w:val="209"/>
        </w:trPr>
        <w:tc>
          <w:tcPr>
            <w:tcW w:w="600" w:type="dxa"/>
            <w:vAlign w:val="bottom"/>
          </w:tcPr>
          <w:p>
            <w:pPr>
              <w:spacing w:after="0"/>
              <w:rPr>
                <w:sz w:val="18"/>
                <w:szCs w:val="18"/>
                <w:color w:val="auto"/>
              </w:rPr>
            </w:pPr>
          </w:p>
        </w:tc>
        <w:tc>
          <w:tcPr>
            <w:tcW w:w="6760" w:type="dxa"/>
            <w:vAlign w:val="bottom"/>
          </w:tcPr>
          <w:p>
            <w:pPr>
              <w:spacing w:after="0"/>
              <w:rPr>
                <w:sz w:val="18"/>
                <w:szCs w:val="18"/>
                <w:color w:val="auto"/>
              </w:rPr>
            </w:pPr>
          </w:p>
        </w:tc>
        <w:tc>
          <w:tcPr>
            <w:tcW w:w="340" w:type="dxa"/>
            <w:vAlign w:val="bottom"/>
            <w:tcBorders>
              <w:bottom w:val="single" w:sz="8" w:color="auto"/>
            </w:tcBorders>
          </w:tcPr>
          <w:p>
            <w:pPr>
              <w:spacing w:after="0"/>
              <w:rPr>
                <w:sz w:val="18"/>
                <w:szCs w:val="18"/>
                <w:color w:val="auto"/>
              </w:rPr>
            </w:pPr>
          </w:p>
        </w:tc>
        <w:tc>
          <w:tcPr>
            <w:tcW w:w="128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519</w:t>
            </w:r>
          </w:p>
        </w:tc>
        <w:tc>
          <w:tcPr>
            <w:tcW w:w="100" w:type="dxa"/>
            <w:vAlign w:val="bottom"/>
          </w:tcPr>
          <w:p>
            <w:pPr>
              <w:spacing w:after="0"/>
              <w:rPr>
                <w:sz w:val="18"/>
                <w:szCs w:val="18"/>
                <w:color w:val="auto"/>
              </w:rPr>
            </w:pPr>
          </w:p>
        </w:tc>
        <w:tc>
          <w:tcPr>
            <w:tcW w:w="480" w:type="dxa"/>
            <w:vAlign w:val="bottom"/>
            <w:tcBorders>
              <w:bottom w:val="single" w:sz="8" w:color="auto"/>
            </w:tcBorders>
          </w:tcPr>
          <w:p>
            <w:pPr>
              <w:spacing w:after="0"/>
              <w:rPr>
                <w:sz w:val="18"/>
                <w:szCs w:val="18"/>
                <w:color w:val="auto"/>
              </w:rPr>
            </w:pPr>
          </w:p>
        </w:tc>
        <w:tc>
          <w:tcPr>
            <w:tcW w:w="110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661</w:t>
            </w:r>
          </w:p>
        </w:tc>
        <w:tc>
          <w:tcPr>
            <w:tcW w:w="0" w:type="dxa"/>
            <w:vAlign w:val="bottom"/>
          </w:tcPr>
          <w:p>
            <w:pPr>
              <w:spacing w:after="0"/>
              <w:rPr>
                <w:sz w:val="1"/>
                <w:szCs w:val="1"/>
                <w:color w:val="auto"/>
              </w:rPr>
            </w:pPr>
          </w:p>
        </w:tc>
      </w:tr>
      <w:tr>
        <w:trPr>
          <w:trHeight w:val="209"/>
        </w:trPr>
        <w:tc>
          <w:tcPr>
            <w:tcW w:w="73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Deferred income tax (benefit) expense:</w:t>
            </w:r>
          </w:p>
        </w:tc>
        <w:tc>
          <w:tcPr>
            <w:tcW w:w="340" w:type="dxa"/>
            <w:vAlign w:val="bottom"/>
            <w:shd w:val="clear" w:color="auto" w:fill="CCEEFF"/>
          </w:tcPr>
          <w:p>
            <w:pPr>
              <w:spacing w:after="0"/>
              <w:rPr>
                <w:sz w:val="18"/>
                <w:szCs w:val="18"/>
                <w:color w:val="auto"/>
              </w:rPr>
            </w:pPr>
          </w:p>
        </w:tc>
        <w:tc>
          <w:tcPr>
            <w:tcW w:w="12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360" w:type="dxa"/>
            <w:vAlign w:val="bottom"/>
            <w:gridSpan w:val="2"/>
          </w:tcPr>
          <w:p>
            <w:pPr>
              <w:spacing w:after="0"/>
              <w:rPr>
                <w:sz w:val="20"/>
                <w:szCs w:val="20"/>
                <w:color w:val="auto"/>
              </w:rPr>
            </w:pPr>
            <w:r>
              <w:rPr>
                <w:rFonts w:ascii="Arial" w:cs="Arial" w:eastAsia="Arial" w:hAnsi="Arial"/>
                <w:sz w:val="18"/>
                <w:szCs w:val="18"/>
                <w:color w:val="auto"/>
              </w:rPr>
              <w:t>Federal and state</w:t>
            </w:r>
          </w:p>
        </w:tc>
        <w:tc>
          <w:tcPr>
            <w:tcW w:w="340" w:type="dxa"/>
            <w:vAlign w:val="bottom"/>
          </w:tcPr>
          <w:p>
            <w:pPr>
              <w:spacing w:after="0"/>
              <w:rPr>
                <w:sz w:val="18"/>
                <w:szCs w:val="18"/>
                <w:color w:val="auto"/>
              </w:rPr>
            </w:pPr>
          </w:p>
        </w:tc>
        <w:tc>
          <w:tcPr>
            <w:tcW w:w="1280" w:type="dxa"/>
            <w:vAlign w:val="bottom"/>
          </w:tcPr>
          <w:p>
            <w:pPr>
              <w:jc w:val="right"/>
              <w:ind w:right="30"/>
              <w:spacing w:after="0"/>
              <w:rPr>
                <w:sz w:val="20"/>
                <w:szCs w:val="20"/>
                <w:color w:val="auto"/>
              </w:rPr>
            </w:pPr>
            <w:r>
              <w:rPr>
                <w:rFonts w:ascii="Arial" w:cs="Arial" w:eastAsia="Arial" w:hAnsi="Arial"/>
                <w:sz w:val="18"/>
                <w:szCs w:val="18"/>
                <w:color w:val="auto"/>
              </w:rPr>
              <w:t>22</w:t>
            </w:r>
          </w:p>
        </w:tc>
        <w:tc>
          <w:tcPr>
            <w:tcW w:w="10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1100" w:type="dxa"/>
            <w:vAlign w:val="bottom"/>
          </w:tcPr>
          <w:p>
            <w:pPr>
              <w:jc w:val="right"/>
              <w:ind w:right="10"/>
              <w:spacing w:after="0"/>
              <w:rPr>
                <w:sz w:val="20"/>
                <w:szCs w:val="20"/>
                <w:color w:val="auto"/>
              </w:rPr>
            </w:pPr>
            <w:r>
              <w:rPr>
                <w:rFonts w:ascii="Arial" w:cs="Arial" w:eastAsia="Arial" w:hAnsi="Arial"/>
                <w:sz w:val="18"/>
                <w:szCs w:val="18"/>
                <w:color w:val="auto"/>
              </w:rPr>
              <w:t>245</w:t>
            </w:r>
          </w:p>
        </w:tc>
        <w:tc>
          <w:tcPr>
            <w:tcW w:w="0" w:type="dxa"/>
            <w:vAlign w:val="bottom"/>
          </w:tcPr>
          <w:p>
            <w:pPr>
              <w:spacing w:after="0"/>
              <w:rPr>
                <w:sz w:val="1"/>
                <w:szCs w:val="1"/>
                <w:color w:val="auto"/>
              </w:rPr>
            </w:pPr>
          </w:p>
        </w:tc>
      </w:tr>
      <w:tr>
        <w:trPr>
          <w:trHeight w:val="216"/>
        </w:trPr>
        <w:tc>
          <w:tcPr>
            <w:tcW w:w="60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w w:val="94"/>
              </w:rPr>
              <w:t>Foreign</w:t>
            </w:r>
          </w:p>
        </w:tc>
        <w:tc>
          <w:tcPr>
            <w:tcW w:w="6760" w:type="dxa"/>
            <w:vAlign w:val="bottom"/>
            <w:tcBorders>
              <w:bottom w:val="single" w:sz="8" w:color="CCEEFF"/>
            </w:tcBorders>
            <w:shd w:val="clear" w:color="auto" w:fill="CCEEFF"/>
          </w:tcPr>
          <w:p>
            <w:pPr>
              <w:spacing w:after="0"/>
              <w:rPr>
                <w:sz w:val="18"/>
                <w:szCs w:val="18"/>
                <w:color w:val="auto"/>
              </w:rPr>
            </w:pPr>
          </w:p>
        </w:tc>
        <w:tc>
          <w:tcPr>
            <w:tcW w:w="340" w:type="dxa"/>
            <w:vAlign w:val="bottom"/>
            <w:tcBorders>
              <w:bottom w:val="single" w:sz="8" w:color="auto"/>
            </w:tcBorders>
            <w:shd w:val="clear" w:color="auto" w:fill="CCEEFF"/>
          </w:tcPr>
          <w:p>
            <w:pPr>
              <w:spacing w:after="0"/>
              <w:rPr>
                <w:sz w:val="18"/>
                <w:szCs w:val="18"/>
                <w:color w:val="auto"/>
              </w:rPr>
            </w:pPr>
          </w:p>
        </w:tc>
        <w:tc>
          <w:tcPr>
            <w:tcW w:w="12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(393)</w:t>
            </w:r>
          </w:p>
        </w:tc>
        <w:tc>
          <w:tcPr>
            <w:tcW w:w="100" w:type="dxa"/>
            <w:vAlign w:val="bottom"/>
            <w:tcBorders>
              <w:bottom w:val="single" w:sz="8" w:color="CCEEFF"/>
            </w:tcBorders>
            <w:shd w:val="clear" w:color="auto" w:fill="CCEEFF"/>
          </w:tcPr>
          <w:p>
            <w:pPr>
              <w:spacing w:after="0"/>
              <w:rPr>
                <w:sz w:val="18"/>
                <w:szCs w:val="18"/>
                <w:color w:val="auto"/>
              </w:rPr>
            </w:pPr>
          </w:p>
        </w:tc>
        <w:tc>
          <w:tcPr>
            <w:tcW w:w="480" w:type="dxa"/>
            <w:vAlign w:val="bottom"/>
            <w:tcBorders>
              <w:bottom w:val="single" w:sz="8" w:color="auto"/>
            </w:tcBorders>
            <w:shd w:val="clear" w:color="auto" w:fill="CCEEFF"/>
          </w:tcPr>
          <w:p>
            <w:pPr>
              <w:spacing w:after="0"/>
              <w:rPr>
                <w:sz w:val="18"/>
                <w:szCs w:val="18"/>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(388)</w:t>
            </w:r>
          </w:p>
        </w:tc>
        <w:tc>
          <w:tcPr>
            <w:tcW w:w="0" w:type="dxa"/>
            <w:vAlign w:val="bottom"/>
          </w:tcPr>
          <w:p>
            <w:pPr>
              <w:spacing w:after="0"/>
              <w:rPr>
                <w:sz w:val="1"/>
                <w:szCs w:val="1"/>
                <w:color w:val="auto"/>
              </w:rPr>
            </w:pPr>
          </w:p>
        </w:tc>
      </w:tr>
      <w:tr>
        <w:trPr>
          <w:trHeight w:val="209"/>
        </w:trPr>
        <w:tc>
          <w:tcPr>
            <w:tcW w:w="600" w:type="dxa"/>
            <w:vAlign w:val="bottom"/>
          </w:tcPr>
          <w:p>
            <w:pPr>
              <w:spacing w:after="0"/>
              <w:rPr>
                <w:sz w:val="18"/>
                <w:szCs w:val="18"/>
                <w:color w:val="auto"/>
              </w:rPr>
            </w:pPr>
          </w:p>
        </w:tc>
        <w:tc>
          <w:tcPr>
            <w:tcW w:w="6760" w:type="dxa"/>
            <w:vAlign w:val="bottom"/>
          </w:tcPr>
          <w:p>
            <w:pPr>
              <w:spacing w:after="0"/>
              <w:rPr>
                <w:sz w:val="18"/>
                <w:szCs w:val="18"/>
                <w:color w:val="auto"/>
              </w:rPr>
            </w:pPr>
          </w:p>
        </w:tc>
        <w:tc>
          <w:tcPr>
            <w:tcW w:w="340" w:type="dxa"/>
            <w:vAlign w:val="bottom"/>
            <w:tcBorders>
              <w:bottom w:val="single" w:sz="8" w:color="auto"/>
            </w:tcBorders>
          </w:tcPr>
          <w:p>
            <w:pPr>
              <w:spacing w:after="0"/>
              <w:rPr>
                <w:sz w:val="18"/>
                <w:szCs w:val="18"/>
                <w:color w:val="auto"/>
              </w:rPr>
            </w:pPr>
          </w:p>
        </w:tc>
        <w:tc>
          <w:tcPr>
            <w:tcW w:w="12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(371)</w:t>
            </w:r>
          </w:p>
        </w:tc>
        <w:tc>
          <w:tcPr>
            <w:tcW w:w="100" w:type="dxa"/>
            <w:vAlign w:val="bottom"/>
          </w:tcPr>
          <w:p>
            <w:pPr>
              <w:spacing w:after="0"/>
              <w:rPr>
                <w:sz w:val="18"/>
                <w:szCs w:val="18"/>
                <w:color w:val="auto"/>
              </w:rPr>
            </w:pPr>
          </w:p>
        </w:tc>
        <w:tc>
          <w:tcPr>
            <w:tcW w:w="480" w:type="dxa"/>
            <w:vAlign w:val="bottom"/>
            <w:tcBorders>
              <w:bottom w:val="single" w:sz="8" w:color="auto"/>
            </w:tcBorders>
          </w:tcPr>
          <w:p>
            <w:pPr>
              <w:spacing w:after="0"/>
              <w:rPr>
                <w:sz w:val="18"/>
                <w:szCs w:val="18"/>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(143)</w:t>
            </w:r>
          </w:p>
        </w:tc>
        <w:tc>
          <w:tcPr>
            <w:tcW w:w="0" w:type="dxa"/>
            <w:vAlign w:val="bottom"/>
          </w:tcPr>
          <w:p>
            <w:pPr>
              <w:spacing w:after="0"/>
              <w:rPr>
                <w:sz w:val="1"/>
                <w:szCs w:val="1"/>
                <w:color w:val="auto"/>
              </w:rPr>
            </w:pPr>
          </w:p>
        </w:tc>
      </w:tr>
      <w:tr>
        <w:trPr>
          <w:trHeight w:val="250"/>
        </w:trPr>
        <w:tc>
          <w:tcPr>
            <w:tcW w:w="7360" w:type="dxa"/>
            <w:vAlign w:val="bottom"/>
            <w:tcBorders>
              <w:bottom w:val="single" w:sz="8" w:color="CCEEFF"/>
            </w:tcBorders>
            <w:gridSpan w:val="2"/>
            <w:shd w:val="clear" w:color="auto" w:fill="CCEEFF"/>
          </w:tcPr>
          <w:p>
            <w:pPr>
              <w:spacing w:after="0"/>
              <w:rPr>
                <w:sz w:val="20"/>
                <w:szCs w:val="20"/>
                <w:color w:val="auto"/>
              </w:rPr>
            </w:pPr>
            <w:r>
              <w:rPr>
                <w:rFonts w:ascii="Arial" w:cs="Arial" w:eastAsia="Arial" w:hAnsi="Arial"/>
                <w:sz w:val="18"/>
                <w:szCs w:val="18"/>
                <w:color w:val="auto"/>
              </w:rPr>
              <w:t>Total income tax expense</w:t>
            </w:r>
          </w:p>
        </w:tc>
        <w:tc>
          <w:tcPr>
            <w:tcW w:w="340" w:type="dxa"/>
            <w:vAlign w:val="bottom"/>
            <w:tcBorders>
              <w:bottom w:val="single" w:sz="8" w:color="auto"/>
            </w:tcBorders>
            <w:shd w:val="clear" w:color="auto" w:fill="CCEEFF"/>
          </w:tcPr>
          <w:p>
            <w:pPr>
              <w:jc w:val="right"/>
              <w:ind w:right="150"/>
              <w:spacing w:after="0"/>
              <w:rPr>
                <w:sz w:val="20"/>
                <w:szCs w:val="20"/>
                <w:color w:val="auto"/>
              </w:rPr>
            </w:pPr>
            <w:r>
              <w:rPr>
                <w:rFonts w:ascii="Arial" w:cs="Arial" w:eastAsia="Arial" w:hAnsi="Arial"/>
                <w:sz w:val="18"/>
                <w:szCs w:val="18"/>
                <w:color w:val="auto"/>
                <w:w w:val="79"/>
              </w:rPr>
              <w:t>$</w:t>
            </w:r>
          </w:p>
        </w:tc>
        <w:tc>
          <w:tcPr>
            <w:tcW w:w="128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rPr>
              <w:t>148</w:t>
            </w:r>
          </w:p>
        </w:tc>
        <w:tc>
          <w:tcPr>
            <w:tcW w:w="100" w:type="dxa"/>
            <w:vAlign w:val="bottom"/>
            <w:tcBorders>
              <w:bottom w:val="single" w:sz="8" w:color="CCEEFF"/>
            </w:tcBorders>
            <w:shd w:val="clear" w:color="auto" w:fill="CCEEFF"/>
          </w:tcPr>
          <w:p>
            <w:pPr>
              <w:spacing w:after="0"/>
              <w:rPr>
                <w:sz w:val="21"/>
                <w:szCs w:val="21"/>
                <w:color w:val="auto"/>
              </w:rPr>
            </w:pPr>
          </w:p>
        </w:tc>
        <w:tc>
          <w:tcPr>
            <w:tcW w:w="480" w:type="dxa"/>
            <w:vAlign w:val="bottom"/>
            <w:tcBorders>
              <w:bottom w:val="single" w:sz="8" w:color="auto"/>
            </w:tcBorders>
            <w:shd w:val="clear" w:color="auto" w:fill="CCEEFF"/>
          </w:tcPr>
          <w:p>
            <w:pPr>
              <w:jc w:val="right"/>
              <w:ind w:right="290"/>
              <w:spacing w:after="0"/>
              <w:rPr>
                <w:sz w:val="20"/>
                <w:szCs w:val="20"/>
                <w:color w:val="auto"/>
              </w:rPr>
            </w:pPr>
            <w:r>
              <w:rPr>
                <w:rFonts w:ascii="Arial" w:cs="Arial" w:eastAsia="Arial" w:hAnsi="Arial"/>
                <w:sz w:val="18"/>
                <w:szCs w:val="18"/>
                <w:color w:val="auto"/>
                <w:w w:val="79"/>
              </w:rPr>
              <w:t>$</w:t>
            </w:r>
          </w:p>
        </w:tc>
        <w:tc>
          <w:tcPr>
            <w:tcW w:w="110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518</w:t>
            </w:r>
          </w:p>
        </w:tc>
        <w:tc>
          <w:tcPr>
            <w:tcW w:w="0" w:type="dxa"/>
            <w:vAlign w:val="bottom"/>
          </w:tcPr>
          <w:p>
            <w:pPr>
              <w:spacing w:after="0"/>
              <w:rPr>
                <w:sz w:val="1"/>
                <w:szCs w:val="1"/>
                <w:color w:val="auto"/>
              </w:rPr>
            </w:pPr>
          </w:p>
        </w:tc>
      </w:tr>
    </w:tbl>
    <w:p>
      <w:pPr>
        <w:spacing w:after="0" w:line="202" w:lineRule="exact"/>
        <w:rPr>
          <w:sz w:val="20"/>
          <w:szCs w:val="20"/>
          <w:color w:val="auto"/>
        </w:rPr>
      </w:pPr>
    </w:p>
    <w:p>
      <w:pPr>
        <w:jc w:val="both"/>
        <w:ind w:right="80" w:firstLine="648"/>
        <w:spacing w:after="0" w:line="286" w:lineRule="auto"/>
        <w:rPr>
          <w:sz w:val="20"/>
          <w:szCs w:val="20"/>
          <w:color w:val="auto"/>
        </w:rPr>
      </w:pPr>
      <w:r>
        <w:rPr>
          <w:rFonts w:ascii="Arial" w:cs="Arial" w:eastAsia="Arial" w:hAnsi="Arial"/>
          <w:sz w:val="17"/>
          <w:szCs w:val="17"/>
          <w:color w:val="auto"/>
        </w:rPr>
        <w:t>The effective tax rate for the year ended December 31, 2021 was (105.7)% as compared with (7.1)% for the same period in 2020. The difference between the Company’s effective tax rate year over year was primarily attributable to changes in the mix of pre-tax income and losses at individual subsidiaries as well as the impact of different tax rates in certain foreign jurisdictions, and the impact of the change in valuation allowance.</w:t>
      </w:r>
    </w:p>
    <w:p>
      <w:pPr>
        <w:spacing w:after="0" w:line="165" w:lineRule="exact"/>
        <w:rPr>
          <w:sz w:val="20"/>
          <w:szCs w:val="20"/>
          <w:color w:val="auto"/>
        </w:rPr>
      </w:pPr>
    </w:p>
    <w:p>
      <w:pPr>
        <w:jc w:val="both"/>
        <w:ind w:right="80" w:firstLine="648"/>
        <w:spacing w:after="0" w:line="277" w:lineRule="auto"/>
        <w:rPr>
          <w:sz w:val="20"/>
          <w:szCs w:val="20"/>
          <w:color w:val="auto"/>
        </w:rPr>
      </w:pPr>
      <w:r>
        <w:rPr>
          <w:rFonts w:ascii="Arial" w:cs="Arial" w:eastAsia="Arial" w:hAnsi="Arial"/>
          <w:sz w:val="18"/>
          <w:szCs w:val="18"/>
          <w:color w:val="auto"/>
        </w:rPr>
        <w:t>Income tax expense for the years ended December 31, 2021 and 2020 differed from the amount computed by applying the U.S. federal income tax rate of 21% to pre-tax operations income as a result of the following:</w:t>
      </w:r>
    </w:p>
    <w:p>
      <w:pPr>
        <w:spacing w:after="0" w:line="166"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660" w:type="dxa"/>
            <w:vAlign w:val="bottom"/>
          </w:tcPr>
          <w:p>
            <w:pPr>
              <w:spacing w:after="0"/>
              <w:rPr>
                <w:sz w:val="20"/>
                <w:szCs w:val="20"/>
                <w:color w:val="auto"/>
              </w:rPr>
            </w:pPr>
          </w:p>
        </w:tc>
        <w:tc>
          <w:tcPr>
            <w:tcW w:w="4440" w:type="dxa"/>
            <w:vAlign w:val="bottom"/>
          </w:tcPr>
          <w:p>
            <w:pPr>
              <w:spacing w:after="0"/>
              <w:rPr>
                <w:sz w:val="20"/>
                <w:szCs w:val="20"/>
                <w:color w:val="auto"/>
              </w:rPr>
            </w:pPr>
          </w:p>
        </w:tc>
        <w:tc>
          <w:tcPr>
            <w:tcW w:w="2920" w:type="dxa"/>
            <w:vAlign w:val="bottom"/>
          </w:tcPr>
          <w:p>
            <w:pPr>
              <w:spacing w:after="0"/>
              <w:rPr>
                <w:sz w:val="20"/>
                <w:szCs w:val="20"/>
                <w:color w:val="auto"/>
              </w:rPr>
            </w:pPr>
          </w:p>
        </w:tc>
        <w:tc>
          <w:tcPr>
            <w:tcW w:w="340" w:type="dxa"/>
            <w:vAlign w:val="bottom"/>
            <w:tcBorders>
              <w:bottom w:val="single" w:sz="8" w:color="auto"/>
            </w:tcBorders>
          </w:tcPr>
          <w:p>
            <w:pPr>
              <w:spacing w:after="0"/>
              <w:rPr>
                <w:sz w:val="20"/>
                <w:szCs w:val="20"/>
                <w:color w:val="auto"/>
              </w:rPr>
            </w:pPr>
          </w:p>
        </w:tc>
        <w:tc>
          <w:tcPr>
            <w:tcW w:w="2960" w:type="dxa"/>
            <w:vAlign w:val="bottom"/>
            <w:tcBorders>
              <w:bottom w:val="single" w:sz="8" w:color="auto"/>
            </w:tcBorders>
            <w:gridSpan w:val="5"/>
          </w:tcPr>
          <w:p>
            <w:pPr>
              <w:jc w:val="right"/>
              <w:ind w:right="700"/>
              <w:spacing w:after="0"/>
              <w:rPr>
                <w:sz w:val="20"/>
                <w:szCs w:val="20"/>
                <w:color w:val="auto"/>
              </w:rPr>
            </w:pPr>
            <w:r>
              <w:rPr>
                <w:rFonts w:ascii="Arial" w:cs="Arial" w:eastAsia="Arial" w:hAnsi="Arial"/>
                <w:sz w:val="18"/>
                <w:szCs w:val="18"/>
                <w:b w:val="1"/>
                <w:bCs w:val="1"/>
                <w:color w:val="auto"/>
              </w:rPr>
              <w:t>Year Ended December 31,</w:t>
            </w:r>
          </w:p>
        </w:tc>
      </w:tr>
      <w:tr>
        <w:trPr>
          <w:trHeight w:val="210"/>
        </w:trPr>
        <w:tc>
          <w:tcPr>
            <w:tcW w:w="660" w:type="dxa"/>
            <w:vAlign w:val="bottom"/>
          </w:tcPr>
          <w:p>
            <w:pPr>
              <w:spacing w:after="0"/>
              <w:rPr>
                <w:sz w:val="18"/>
                <w:szCs w:val="18"/>
                <w:color w:val="auto"/>
              </w:rPr>
            </w:pPr>
          </w:p>
        </w:tc>
        <w:tc>
          <w:tcPr>
            <w:tcW w:w="4440" w:type="dxa"/>
            <w:vAlign w:val="bottom"/>
          </w:tcPr>
          <w:p>
            <w:pPr>
              <w:spacing w:after="0"/>
              <w:rPr>
                <w:sz w:val="20"/>
                <w:szCs w:val="20"/>
                <w:color w:val="auto"/>
              </w:rPr>
            </w:pPr>
            <w:r>
              <w:rPr>
                <w:rFonts w:ascii="Arial" w:cs="Arial" w:eastAsia="Arial" w:hAnsi="Arial"/>
                <w:sz w:val="18"/>
                <w:szCs w:val="18"/>
                <w:color w:val="auto"/>
              </w:rPr>
              <w:t>(in thousands)</w:t>
            </w:r>
          </w:p>
        </w:tc>
        <w:tc>
          <w:tcPr>
            <w:tcW w:w="2920" w:type="dxa"/>
            <w:vAlign w:val="bottom"/>
          </w:tcPr>
          <w:p>
            <w:pPr>
              <w:spacing w:after="0"/>
              <w:rPr>
                <w:sz w:val="18"/>
                <w:szCs w:val="18"/>
                <w:color w:val="auto"/>
              </w:rPr>
            </w:pPr>
          </w:p>
        </w:tc>
        <w:tc>
          <w:tcPr>
            <w:tcW w:w="340" w:type="dxa"/>
            <w:vAlign w:val="bottom"/>
            <w:tcBorders>
              <w:bottom w:val="single" w:sz="8" w:color="auto"/>
            </w:tcBorders>
          </w:tcPr>
          <w:p>
            <w:pPr>
              <w:spacing w:after="0"/>
              <w:rPr>
                <w:sz w:val="18"/>
                <w:szCs w:val="18"/>
                <w:color w:val="auto"/>
              </w:rPr>
            </w:pPr>
          </w:p>
        </w:tc>
        <w:tc>
          <w:tcPr>
            <w:tcW w:w="1280" w:type="dxa"/>
            <w:vAlign w:val="bottom"/>
            <w:tcBorders>
              <w:bottom w:val="single" w:sz="8" w:color="auto"/>
            </w:tcBorders>
          </w:tcPr>
          <w:p>
            <w:pPr>
              <w:jc w:val="right"/>
              <w:ind w:right="590"/>
              <w:spacing w:after="0"/>
              <w:rPr>
                <w:sz w:val="20"/>
                <w:szCs w:val="20"/>
                <w:color w:val="auto"/>
              </w:rPr>
            </w:pPr>
            <w:r>
              <w:rPr>
                <w:rFonts w:ascii="Arial" w:cs="Arial" w:eastAsia="Arial" w:hAnsi="Arial"/>
                <w:sz w:val="18"/>
                <w:szCs w:val="18"/>
                <w:b w:val="1"/>
                <w:bCs w:val="1"/>
                <w:color w:val="auto"/>
              </w:rPr>
              <w:t>2021</w:t>
            </w:r>
          </w:p>
        </w:tc>
        <w:tc>
          <w:tcPr>
            <w:tcW w:w="100" w:type="dxa"/>
            <w:vAlign w:val="bottom"/>
          </w:tcPr>
          <w:p>
            <w:pPr>
              <w:spacing w:after="0"/>
              <w:rPr>
                <w:sz w:val="18"/>
                <w:szCs w:val="18"/>
                <w:color w:val="auto"/>
              </w:rPr>
            </w:pPr>
          </w:p>
        </w:tc>
        <w:tc>
          <w:tcPr>
            <w:tcW w:w="320" w:type="dxa"/>
            <w:vAlign w:val="bottom"/>
            <w:tcBorders>
              <w:bottom w:val="single" w:sz="8" w:color="auto"/>
            </w:tcBorders>
          </w:tcPr>
          <w:p>
            <w:pPr>
              <w:spacing w:after="0"/>
              <w:rPr>
                <w:sz w:val="18"/>
                <w:szCs w:val="18"/>
                <w:color w:val="auto"/>
              </w:rPr>
            </w:pPr>
          </w:p>
        </w:tc>
        <w:tc>
          <w:tcPr>
            <w:tcW w:w="1180" w:type="dxa"/>
            <w:vAlign w:val="bottom"/>
            <w:tcBorders>
              <w:bottom w:val="single" w:sz="8" w:color="auto"/>
            </w:tcBorders>
          </w:tcPr>
          <w:p>
            <w:pPr>
              <w:jc w:val="right"/>
              <w:ind w:right="490"/>
              <w:spacing w:after="0"/>
              <w:rPr>
                <w:sz w:val="20"/>
                <w:szCs w:val="20"/>
                <w:color w:val="auto"/>
              </w:rPr>
            </w:pPr>
            <w:r>
              <w:rPr>
                <w:rFonts w:ascii="Arial" w:cs="Arial" w:eastAsia="Arial" w:hAnsi="Arial"/>
                <w:sz w:val="18"/>
                <w:szCs w:val="18"/>
                <w:b w:val="1"/>
                <w:bCs w:val="1"/>
                <w:color w:val="auto"/>
              </w:rPr>
              <w:t>2020</w:t>
            </w:r>
          </w:p>
        </w:tc>
        <w:tc>
          <w:tcPr>
            <w:tcW w:w="80" w:type="dxa"/>
            <w:vAlign w:val="bottom"/>
            <w:tcBorders>
              <w:bottom w:val="single" w:sz="8" w:color="auto"/>
            </w:tcBorders>
          </w:tcPr>
          <w:p>
            <w:pPr>
              <w:spacing w:after="0"/>
              <w:rPr>
                <w:sz w:val="18"/>
                <w:szCs w:val="18"/>
                <w:color w:val="auto"/>
              </w:rPr>
            </w:pPr>
          </w:p>
        </w:tc>
      </w:tr>
      <w:tr>
        <w:trPr>
          <w:trHeight w:val="210"/>
        </w:trPr>
        <w:tc>
          <w:tcPr>
            <w:tcW w:w="660" w:type="dxa"/>
            <w:vAlign w:val="bottom"/>
          </w:tcPr>
          <w:p>
            <w:pPr>
              <w:spacing w:after="0"/>
              <w:rPr>
                <w:sz w:val="18"/>
                <w:szCs w:val="18"/>
                <w:color w:val="auto"/>
              </w:rPr>
            </w:pPr>
          </w:p>
        </w:tc>
        <w:tc>
          <w:tcPr>
            <w:tcW w:w="4440" w:type="dxa"/>
            <w:vAlign w:val="bottom"/>
            <w:shd w:val="clear" w:color="auto" w:fill="CCEEFF"/>
          </w:tcPr>
          <w:p>
            <w:pPr>
              <w:spacing w:after="0"/>
              <w:rPr>
                <w:sz w:val="20"/>
                <w:szCs w:val="20"/>
                <w:color w:val="auto"/>
              </w:rPr>
            </w:pPr>
            <w:r>
              <w:rPr>
                <w:rFonts w:ascii="Arial" w:cs="Arial" w:eastAsia="Arial" w:hAnsi="Arial"/>
                <w:sz w:val="18"/>
                <w:szCs w:val="18"/>
                <w:color w:val="auto"/>
              </w:rPr>
              <w:t>Provision for income taxes at federal statutory rates</w:t>
            </w:r>
          </w:p>
        </w:tc>
        <w:tc>
          <w:tcPr>
            <w:tcW w:w="3260" w:type="dxa"/>
            <w:vAlign w:val="bottom"/>
            <w:gridSpan w:val="2"/>
            <w:shd w:val="clear" w:color="auto" w:fill="CCEEFF"/>
          </w:tcPr>
          <w:p>
            <w:pPr>
              <w:jc w:val="right"/>
              <w:ind w:right="150"/>
              <w:spacing w:after="0"/>
              <w:rPr>
                <w:sz w:val="20"/>
                <w:szCs w:val="20"/>
                <w:color w:val="auto"/>
              </w:rPr>
            </w:pPr>
            <w:r>
              <w:rPr>
                <w:rFonts w:ascii="Arial" w:cs="Arial" w:eastAsia="Arial" w:hAnsi="Arial"/>
                <w:sz w:val="18"/>
                <w:szCs w:val="18"/>
                <w:color w:val="auto"/>
              </w:rPr>
              <w:t>$</w:t>
            </w:r>
          </w:p>
        </w:tc>
        <w:tc>
          <w:tcPr>
            <w:tcW w:w="12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(29)</w:t>
            </w:r>
          </w:p>
        </w:tc>
        <w:tc>
          <w:tcPr>
            <w:tcW w:w="420" w:type="dxa"/>
            <w:vAlign w:val="bottom"/>
            <w:gridSpan w:val="2"/>
            <w:shd w:val="clear" w:color="auto" w:fill="CCEEFF"/>
          </w:tcPr>
          <w:p>
            <w:pPr>
              <w:jc w:val="right"/>
              <w:ind w:right="130"/>
              <w:spacing w:after="0"/>
              <w:rPr>
                <w:sz w:val="20"/>
                <w:szCs w:val="20"/>
                <w:color w:val="auto"/>
              </w:rPr>
            </w:pPr>
            <w:r>
              <w:rPr>
                <w:rFonts w:ascii="Arial" w:cs="Arial" w:eastAsia="Arial" w:hAnsi="Arial"/>
                <w:sz w:val="18"/>
                <w:szCs w:val="18"/>
                <w:color w:val="auto"/>
              </w:rPr>
              <w:t>$</w:t>
            </w:r>
          </w:p>
        </w:tc>
        <w:tc>
          <w:tcPr>
            <w:tcW w:w="12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(1,531)</w:t>
            </w:r>
          </w:p>
        </w:tc>
      </w:tr>
      <w:tr>
        <w:trPr>
          <w:trHeight w:val="216"/>
        </w:trPr>
        <w:tc>
          <w:tcPr>
            <w:tcW w:w="660" w:type="dxa"/>
            <w:vAlign w:val="bottom"/>
          </w:tcPr>
          <w:p>
            <w:pPr>
              <w:spacing w:after="0"/>
              <w:rPr>
                <w:sz w:val="18"/>
                <w:szCs w:val="18"/>
                <w:color w:val="auto"/>
              </w:rPr>
            </w:pPr>
          </w:p>
        </w:tc>
        <w:tc>
          <w:tcPr>
            <w:tcW w:w="4440" w:type="dxa"/>
            <w:vAlign w:val="bottom"/>
          </w:tcPr>
          <w:p>
            <w:pPr>
              <w:spacing w:after="0"/>
              <w:rPr>
                <w:sz w:val="20"/>
                <w:szCs w:val="20"/>
                <w:color w:val="auto"/>
              </w:rPr>
            </w:pPr>
            <w:r>
              <w:rPr>
                <w:rFonts w:ascii="Arial" w:cs="Arial" w:eastAsia="Arial" w:hAnsi="Arial"/>
                <w:sz w:val="18"/>
                <w:szCs w:val="18"/>
                <w:color w:val="auto"/>
              </w:rPr>
              <w:t>Increase (decrease) in income taxes resulting from:</w:t>
            </w:r>
          </w:p>
        </w:tc>
        <w:tc>
          <w:tcPr>
            <w:tcW w:w="29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2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80" w:type="dxa"/>
            <w:vAlign w:val="bottom"/>
          </w:tcPr>
          <w:p>
            <w:pPr>
              <w:spacing w:after="0"/>
              <w:rPr>
                <w:sz w:val="18"/>
                <w:szCs w:val="18"/>
                <w:color w:val="auto"/>
              </w:rPr>
            </w:pPr>
          </w:p>
        </w:tc>
      </w:tr>
      <w:tr>
        <w:trPr>
          <w:trHeight w:val="216"/>
        </w:trPr>
        <w:tc>
          <w:tcPr>
            <w:tcW w:w="660" w:type="dxa"/>
            <w:vAlign w:val="bottom"/>
          </w:tcPr>
          <w:p>
            <w:pPr>
              <w:spacing w:after="0"/>
              <w:rPr>
                <w:sz w:val="18"/>
                <w:szCs w:val="18"/>
                <w:color w:val="auto"/>
              </w:rPr>
            </w:pPr>
          </w:p>
        </w:tc>
        <w:tc>
          <w:tcPr>
            <w:tcW w:w="4440" w:type="dxa"/>
            <w:vAlign w:val="bottom"/>
            <w:shd w:val="clear" w:color="auto" w:fill="CCEEFF"/>
          </w:tcPr>
          <w:p>
            <w:pPr>
              <w:ind w:left="160"/>
              <w:spacing w:after="0"/>
              <w:rPr>
                <w:sz w:val="20"/>
                <w:szCs w:val="20"/>
                <w:color w:val="auto"/>
              </w:rPr>
            </w:pPr>
            <w:r>
              <w:rPr>
                <w:rFonts w:ascii="Arial" w:cs="Arial" w:eastAsia="Arial" w:hAnsi="Arial"/>
                <w:sz w:val="18"/>
                <w:szCs w:val="18"/>
                <w:color w:val="auto"/>
              </w:rPr>
              <w:t>Permanent differences, net</w:t>
            </w:r>
          </w:p>
        </w:tc>
        <w:tc>
          <w:tcPr>
            <w:tcW w:w="292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2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(78)</w:t>
            </w:r>
          </w:p>
        </w:tc>
        <w:tc>
          <w:tcPr>
            <w:tcW w:w="1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141</w:t>
            </w:r>
          </w:p>
        </w:tc>
        <w:tc>
          <w:tcPr>
            <w:tcW w:w="80" w:type="dxa"/>
            <w:vAlign w:val="bottom"/>
            <w:shd w:val="clear" w:color="auto" w:fill="CCEEFF"/>
          </w:tcPr>
          <w:p>
            <w:pPr>
              <w:spacing w:after="0"/>
              <w:rPr>
                <w:sz w:val="18"/>
                <w:szCs w:val="18"/>
                <w:color w:val="auto"/>
              </w:rPr>
            </w:pPr>
          </w:p>
        </w:tc>
      </w:tr>
      <w:tr>
        <w:trPr>
          <w:trHeight w:val="216"/>
        </w:trPr>
        <w:tc>
          <w:tcPr>
            <w:tcW w:w="660" w:type="dxa"/>
            <w:vAlign w:val="bottom"/>
          </w:tcPr>
          <w:p>
            <w:pPr>
              <w:spacing w:after="0"/>
              <w:rPr>
                <w:sz w:val="18"/>
                <w:szCs w:val="18"/>
                <w:color w:val="auto"/>
              </w:rPr>
            </w:pPr>
          </w:p>
        </w:tc>
        <w:tc>
          <w:tcPr>
            <w:tcW w:w="4440" w:type="dxa"/>
            <w:vAlign w:val="bottom"/>
          </w:tcPr>
          <w:p>
            <w:pPr>
              <w:ind w:left="160"/>
              <w:spacing w:after="0"/>
              <w:rPr>
                <w:sz w:val="20"/>
                <w:szCs w:val="20"/>
                <w:color w:val="auto"/>
              </w:rPr>
            </w:pPr>
            <w:r>
              <w:rPr>
                <w:rFonts w:ascii="Arial" w:cs="Arial" w:eastAsia="Arial" w:hAnsi="Arial"/>
                <w:sz w:val="18"/>
                <w:szCs w:val="18"/>
                <w:color w:val="auto"/>
              </w:rPr>
              <w:t>Foreign tax rate differential</w:t>
            </w:r>
          </w:p>
        </w:tc>
        <w:tc>
          <w:tcPr>
            <w:tcW w:w="29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280" w:type="dxa"/>
            <w:vAlign w:val="bottom"/>
          </w:tcPr>
          <w:p>
            <w:pPr>
              <w:jc w:val="right"/>
              <w:spacing w:after="0"/>
              <w:rPr>
                <w:sz w:val="20"/>
                <w:szCs w:val="20"/>
                <w:color w:val="auto"/>
              </w:rPr>
            </w:pPr>
            <w:r>
              <w:rPr>
                <w:rFonts w:ascii="Arial" w:cs="Arial" w:eastAsia="Arial" w:hAnsi="Arial"/>
                <w:sz w:val="18"/>
                <w:szCs w:val="18"/>
                <w:color w:val="auto"/>
              </w:rPr>
              <w:t>(217)</w:t>
            </w: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260" w:type="dxa"/>
            <w:vAlign w:val="bottom"/>
            <w:gridSpan w:val="2"/>
          </w:tcPr>
          <w:p>
            <w:pPr>
              <w:jc w:val="right"/>
              <w:ind w:right="40"/>
              <w:spacing w:after="0"/>
              <w:rPr>
                <w:sz w:val="20"/>
                <w:szCs w:val="20"/>
                <w:color w:val="auto"/>
              </w:rPr>
            </w:pPr>
            <w:r>
              <w:rPr>
                <w:rFonts w:ascii="Arial" w:cs="Arial" w:eastAsia="Arial" w:hAnsi="Arial"/>
                <w:sz w:val="18"/>
                <w:szCs w:val="18"/>
                <w:color w:val="auto"/>
              </w:rPr>
              <w:t>(14)</w:t>
            </w:r>
          </w:p>
        </w:tc>
      </w:tr>
      <w:tr>
        <w:trPr>
          <w:trHeight w:val="216"/>
        </w:trPr>
        <w:tc>
          <w:tcPr>
            <w:tcW w:w="660" w:type="dxa"/>
            <w:vAlign w:val="bottom"/>
          </w:tcPr>
          <w:p>
            <w:pPr>
              <w:spacing w:after="0"/>
              <w:rPr>
                <w:sz w:val="18"/>
                <w:szCs w:val="18"/>
                <w:color w:val="auto"/>
              </w:rPr>
            </w:pPr>
          </w:p>
        </w:tc>
        <w:tc>
          <w:tcPr>
            <w:tcW w:w="4440" w:type="dxa"/>
            <w:vAlign w:val="bottom"/>
            <w:shd w:val="clear" w:color="auto" w:fill="CCEEFF"/>
          </w:tcPr>
          <w:p>
            <w:pPr>
              <w:ind w:left="160"/>
              <w:spacing w:after="0"/>
              <w:rPr>
                <w:sz w:val="20"/>
                <w:szCs w:val="20"/>
                <w:color w:val="auto"/>
              </w:rPr>
            </w:pPr>
            <w:r>
              <w:rPr>
                <w:rFonts w:ascii="Arial" w:cs="Arial" w:eastAsia="Arial" w:hAnsi="Arial"/>
                <w:sz w:val="18"/>
                <w:szCs w:val="18"/>
                <w:color w:val="auto"/>
              </w:rPr>
              <w:t>State income taxes, net of federal income tax benefit</w:t>
            </w:r>
          </w:p>
        </w:tc>
        <w:tc>
          <w:tcPr>
            <w:tcW w:w="292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2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w:t>
            </w:r>
          </w:p>
        </w:tc>
        <w:tc>
          <w:tcPr>
            <w:tcW w:w="1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(77)</w:t>
            </w:r>
          </w:p>
        </w:tc>
      </w:tr>
      <w:tr>
        <w:trPr>
          <w:trHeight w:val="216"/>
        </w:trPr>
        <w:tc>
          <w:tcPr>
            <w:tcW w:w="660" w:type="dxa"/>
            <w:vAlign w:val="bottom"/>
          </w:tcPr>
          <w:p>
            <w:pPr>
              <w:spacing w:after="0"/>
              <w:rPr>
                <w:sz w:val="18"/>
                <w:szCs w:val="18"/>
                <w:color w:val="auto"/>
              </w:rPr>
            </w:pPr>
          </w:p>
        </w:tc>
        <w:tc>
          <w:tcPr>
            <w:tcW w:w="4440" w:type="dxa"/>
            <w:vAlign w:val="bottom"/>
          </w:tcPr>
          <w:p>
            <w:pPr>
              <w:ind w:left="160"/>
              <w:spacing w:after="0"/>
              <w:rPr>
                <w:sz w:val="20"/>
                <w:szCs w:val="20"/>
                <w:color w:val="auto"/>
              </w:rPr>
            </w:pPr>
            <w:r>
              <w:rPr>
                <w:rFonts w:ascii="Arial" w:cs="Arial" w:eastAsia="Arial" w:hAnsi="Arial"/>
                <w:sz w:val="18"/>
                <w:szCs w:val="18"/>
                <w:color w:val="auto"/>
              </w:rPr>
              <w:t>Non-deductible stock compensation expense</w:t>
            </w:r>
          </w:p>
        </w:tc>
        <w:tc>
          <w:tcPr>
            <w:tcW w:w="29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280" w:type="dxa"/>
            <w:vAlign w:val="bottom"/>
          </w:tcPr>
          <w:p>
            <w:pPr>
              <w:jc w:val="right"/>
              <w:ind w:right="30"/>
              <w:spacing w:after="0"/>
              <w:rPr>
                <w:sz w:val="20"/>
                <w:szCs w:val="20"/>
                <w:color w:val="auto"/>
              </w:rPr>
            </w:pPr>
            <w:r>
              <w:rPr>
                <w:rFonts w:ascii="Arial" w:cs="Arial" w:eastAsia="Arial" w:hAnsi="Arial"/>
                <w:sz w:val="18"/>
                <w:szCs w:val="18"/>
                <w:color w:val="auto"/>
              </w:rPr>
              <w:t>408</w:t>
            </w: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94</w:t>
            </w:r>
          </w:p>
        </w:tc>
        <w:tc>
          <w:tcPr>
            <w:tcW w:w="80" w:type="dxa"/>
            <w:vAlign w:val="bottom"/>
          </w:tcPr>
          <w:p>
            <w:pPr>
              <w:spacing w:after="0"/>
              <w:rPr>
                <w:sz w:val="18"/>
                <w:szCs w:val="18"/>
                <w:color w:val="auto"/>
              </w:rPr>
            </w:pPr>
          </w:p>
        </w:tc>
      </w:tr>
      <w:tr>
        <w:trPr>
          <w:trHeight w:val="216"/>
        </w:trPr>
        <w:tc>
          <w:tcPr>
            <w:tcW w:w="660" w:type="dxa"/>
            <w:vAlign w:val="bottom"/>
          </w:tcPr>
          <w:p>
            <w:pPr>
              <w:spacing w:after="0"/>
              <w:rPr>
                <w:sz w:val="18"/>
                <w:szCs w:val="18"/>
                <w:color w:val="auto"/>
              </w:rPr>
            </w:pPr>
          </w:p>
        </w:tc>
        <w:tc>
          <w:tcPr>
            <w:tcW w:w="4440" w:type="dxa"/>
            <w:vAlign w:val="bottom"/>
            <w:shd w:val="clear" w:color="auto" w:fill="CCEEFF"/>
          </w:tcPr>
          <w:p>
            <w:pPr>
              <w:ind w:left="160"/>
              <w:spacing w:after="0"/>
              <w:rPr>
                <w:sz w:val="20"/>
                <w:szCs w:val="20"/>
                <w:color w:val="auto"/>
              </w:rPr>
            </w:pPr>
            <w:r>
              <w:rPr>
                <w:rFonts w:ascii="Arial" w:cs="Arial" w:eastAsia="Arial" w:hAnsi="Arial"/>
                <w:sz w:val="18"/>
                <w:szCs w:val="18"/>
                <w:color w:val="auto"/>
              </w:rPr>
              <w:t>Tax credits</w:t>
            </w:r>
          </w:p>
        </w:tc>
        <w:tc>
          <w:tcPr>
            <w:tcW w:w="292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28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455</w:t>
            </w:r>
          </w:p>
        </w:tc>
        <w:tc>
          <w:tcPr>
            <w:tcW w:w="1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(192)</w:t>
            </w:r>
          </w:p>
        </w:tc>
      </w:tr>
      <w:tr>
        <w:trPr>
          <w:trHeight w:val="216"/>
        </w:trPr>
        <w:tc>
          <w:tcPr>
            <w:tcW w:w="660" w:type="dxa"/>
            <w:vAlign w:val="bottom"/>
          </w:tcPr>
          <w:p>
            <w:pPr>
              <w:spacing w:after="0"/>
              <w:rPr>
                <w:sz w:val="18"/>
                <w:szCs w:val="18"/>
                <w:color w:val="auto"/>
              </w:rPr>
            </w:pPr>
          </w:p>
        </w:tc>
        <w:tc>
          <w:tcPr>
            <w:tcW w:w="4440" w:type="dxa"/>
            <w:vAlign w:val="bottom"/>
          </w:tcPr>
          <w:p>
            <w:pPr>
              <w:ind w:left="160"/>
              <w:spacing w:after="0"/>
              <w:rPr>
                <w:sz w:val="20"/>
                <w:szCs w:val="20"/>
                <w:color w:val="auto"/>
              </w:rPr>
            </w:pPr>
            <w:r>
              <w:rPr>
                <w:rFonts w:ascii="Arial" w:cs="Arial" w:eastAsia="Arial" w:hAnsi="Arial"/>
                <w:sz w:val="18"/>
                <w:szCs w:val="18"/>
                <w:color w:val="auto"/>
              </w:rPr>
              <w:t>Change in reserve for uncertain tax position</w:t>
            </w:r>
          </w:p>
        </w:tc>
        <w:tc>
          <w:tcPr>
            <w:tcW w:w="29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280" w:type="dxa"/>
            <w:vAlign w:val="bottom"/>
          </w:tcPr>
          <w:p>
            <w:pPr>
              <w:jc w:val="right"/>
              <w:spacing w:after="0"/>
              <w:rPr>
                <w:sz w:val="20"/>
                <w:szCs w:val="20"/>
                <w:color w:val="auto"/>
              </w:rPr>
            </w:pPr>
            <w:r>
              <w:rPr>
                <w:rFonts w:ascii="Arial" w:cs="Arial" w:eastAsia="Arial" w:hAnsi="Arial"/>
                <w:sz w:val="18"/>
                <w:szCs w:val="18"/>
                <w:color w:val="auto"/>
              </w:rPr>
              <w:t>(118)</w:t>
            </w: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259</w:t>
            </w:r>
          </w:p>
        </w:tc>
        <w:tc>
          <w:tcPr>
            <w:tcW w:w="80" w:type="dxa"/>
            <w:vAlign w:val="bottom"/>
          </w:tcPr>
          <w:p>
            <w:pPr>
              <w:spacing w:after="0"/>
              <w:rPr>
                <w:sz w:val="18"/>
                <w:szCs w:val="18"/>
                <w:color w:val="auto"/>
              </w:rPr>
            </w:pPr>
          </w:p>
        </w:tc>
      </w:tr>
      <w:tr>
        <w:trPr>
          <w:trHeight w:val="216"/>
        </w:trPr>
        <w:tc>
          <w:tcPr>
            <w:tcW w:w="660" w:type="dxa"/>
            <w:vAlign w:val="bottom"/>
          </w:tcPr>
          <w:p>
            <w:pPr>
              <w:spacing w:after="0"/>
              <w:rPr>
                <w:sz w:val="18"/>
                <w:szCs w:val="18"/>
                <w:color w:val="auto"/>
              </w:rPr>
            </w:pPr>
          </w:p>
        </w:tc>
        <w:tc>
          <w:tcPr>
            <w:tcW w:w="4440" w:type="dxa"/>
            <w:vAlign w:val="bottom"/>
            <w:shd w:val="clear" w:color="auto" w:fill="CCEEFF"/>
          </w:tcPr>
          <w:p>
            <w:pPr>
              <w:ind w:left="160"/>
              <w:spacing w:after="0"/>
              <w:rPr>
                <w:sz w:val="20"/>
                <w:szCs w:val="20"/>
                <w:color w:val="auto"/>
              </w:rPr>
            </w:pPr>
            <w:r>
              <w:rPr>
                <w:rFonts w:ascii="Arial" w:cs="Arial" w:eastAsia="Arial" w:hAnsi="Arial"/>
                <w:sz w:val="18"/>
                <w:szCs w:val="18"/>
                <w:color w:val="auto"/>
              </w:rPr>
              <w:t>Impact of change to prior year tax accruals</w:t>
            </w:r>
          </w:p>
        </w:tc>
        <w:tc>
          <w:tcPr>
            <w:tcW w:w="292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28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464</w:t>
            </w:r>
          </w:p>
        </w:tc>
        <w:tc>
          <w:tcPr>
            <w:tcW w:w="1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168</w:t>
            </w:r>
          </w:p>
        </w:tc>
        <w:tc>
          <w:tcPr>
            <w:tcW w:w="80" w:type="dxa"/>
            <w:vAlign w:val="bottom"/>
            <w:shd w:val="clear" w:color="auto" w:fill="CCEEFF"/>
          </w:tcPr>
          <w:p>
            <w:pPr>
              <w:spacing w:after="0"/>
              <w:rPr>
                <w:sz w:val="18"/>
                <w:szCs w:val="18"/>
                <w:color w:val="auto"/>
              </w:rPr>
            </w:pPr>
          </w:p>
        </w:tc>
      </w:tr>
      <w:tr>
        <w:trPr>
          <w:trHeight w:val="216"/>
        </w:trPr>
        <w:tc>
          <w:tcPr>
            <w:tcW w:w="660" w:type="dxa"/>
            <w:vAlign w:val="bottom"/>
          </w:tcPr>
          <w:p>
            <w:pPr>
              <w:spacing w:after="0"/>
              <w:rPr>
                <w:sz w:val="18"/>
                <w:szCs w:val="18"/>
                <w:color w:val="auto"/>
              </w:rPr>
            </w:pPr>
          </w:p>
        </w:tc>
        <w:tc>
          <w:tcPr>
            <w:tcW w:w="4440" w:type="dxa"/>
            <w:vAlign w:val="bottom"/>
          </w:tcPr>
          <w:p>
            <w:pPr>
              <w:ind w:left="160"/>
              <w:spacing w:after="0"/>
              <w:rPr>
                <w:sz w:val="20"/>
                <w:szCs w:val="20"/>
                <w:color w:val="auto"/>
              </w:rPr>
            </w:pPr>
            <w:r>
              <w:rPr>
                <w:rFonts w:ascii="Arial" w:cs="Arial" w:eastAsia="Arial" w:hAnsi="Arial"/>
                <w:sz w:val="18"/>
                <w:szCs w:val="18"/>
                <w:color w:val="auto"/>
                <w:w w:val="98"/>
              </w:rPr>
              <w:t>Change in valuation allowance allocated to income tax</w:t>
            </w:r>
          </w:p>
        </w:tc>
        <w:tc>
          <w:tcPr>
            <w:tcW w:w="29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280" w:type="dxa"/>
            <w:vAlign w:val="bottom"/>
          </w:tcPr>
          <w:p>
            <w:pPr>
              <w:jc w:val="right"/>
              <w:spacing w:after="0"/>
              <w:rPr>
                <w:sz w:val="20"/>
                <w:szCs w:val="20"/>
                <w:color w:val="auto"/>
              </w:rPr>
            </w:pPr>
            <w:r>
              <w:rPr>
                <w:rFonts w:ascii="Arial" w:cs="Arial" w:eastAsia="Arial" w:hAnsi="Arial"/>
                <w:sz w:val="18"/>
                <w:szCs w:val="18"/>
                <w:color w:val="auto"/>
              </w:rPr>
              <w:t>(961)</w:t>
            </w: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2,130</w:t>
            </w:r>
          </w:p>
        </w:tc>
        <w:tc>
          <w:tcPr>
            <w:tcW w:w="80" w:type="dxa"/>
            <w:vAlign w:val="bottom"/>
          </w:tcPr>
          <w:p>
            <w:pPr>
              <w:spacing w:after="0"/>
              <w:rPr>
                <w:sz w:val="18"/>
                <w:szCs w:val="18"/>
                <w:color w:val="auto"/>
              </w:rPr>
            </w:pPr>
          </w:p>
        </w:tc>
      </w:tr>
      <w:tr>
        <w:trPr>
          <w:trHeight w:val="216"/>
        </w:trPr>
        <w:tc>
          <w:tcPr>
            <w:tcW w:w="660" w:type="dxa"/>
            <w:vAlign w:val="bottom"/>
          </w:tcPr>
          <w:p>
            <w:pPr>
              <w:spacing w:after="0"/>
              <w:rPr>
                <w:sz w:val="18"/>
                <w:szCs w:val="18"/>
                <w:color w:val="auto"/>
              </w:rPr>
            </w:pPr>
          </w:p>
        </w:tc>
        <w:tc>
          <w:tcPr>
            <w:tcW w:w="4440" w:type="dxa"/>
            <w:vAlign w:val="bottom"/>
            <w:tcBorders>
              <w:bottom w:val="single" w:sz="8" w:color="CCEEFF"/>
            </w:tcBorders>
            <w:shd w:val="clear" w:color="auto" w:fill="CCEEFF"/>
          </w:tcPr>
          <w:p>
            <w:pPr>
              <w:ind w:left="160"/>
              <w:spacing w:after="0"/>
              <w:rPr>
                <w:sz w:val="20"/>
                <w:szCs w:val="20"/>
                <w:color w:val="auto"/>
              </w:rPr>
            </w:pPr>
            <w:r>
              <w:rPr>
                <w:rFonts w:ascii="Arial" w:cs="Arial" w:eastAsia="Arial" w:hAnsi="Arial"/>
                <w:sz w:val="18"/>
                <w:szCs w:val="18"/>
                <w:color w:val="auto"/>
              </w:rPr>
              <w:t>Other</w:t>
            </w:r>
          </w:p>
        </w:tc>
        <w:tc>
          <w:tcPr>
            <w:tcW w:w="2920" w:type="dxa"/>
            <w:vAlign w:val="bottom"/>
            <w:tcBorders>
              <w:bottom w:val="single" w:sz="8" w:color="CCEEFF"/>
            </w:tcBorders>
            <w:shd w:val="clear" w:color="auto" w:fill="CCEEFF"/>
          </w:tcPr>
          <w:p>
            <w:pPr>
              <w:spacing w:after="0"/>
              <w:rPr>
                <w:sz w:val="18"/>
                <w:szCs w:val="18"/>
                <w:color w:val="auto"/>
              </w:rPr>
            </w:pPr>
          </w:p>
        </w:tc>
        <w:tc>
          <w:tcPr>
            <w:tcW w:w="340" w:type="dxa"/>
            <w:vAlign w:val="bottom"/>
            <w:tcBorders>
              <w:bottom w:val="single" w:sz="8" w:color="auto"/>
            </w:tcBorders>
            <w:shd w:val="clear" w:color="auto" w:fill="CCEEFF"/>
          </w:tcPr>
          <w:p>
            <w:pPr>
              <w:spacing w:after="0"/>
              <w:rPr>
                <w:sz w:val="18"/>
                <w:szCs w:val="18"/>
                <w:color w:val="auto"/>
              </w:rPr>
            </w:pPr>
          </w:p>
        </w:tc>
        <w:tc>
          <w:tcPr>
            <w:tcW w:w="128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rPr>
              <w:t>240</w:t>
            </w:r>
          </w:p>
        </w:tc>
        <w:tc>
          <w:tcPr>
            <w:tcW w:w="100" w:type="dxa"/>
            <w:vAlign w:val="bottom"/>
            <w:tcBorders>
              <w:bottom w:val="single" w:sz="8" w:color="CCEEFF"/>
            </w:tcBorders>
            <w:shd w:val="clear" w:color="auto" w:fill="CCEEFF"/>
          </w:tcPr>
          <w:p>
            <w:pPr>
              <w:spacing w:after="0"/>
              <w:rPr>
                <w:sz w:val="18"/>
                <w:szCs w:val="18"/>
                <w:color w:val="auto"/>
              </w:rPr>
            </w:pPr>
          </w:p>
        </w:tc>
        <w:tc>
          <w:tcPr>
            <w:tcW w:w="320" w:type="dxa"/>
            <w:vAlign w:val="bottom"/>
            <w:tcBorders>
              <w:bottom w:val="single" w:sz="8" w:color="auto"/>
            </w:tcBorders>
            <w:shd w:val="clear" w:color="auto" w:fill="CCEEFF"/>
          </w:tcPr>
          <w:p>
            <w:pPr>
              <w:spacing w:after="0"/>
              <w:rPr>
                <w:sz w:val="18"/>
                <w:szCs w:val="18"/>
                <w:color w:val="auto"/>
              </w:rPr>
            </w:pPr>
          </w:p>
        </w:tc>
        <w:tc>
          <w:tcPr>
            <w:tcW w:w="1260" w:type="dxa"/>
            <w:vAlign w:val="bottom"/>
            <w:tcBorders>
              <w:bottom w:val="single" w:sz="8" w:color="auto"/>
            </w:tcBorders>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(460)</w:t>
            </w:r>
          </w:p>
        </w:tc>
      </w:tr>
      <w:tr>
        <w:trPr>
          <w:trHeight w:val="209"/>
        </w:trPr>
        <w:tc>
          <w:tcPr>
            <w:tcW w:w="660" w:type="dxa"/>
            <w:vAlign w:val="bottom"/>
          </w:tcPr>
          <w:p>
            <w:pPr>
              <w:spacing w:after="0"/>
              <w:rPr>
                <w:sz w:val="18"/>
                <w:szCs w:val="18"/>
                <w:color w:val="auto"/>
              </w:rPr>
            </w:pPr>
          </w:p>
        </w:tc>
        <w:tc>
          <w:tcPr>
            <w:tcW w:w="4440" w:type="dxa"/>
            <w:vAlign w:val="bottom"/>
          </w:tcPr>
          <w:p>
            <w:pPr>
              <w:spacing w:after="0"/>
              <w:rPr>
                <w:sz w:val="20"/>
                <w:szCs w:val="20"/>
                <w:color w:val="auto"/>
              </w:rPr>
            </w:pPr>
            <w:r>
              <w:rPr>
                <w:rFonts w:ascii="Arial" w:cs="Arial" w:eastAsia="Arial" w:hAnsi="Arial"/>
                <w:sz w:val="18"/>
                <w:szCs w:val="18"/>
                <w:color w:val="auto"/>
              </w:rPr>
              <w:t>Total income tax expense</w:t>
            </w:r>
          </w:p>
        </w:tc>
        <w:tc>
          <w:tcPr>
            <w:tcW w:w="2920" w:type="dxa"/>
            <w:vAlign w:val="bottom"/>
          </w:tcPr>
          <w:p>
            <w:pPr>
              <w:spacing w:after="0"/>
              <w:rPr>
                <w:sz w:val="18"/>
                <w:szCs w:val="18"/>
                <w:color w:val="auto"/>
              </w:rPr>
            </w:pPr>
          </w:p>
        </w:tc>
        <w:tc>
          <w:tcPr>
            <w:tcW w:w="340" w:type="dxa"/>
            <w:vAlign w:val="bottom"/>
            <w:tcBorders>
              <w:bottom w:val="single" w:sz="8" w:color="auto"/>
            </w:tcBorders>
          </w:tcPr>
          <w:p>
            <w:pPr>
              <w:jc w:val="right"/>
              <w:ind w:right="150"/>
              <w:spacing w:after="0"/>
              <w:rPr>
                <w:sz w:val="20"/>
                <w:szCs w:val="20"/>
                <w:color w:val="auto"/>
              </w:rPr>
            </w:pPr>
            <w:r>
              <w:rPr>
                <w:rFonts w:ascii="Arial" w:cs="Arial" w:eastAsia="Arial" w:hAnsi="Arial"/>
                <w:sz w:val="18"/>
                <w:szCs w:val="18"/>
                <w:color w:val="auto"/>
                <w:w w:val="79"/>
              </w:rPr>
              <w:t>$</w:t>
            </w:r>
          </w:p>
        </w:tc>
        <w:tc>
          <w:tcPr>
            <w:tcW w:w="128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148</w:t>
            </w:r>
          </w:p>
        </w:tc>
        <w:tc>
          <w:tcPr>
            <w:tcW w:w="100" w:type="dxa"/>
            <w:vAlign w:val="bottom"/>
          </w:tcPr>
          <w:p>
            <w:pPr>
              <w:spacing w:after="0"/>
              <w:rPr>
                <w:sz w:val="18"/>
                <w:szCs w:val="18"/>
                <w:color w:val="auto"/>
              </w:rPr>
            </w:pPr>
          </w:p>
        </w:tc>
        <w:tc>
          <w:tcPr>
            <w:tcW w:w="320" w:type="dxa"/>
            <w:vAlign w:val="bottom"/>
            <w:tcBorders>
              <w:bottom w:val="single" w:sz="8" w:color="auto"/>
            </w:tcBorders>
          </w:tcPr>
          <w:p>
            <w:pPr>
              <w:jc w:val="right"/>
              <w:ind w:right="130"/>
              <w:spacing w:after="0"/>
              <w:rPr>
                <w:sz w:val="20"/>
                <w:szCs w:val="20"/>
                <w:color w:val="auto"/>
              </w:rPr>
            </w:pPr>
            <w:r>
              <w:rPr>
                <w:rFonts w:ascii="Arial" w:cs="Arial" w:eastAsia="Arial" w:hAnsi="Arial"/>
                <w:sz w:val="18"/>
                <w:szCs w:val="18"/>
                <w:color w:val="auto"/>
                <w:w w:val="79"/>
              </w:rPr>
              <w:t>$</w:t>
            </w: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518</w:t>
            </w:r>
          </w:p>
        </w:tc>
        <w:tc>
          <w:tcPr>
            <w:tcW w:w="80" w:type="dxa"/>
            <w:vAlign w:val="bottom"/>
            <w:tcBorders>
              <w:bottom w:val="single" w:sz="8" w:color="auto"/>
            </w:tcBorders>
          </w:tcPr>
          <w:p>
            <w:pPr>
              <w:spacing w:after="0"/>
              <w:rPr>
                <w:sz w:val="18"/>
                <w:szCs w:val="18"/>
                <w:color w:val="auto"/>
              </w:rPr>
            </w:pPr>
          </w:p>
        </w:tc>
      </w:tr>
      <w:tr>
        <w:trPr>
          <w:trHeight w:val="20"/>
        </w:trPr>
        <w:tc>
          <w:tcPr>
            <w:tcW w:w="660" w:type="dxa"/>
            <w:vAlign w:val="bottom"/>
          </w:tcPr>
          <w:p>
            <w:pPr>
              <w:spacing w:after="0" w:line="20" w:lineRule="exact"/>
              <w:rPr>
                <w:sz w:val="1"/>
                <w:szCs w:val="1"/>
                <w:color w:val="auto"/>
              </w:rPr>
            </w:pPr>
          </w:p>
        </w:tc>
        <w:tc>
          <w:tcPr>
            <w:tcW w:w="4440" w:type="dxa"/>
            <w:vAlign w:val="bottom"/>
          </w:tcPr>
          <w:p>
            <w:pPr>
              <w:spacing w:after="0" w:line="20" w:lineRule="exact"/>
              <w:rPr>
                <w:sz w:val="1"/>
                <w:szCs w:val="1"/>
                <w:color w:val="auto"/>
              </w:rPr>
            </w:pPr>
          </w:p>
        </w:tc>
        <w:tc>
          <w:tcPr>
            <w:tcW w:w="292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r>
      <w:tr>
        <w:trPr>
          <w:trHeight w:val="845"/>
        </w:trPr>
        <w:tc>
          <w:tcPr>
            <w:tcW w:w="660" w:type="dxa"/>
            <w:vAlign w:val="bottom"/>
          </w:tcPr>
          <w:p>
            <w:pPr>
              <w:spacing w:after="0"/>
              <w:rPr>
                <w:sz w:val="24"/>
                <w:szCs w:val="24"/>
                <w:color w:val="auto"/>
              </w:rPr>
            </w:pPr>
          </w:p>
        </w:tc>
        <w:tc>
          <w:tcPr>
            <w:tcW w:w="4440" w:type="dxa"/>
            <w:vAlign w:val="bottom"/>
          </w:tcPr>
          <w:p>
            <w:pPr>
              <w:spacing w:after="0"/>
              <w:rPr>
                <w:sz w:val="24"/>
                <w:szCs w:val="24"/>
                <w:color w:val="auto"/>
              </w:rPr>
            </w:pPr>
          </w:p>
        </w:tc>
        <w:tc>
          <w:tcPr>
            <w:tcW w:w="3260" w:type="dxa"/>
            <w:vAlign w:val="bottom"/>
            <w:gridSpan w:val="2"/>
          </w:tcPr>
          <w:p>
            <w:pPr>
              <w:jc w:val="right"/>
              <w:ind w:right="2450"/>
              <w:spacing w:after="0"/>
              <w:rPr>
                <w:sz w:val="20"/>
                <w:szCs w:val="20"/>
                <w:color w:val="auto"/>
              </w:rPr>
            </w:pPr>
            <w:r>
              <w:rPr>
                <w:rFonts w:ascii="Arial" w:cs="Arial" w:eastAsia="Arial" w:hAnsi="Arial"/>
                <w:sz w:val="18"/>
                <w:szCs w:val="18"/>
                <w:color w:val="auto"/>
              </w:rPr>
              <w:t>F- 27</w:t>
            </w:r>
          </w:p>
        </w:tc>
        <w:tc>
          <w:tcPr>
            <w:tcW w:w="12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80" w:type="dxa"/>
            <w:vAlign w:val="bottom"/>
          </w:tcPr>
          <w:p>
            <w:pPr>
              <w:spacing w:after="0"/>
              <w:rPr>
                <w:sz w:val="24"/>
                <w:szCs w:val="24"/>
                <w:color w:val="auto"/>
              </w:rPr>
            </w:pPr>
          </w:p>
        </w:tc>
      </w:tr>
      <w:tr>
        <w:trPr>
          <w:trHeight w:val="115"/>
        </w:trPr>
        <w:tc>
          <w:tcPr>
            <w:tcW w:w="660" w:type="dxa"/>
            <w:vAlign w:val="bottom"/>
            <w:tcBorders>
              <w:bottom w:val="single" w:sz="8" w:color="auto"/>
            </w:tcBorders>
          </w:tcPr>
          <w:p>
            <w:pPr>
              <w:spacing w:after="0"/>
              <w:rPr>
                <w:sz w:val="10"/>
                <w:szCs w:val="10"/>
                <w:color w:val="auto"/>
              </w:rPr>
            </w:pPr>
          </w:p>
        </w:tc>
        <w:tc>
          <w:tcPr>
            <w:tcW w:w="4440" w:type="dxa"/>
            <w:vAlign w:val="bottom"/>
            <w:tcBorders>
              <w:bottom w:val="single" w:sz="8" w:color="auto"/>
            </w:tcBorders>
          </w:tcPr>
          <w:p>
            <w:pPr>
              <w:spacing w:after="0"/>
              <w:rPr>
                <w:sz w:val="10"/>
                <w:szCs w:val="10"/>
                <w:color w:val="auto"/>
              </w:rPr>
            </w:pPr>
          </w:p>
        </w:tc>
        <w:tc>
          <w:tcPr>
            <w:tcW w:w="2920" w:type="dxa"/>
            <w:vAlign w:val="bottom"/>
            <w:tcBorders>
              <w:bottom w:val="single" w:sz="8" w:color="auto"/>
            </w:tcBorders>
          </w:tcPr>
          <w:p>
            <w:pPr>
              <w:spacing w:after="0"/>
              <w:rPr>
                <w:sz w:val="10"/>
                <w:szCs w:val="10"/>
                <w:color w:val="auto"/>
              </w:rPr>
            </w:pPr>
          </w:p>
        </w:tc>
        <w:tc>
          <w:tcPr>
            <w:tcW w:w="340" w:type="dxa"/>
            <w:vAlign w:val="bottom"/>
            <w:tcBorders>
              <w:bottom w:val="single" w:sz="8" w:color="auto"/>
            </w:tcBorders>
          </w:tcPr>
          <w:p>
            <w:pPr>
              <w:spacing w:after="0"/>
              <w:rPr>
                <w:sz w:val="10"/>
                <w:szCs w:val="10"/>
                <w:color w:val="auto"/>
              </w:rPr>
            </w:pPr>
          </w:p>
        </w:tc>
        <w:tc>
          <w:tcPr>
            <w:tcW w:w="1280" w:type="dxa"/>
            <w:vAlign w:val="bottom"/>
            <w:tcBorders>
              <w:bottom w:val="single" w:sz="8" w:color="auto"/>
            </w:tcBorders>
          </w:tcPr>
          <w:p>
            <w:pPr>
              <w:spacing w:after="0"/>
              <w:rPr>
                <w:sz w:val="10"/>
                <w:szCs w:val="10"/>
                <w:color w:val="auto"/>
              </w:rPr>
            </w:pPr>
          </w:p>
        </w:tc>
        <w:tc>
          <w:tcPr>
            <w:tcW w:w="100" w:type="dxa"/>
            <w:vAlign w:val="bottom"/>
            <w:tcBorders>
              <w:bottom w:val="single" w:sz="8" w:color="auto"/>
            </w:tcBorders>
          </w:tcPr>
          <w:p>
            <w:pPr>
              <w:spacing w:after="0"/>
              <w:rPr>
                <w:sz w:val="10"/>
                <w:szCs w:val="10"/>
                <w:color w:val="auto"/>
              </w:rPr>
            </w:pPr>
          </w:p>
        </w:tc>
        <w:tc>
          <w:tcPr>
            <w:tcW w:w="320" w:type="dxa"/>
            <w:vAlign w:val="bottom"/>
            <w:tcBorders>
              <w:bottom w:val="single" w:sz="8" w:color="auto"/>
            </w:tcBorders>
          </w:tcPr>
          <w:p>
            <w:pPr>
              <w:spacing w:after="0"/>
              <w:rPr>
                <w:sz w:val="10"/>
                <w:szCs w:val="10"/>
                <w:color w:val="auto"/>
              </w:rPr>
            </w:pPr>
          </w:p>
        </w:tc>
        <w:tc>
          <w:tcPr>
            <w:tcW w:w="1180" w:type="dxa"/>
            <w:vAlign w:val="bottom"/>
            <w:tcBorders>
              <w:bottom w:val="single" w:sz="8" w:color="auto"/>
            </w:tcBorders>
          </w:tcPr>
          <w:p>
            <w:pPr>
              <w:spacing w:after="0"/>
              <w:rPr>
                <w:sz w:val="10"/>
                <w:szCs w:val="10"/>
                <w:color w:val="auto"/>
              </w:rPr>
            </w:pPr>
          </w:p>
        </w:tc>
        <w:tc>
          <w:tcPr>
            <w:tcW w:w="80" w:type="dxa"/>
            <w:vAlign w:val="bottom"/>
          </w:tcPr>
          <w:p>
            <w:pPr>
              <w:spacing w:after="0"/>
              <w:rPr>
                <w:sz w:val="10"/>
                <w:szCs w:val="10"/>
                <w:color w:val="auto"/>
              </w:rPr>
            </w:pPr>
          </w:p>
        </w:tc>
      </w:tr>
    </w:tbl>
    <w:p>
      <w:pPr>
        <w:sectPr>
          <w:pgSz w:w="11900" w:h="16838" w:orient="portrait"/>
          <w:cols w:equalWidth="0" w:num="1">
            <w:col w:w="11320"/>
          </w:cols>
          <w:pgMar w:left="320" w:top="125" w:right="259" w:bottom="1440" w:gutter="0" w:footer="0" w:header="0"/>
        </w:sectPr>
      </w:pPr>
    </w:p>
    <w:bookmarkStart w:id="56" w:name="page57"/>
    <w:bookmarkEnd w:id="56"/>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8020" w:type="dxa"/>
            <w:vAlign w:val="bottom"/>
            <w:gridSpan w:val="3"/>
          </w:tcPr>
          <w:p>
            <w:pPr>
              <w:spacing w:after="0"/>
              <w:rPr>
                <w:rFonts w:ascii="Arial" w:cs="Arial" w:eastAsia="Arial" w:hAnsi="Arial"/>
                <w:sz w:val="18"/>
                <w:szCs w:val="18"/>
                <w:color w:val="0000EE"/>
              </w:rPr>
            </w:pPr>
            <w:hyperlink w:anchor="page3">
              <w:r>
                <w:rPr>
                  <w:rFonts w:ascii="Arial" w:cs="Arial" w:eastAsia="Arial" w:hAnsi="Arial"/>
                  <w:sz w:val="18"/>
                  <w:szCs w:val="18"/>
                  <w:color w:val="0000EE"/>
                </w:rPr>
                <w:t>Table of Contents</w:t>
              </w:r>
            </w:hyperlink>
          </w:p>
        </w:tc>
        <w:tc>
          <w:tcPr>
            <w:tcW w:w="340" w:type="dxa"/>
            <w:vAlign w:val="bottom"/>
          </w:tcPr>
          <w:p>
            <w:pPr>
              <w:spacing w:after="0"/>
              <w:rPr>
                <w:sz w:val="17"/>
                <w:szCs w:val="17"/>
                <w:color w:val="auto"/>
              </w:rPr>
            </w:pPr>
          </w:p>
        </w:tc>
        <w:tc>
          <w:tcPr>
            <w:tcW w:w="12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260" w:type="dxa"/>
            <w:vAlign w:val="bottom"/>
          </w:tcPr>
          <w:p>
            <w:pPr>
              <w:spacing w:after="0"/>
              <w:rPr>
                <w:sz w:val="17"/>
                <w:szCs w:val="17"/>
                <w:color w:val="auto"/>
              </w:rPr>
            </w:pPr>
          </w:p>
        </w:tc>
      </w:tr>
      <w:tr>
        <w:trPr>
          <w:trHeight w:val="20"/>
        </w:trPr>
        <w:tc>
          <w:tcPr>
            <w:tcW w:w="660" w:type="dxa"/>
            <w:vAlign w:val="bottom"/>
            <w:shd w:val="clear" w:color="auto" w:fill="0000EE"/>
          </w:tcPr>
          <w:p>
            <w:pPr>
              <w:spacing w:after="0" w:line="20" w:lineRule="exact"/>
              <w:rPr>
                <w:sz w:val="1"/>
                <w:szCs w:val="1"/>
                <w:color w:val="auto"/>
              </w:rPr>
            </w:pPr>
          </w:p>
        </w:tc>
        <w:tc>
          <w:tcPr>
            <w:tcW w:w="620" w:type="dxa"/>
            <w:vAlign w:val="bottom"/>
            <w:shd w:val="clear" w:color="auto" w:fill="0000EE"/>
          </w:tcPr>
          <w:p>
            <w:pPr>
              <w:spacing w:after="0" w:line="20" w:lineRule="exact"/>
              <w:rPr>
                <w:sz w:val="1"/>
                <w:szCs w:val="1"/>
                <w:color w:val="auto"/>
              </w:rPr>
            </w:pPr>
          </w:p>
        </w:tc>
        <w:tc>
          <w:tcPr>
            <w:tcW w:w="674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2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r>
      <w:tr>
        <w:trPr>
          <w:trHeight w:val="480"/>
        </w:trPr>
        <w:tc>
          <w:tcPr>
            <w:tcW w:w="660" w:type="dxa"/>
            <w:vAlign w:val="bottom"/>
          </w:tcPr>
          <w:p>
            <w:pPr>
              <w:spacing w:after="0"/>
              <w:rPr>
                <w:sz w:val="24"/>
                <w:szCs w:val="24"/>
                <w:color w:val="auto"/>
              </w:rPr>
            </w:pPr>
          </w:p>
        </w:tc>
        <w:tc>
          <w:tcPr>
            <w:tcW w:w="7360" w:type="dxa"/>
            <w:vAlign w:val="bottom"/>
            <w:gridSpan w:val="2"/>
          </w:tcPr>
          <w:p>
            <w:pPr>
              <w:spacing w:after="0"/>
              <w:rPr>
                <w:sz w:val="20"/>
                <w:szCs w:val="20"/>
                <w:color w:val="auto"/>
              </w:rPr>
            </w:pPr>
            <w:r>
              <w:rPr>
                <w:rFonts w:ascii="Arial" w:cs="Arial" w:eastAsia="Arial" w:hAnsi="Arial"/>
                <w:sz w:val="18"/>
                <w:szCs w:val="18"/>
                <w:color w:val="auto"/>
              </w:rPr>
              <w:t>Income tax expense is based on the following pre-tax income (loss) from operations:</w:t>
            </w:r>
          </w:p>
        </w:tc>
        <w:tc>
          <w:tcPr>
            <w:tcW w:w="34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260" w:type="dxa"/>
            <w:vAlign w:val="bottom"/>
          </w:tcPr>
          <w:p>
            <w:pPr>
              <w:spacing w:after="0"/>
              <w:rPr>
                <w:sz w:val="24"/>
                <w:szCs w:val="24"/>
                <w:color w:val="auto"/>
              </w:rPr>
            </w:pPr>
          </w:p>
        </w:tc>
      </w:tr>
      <w:tr>
        <w:trPr>
          <w:trHeight w:val="432"/>
        </w:trPr>
        <w:tc>
          <w:tcPr>
            <w:tcW w:w="66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6740" w:type="dxa"/>
            <w:vAlign w:val="bottom"/>
          </w:tcPr>
          <w:p>
            <w:pPr>
              <w:spacing w:after="0"/>
              <w:rPr>
                <w:sz w:val="24"/>
                <w:szCs w:val="24"/>
                <w:color w:val="auto"/>
              </w:rPr>
            </w:pPr>
          </w:p>
        </w:tc>
        <w:tc>
          <w:tcPr>
            <w:tcW w:w="340" w:type="dxa"/>
            <w:vAlign w:val="bottom"/>
            <w:tcBorders>
              <w:bottom w:val="single" w:sz="8" w:color="auto"/>
            </w:tcBorders>
          </w:tcPr>
          <w:p>
            <w:pPr>
              <w:spacing w:after="0"/>
              <w:rPr>
                <w:sz w:val="24"/>
                <w:szCs w:val="24"/>
                <w:color w:val="auto"/>
              </w:rPr>
            </w:pPr>
          </w:p>
        </w:tc>
        <w:tc>
          <w:tcPr>
            <w:tcW w:w="2960" w:type="dxa"/>
            <w:vAlign w:val="bottom"/>
            <w:tcBorders>
              <w:bottom w:val="single" w:sz="8" w:color="auto"/>
            </w:tcBorders>
            <w:gridSpan w:val="4"/>
          </w:tcPr>
          <w:p>
            <w:pPr>
              <w:jc w:val="right"/>
              <w:ind w:right="610"/>
              <w:spacing w:after="0"/>
              <w:rPr>
                <w:sz w:val="20"/>
                <w:szCs w:val="20"/>
                <w:color w:val="auto"/>
              </w:rPr>
            </w:pPr>
            <w:r>
              <w:rPr>
                <w:rFonts w:ascii="Arial" w:cs="Arial" w:eastAsia="Arial" w:hAnsi="Arial"/>
                <w:sz w:val="18"/>
                <w:szCs w:val="18"/>
                <w:b w:val="1"/>
                <w:bCs w:val="1"/>
                <w:color w:val="auto"/>
              </w:rPr>
              <w:t>Year Ended December 31,</w:t>
            </w:r>
          </w:p>
        </w:tc>
      </w:tr>
      <w:tr>
        <w:trPr>
          <w:trHeight w:val="209"/>
        </w:trPr>
        <w:tc>
          <w:tcPr>
            <w:tcW w:w="660" w:type="dxa"/>
            <w:vAlign w:val="bottom"/>
          </w:tcPr>
          <w:p>
            <w:pPr>
              <w:spacing w:after="0"/>
              <w:rPr>
                <w:sz w:val="18"/>
                <w:szCs w:val="18"/>
                <w:color w:val="auto"/>
              </w:rPr>
            </w:pPr>
          </w:p>
        </w:tc>
        <w:tc>
          <w:tcPr>
            <w:tcW w:w="7360" w:type="dxa"/>
            <w:vAlign w:val="bottom"/>
            <w:gridSpan w:val="2"/>
          </w:tcPr>
          <w:p>
            <w:pPr>
              <w:spacing w:after="0"/>
              <w:rPr>
                <w:sz w:val="20"/>
                <w:szCs w:val="20"/>
                <w:color w:val="auto"/>
              </w:rPr>
            </w:pPr>
            <w:r>
              <w:rPr>
                <w:rFonts w:ascii="Arial" w:cs="Arial" w:eastAsia="Arial" w:hAnsi="Arial"/>
                <w:sz w:val="18"/>
                <w:szCs w:val="18"/>
                <w:color w:val="auto"/>
              </w:rPr>
              <w:t>(in thousands)</w:t>
            </w:r>
          </w:p>
        </w:tc>
        <w:tc>
          <w:tcPr>
            <w:tcW w:w="340" w:type="dxa"/>
            <w:vAlign w:val="bottom"/>
            <w:tcBorders>
              <w:bottom w:val="single" w:sz="8" w:color="auto"/>
            </w:tcBorders>
          </w:tcPr>
          <w:p>
            <w:pPr>
              <w:spacing w:after="0"/>
              <w:rPr>
                <w:sz w:val="18"/>
                <w:szCs w:val="18"/>
                <w:color w:val="auto"/>
              </w:rPr>
            </w:pPr>
          </w:p>
        </w:tc>
        <w:tc>
          <w:tcPr>
            <w:tcW w:w="1280" w:type="dxa"/>
            <w:vAlign w:val="bottom"/>
            <w:tcBorders>
              <w:bottom w:val="single" w:sz="8" w:color="auto"/>
            </w:tcBorders>
          </w:tcPr>
          <w:p>
            <w:pPr>
              <w:jc w:val="right"/>
              <w:ind w:right="590"/>
              <w:spacing w:after="0"/>
              <w:rPr>
                <w:sz w:val="20"/>
                <w:szCs w:val="20"/>
                <w:color w:val="auto"/>
              </w:rPr>
            </w:pPr>
            <w:r>
              <w:rPr>
                <w:rFonts w:ascii="Arial" w:cs="Arial" w:eastAsia="Arial" w:hAnsi="Arial"/>
                <w:sz w:val="18"/>
                <w:szCs w:val="18"/>
                <w:b w:val="1"/>
                <w:bCs w:val="1"/>
                <w:color w:val="auto"/>
              </w:rPr>
              <w:t>2021</w:t>
            </w:r>
          </w:p>
        </w:tc>
        <w:tc>
          <w:tcPr>
            <w:tcW w:w="100" w:type="dxa"/>
            <w:vAlign w:val="bottom"/>
          </w:tcPr>
          <w:p>
            <w:pPr>
              <w:spacing w:after="0"/>
              <w:rPr>
                <w:sz w:val="18"/>
                <w:szCs w:val="18"/>
                <w:color w:val="auto"/>
              </w:rPr>
            </w:pPr>
          </w:p>
        </w:tc>
        <w:tc>
          <w:tcPr>
            <w:tcW w:w="320" w:type="dxa"/>
            <w:vAlign w:val="bottom"/>
            <w:tcBorders>
              <w:bottom w:val="single" w:sz="8" w:color="auto"/>
            </w:tcBorders>
          </w:tcPr>
          <w:p>
            <w:pPr>
              <w:spacing w:after="0"/>
              <w:rPr>
                <w:sz w:val="18"/>
                <w:szCs w:val="18"/>
                <w:color w:val="auto"/>
              </w:rPr>
            </w:pPr>
          </w:p>
        </w:tc>
        <w:tc>
          <w:tcPr>
            <w:tcW w:w="1260" w:type="dxa"/>
            <w:vAlign w:val="bottom"/>
            <w:tcBorders>
              <w:bottom w:val="single" w:sz="8" w:color="auto"/>
            </w:tcBorders>
          </w:tcPr>
          <w:p>
            <w:pPr>
              <w:jc w:val="right"/>
              <w:ind w:right="570"/>
              <w:spacing w:after="0"/>
              <w:rPr>
                <w:sz w:val="20"/>
                <w:szCs w:val="20"/>
                <w:color w:val="auto"/>
              </w:rPr>
            </w:pPr>
            <w:r>
              <w:rPr>
                <w:rFonts w:ascii="Arial" w:cs="Arial" w:eastAsia="Arial" w:hAnsi="Arial"/>
                <w:sz w:val="18"/>
                <w:szCs w:val="18"/>
                <w:b w:val="1"/>
                <w:bCs w:val="1"/>
                <w:color w:val="auto"/>
              </w:rPr>
              <w:t>2020</w:t>
            </w:r>
          </w:p>
        </w:tc>
      </w:tr>
      <w:tr>
        <w:trPr>
          <w:trHeight w:val="210"/>
        </w:trPr>
        <w:tc>
          <w:tcPr>
            <w:tcW w:w="660" w:type="dxa"/>
            <w:vAlign w:val="bottom"/>
          </w:tcPr>
          <w:p>
            <w:pPr>
              <w:spacing w:after="0"/>
              <w:rPr>
                <w:sz w:val="18"/>
                <w:szCs w:val="18"/>
                <w:color w:val="auto"/>
              </w:rPr>
            </w:pPr>
          </w:p>
        </w:tc>
        <w:tc>
          <w:tcPr>
            <w:tcW w:w="73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Domestic</w:t>
            </w:r>
          </w:p>
        </w:tc>
        <w:tc>
          <w:tcPr>
            <w:tcW w:w="340" w:type="dxa"/>
            <w:vAlign w:val="bottom"/>
            <w:shd w:val="clear" w:color="auto" w:fill="CCEEFF"/>
          </w:tcPr>
          <w:p>
            <w:pPr>
              <w:jc w:val="right"/>
              <w:ind w:right="150"/>
              <w:spacing w:after="0"/>
              <w:rPr>
                <w:sz w:val="20"/>
                <w:szCs w:val="20"/>
                <w:color w:val="auto"/>
              </w:rPr>
            </w:pPr>
            <w:r>
              <w:rPr>
                <w:rFonts w:ascii="Arial" w:cs="Arial" w:eastAsia="Arial" w:hAnsi="Arial"/>
                <w:sz w:val="18"/>
                <w:szCs w:val="18"/>
                <w:color w:val="auto"/>
                <w:w w:val="79"/>
              </w:rPr>
              <w:t>$</w:t>
            </w:r>
          </w:p>
        </w:tc>
        <w:tc>
          <w:tcPr>
            <w:tcW w:w="128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2,364</w:t>
            </w:r>
          </w:p>
        </w:tc>
        <w:tc>
          <w:tcPr>
            <w:tcW w:w="420" w:type="dxa"/>
            <w:vAlign w:val="bottom"/>
            <w:gridSpan w:val="2"/>
            <w:shd w:val="clear" w:color="auto" w:fill="CCEEFF"/>
          </w:tcPr>
          <w:p>
            <w:pPr>
              <w:jc w:val="right"/>
              <w:ind w:right="130"/>
              <w:spacing w:after="0"/>
              <w:rPr>
                <w:sz w:val="20"/>
                <w:szCs w:val="20"/>
                <w:color w:val="auto"/>
              </w:rPr>
            </w:pPr>
            <w:r>
              <w:rPr>
                <w:rFonts w:ascii="Arial" w:cs="Arial" w:eastAsia="Arial" w:hAnsi="Arial"/>
                <w:sz w:val="18"/>
                <w:szCs w:val="18"/>
                <w:color w:val="auto"/>
              </w:rPr>
              <w:t>$</w:t>
            </w:r>
          </w:p>
        </w:tc>
        <w:tc>
          <w:tcPr>
            <w:tcW w:w="12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(7,954)</w:t>
            </w:r>
          </w:p>
        </w:tc>
      </w:tr>
      <w:tr>
        <w:trPr>
          <w:trHeight w:val="216"/>
        </w:trPr>
        <w:tc>
          <w:tcPr>
            <w:tcW w:w="660" w:type="dxa"/>
            <w:vAlign w:val="bottom"/>
          </w:tcPr>
          <w:p>
            <w:pPr>
              <w:spacing w:after="0"/>
              <w:rPr>
                <w:sz w:val="18"/>
                <w:szCs w:val="18"/>
                <w:color w:val="auto"/>
              </w:rPr>
            </w:pPr>
          </w:p>
        </w:tc>
        <w:tc>
          <w:tcPr>
            <w:tcW w:w="7360" w:type="dxa"/>
            <w:vAlign w:val="bottom"/>
            <w:gridSpan w:val="2"/>
          </w:tcPr>
          <w:p>
            <w:pPr>
              <w:spacing w:after="0"/>
              <w:rPr>
                <w:sz w:val="20"/>
                <w:szCs w:val="20"/>
                <w:color w:val="auto"/>
              </w:rPr>
            </w:pPr>
            <w:r>
              <w:rPr>
                <w:rFonts w:ascii="Arial" w:cs="Arial" w:eastAsia="Arial" w:hAnsi="Arial"/>
                <w:sz w:val="18"/>
                <w:szCs w:val="18"/>
                <w:color w:val="auto"/>
              </w:rPr>
              <w:t>Foreign</w:t>
            </w:r>
          </w:p>
        </w:tc>
        <w:tc>
          <w:tcPr>
            <w:tcW w:w="340" w:type="dxa"/>
            <w:vAlign w:val="bottom"/>
            <w:tcBorders>
              <w:bottom w:val="single" w:sz="8" w:color="auto"/>
            </w:tcBorders>
          </w:tcPr>
          <w:p>
            <w:pPr>
              <w:spacing w:after="0"/>
              <w:rPr>
                <w:sz w:val="18"/>
                <w:szCs w:val="18"/>
                <w:color w:val="auto"/>
              </w:rPr>
            </w:pPr>
          </w:p>
        </w:tc>
        <w:tc>
          <w:tcPr>
            <w:tcW w:w="12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(2,504)</w:t>
            </w:r>
          </w:p>
        </w:tc>
        <w:tc>
          <w:tcPr>
            <w:tcW w:w="100" w:type="dxa"/>
            <w:vAlign w:val="bottom"/>
          </w:tcPr>
          <w:p>
            <w:pPr>
              <w:spacing w:after="0"/>
              <w:rPr>
                <w:sz w:val="18"/>
                <w:szCs w:val="18"/>
                <w:color w:val="auto"/>
              </w:rPr>
            </w:pPr>
          </w:p>
        </w:tc>
        <w:tc>
          <w:tcPr>
            <w:tcW w:w="320" w:type="dxa"/>
            <w:vAlign w:val="bottom"/>
            <w:tcBorders>
              <w:bottom w:val="single" w:sz="8" w:color="auto"/>
            </w:tcBorders>
          </w:tcPr>
          <w:p>
            <w:pPr>
              <w:spacing w:after="0"/>
              <w:rPr>
                <w:sz w:val="18"/>
                <w:szCs w:val="18"/>
                <w:color w:val="auto"/>
              </w:rPr>
            </w:pPr>
          </w:p>
        </w:tc>
        <w:tc>
          <w:tcPr>
            <w:tcW w:w="126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662</w:t>
            </w:r>
          </w:p>
        </w:tc>
      </w:tr>
      <w:tr>
        <w:trPr>
          <w:trHeight w:val="249"/>
        </w:trPr>
        <w:tc>
          <w:tcPr>
            <w:tcW w:w="660" w:type="dxa"/>
            <w:vAlign w:val="bottom"/>
          </w:tcPr>
          <w:p>
            <w:pPr>
              <w:spacing w:after="0"/>
              <w:rPr>
                <w:sz w:val="21"/>
                <w:szCs w:val="21"/>
                <w:color w:val="auto"/>
              </w:rPr>
            </w:pPr>
          </w:p>
        </w:tc>
        <w:tc>
          <w:tcPr>
            <w:tcW w:w="7360" w:type="dxa"/>
            <w:vAlign w:val="bottom"/>
            <w:tcBorders>
              <w:bottom w:val="single" w:sz="8" w:color="CCEEFF"/>
            </w:tcBorders>
            <w:gridSpan w:val="2"/>
            <w:shd w:val="clear" w:color="auto" w:fill="CCEEFF"/>
          </w:tcPr>
          <w:p>
            <w:pPr>
              <w:spacing w:after="0"/>
              <w:rPr>
                <w:sz w:val="20"/>
                <w:szCs w:val="20"/>
                <w:color w:val="auto"/>
              </w:rPr>
            </w:pPr>
            <w:r>
              <w:rPr>
                <w:rFonts w:ascii="Arial" w:cs="Arial" w:eastAsia="Arial" w:hAnsi="Arial"/>
                <w:sz w:val="18"/>
                <w:szCs w:val="18"/>
                <w:color w:val="auto"/>
              </w:rPr>
              <w:t>Total</w:t>
            </w:r>
          </w:p>
        </w:tc>
        <w:tc>
          <w:tcPr>
            <w:tcW w:w="340" w:type="dxa"/>
            <w:vAlign w:val="bottom"/>
            <w:tcBorders>
              <w:bottom w:val="single" w:sz="8" w:color="auto"/>
            </w:tcBorders>
            <w:shd w:val="clear" w:color="auto" w:fill="CCEEFF"/>
          </w:tcPr>
          <w:p>
            <w:pPr>
              <w:jc w:val="right"/>
              <w:ind w:right="150"/>
              <w:spacing w:after="0"/>
              <w:rPr>
                <w:sz w:val="20"/>
                <w:szCs w:val="20"/>
                <w:color w:val="auto"/>
              </w:rPr>
            </w:pPr>
            <w:r>
              <w:rPr>
                <w:rFonts w:ascii="Arial" w:cs="Arial" w:eastAsia="Arial" w:hAnsi="Arial"/>
                <w:sz w:val="18"/>
                <w:szCs w:val="18"/>
                <w:color w:val="auto"/>
                <w:w w:val="79"/>
              </w:rPr>
              <w:t>$</w:t>
            </w:r>
          </w:p>
        </w:tc>
        <w:tc>
          <w:tcPr>
            <w:tcW w:w="12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(140)</w:t>
            </w: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auto"/>
            </w:tcBorders>
            <w:shd w:val="clear" w:color="auto" w:fill="CCEEFF"/>
          </w:tcPr>
          <w:p>
            <w:pPr>
              <w:jc w:val="right"/>
              <w:ind w:right="130"/>
              <w:spacing w:after="0"/>
              <w:rPr>
                <w:sz w:val="20"/>
                <w:szCs w:val="20"/>
                <w:color w:val="auto"/>
              </w:rPr>
            </w:pPr>
            <w:r>
              <w:rPr>
                <w:rFonts w:ascii="Arial" w:cs="Arial" w:eastAsia="Arial" w:hAnsi="Arial"/>
                <w:sz w:val="18"/>
                <w:szCs w:val="18"/>
                <w:color w:val="auto"/>
                <w:w w:val="79"/>
              </w:rPr>
              <w:t>$</w:t>
            </w:r>
          </w:p>
        </w:tc>
        <w:tc>
          <w:tcPr>
            <w:tcW w:w="12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(7,292)</w:t>
            </w:r>
          </w:p>
        </w:tc>
      </w:tr>
    </w:tbl>
    <w:p>
      <w:pPr>
        <w:spacing w:after="0" w:line="202" w:lineRule="exact"/>
        <w:rPr>
          <w:sz w:val="20"/>
          <w:szCs w:val="20"/>
          <w:color w:val="auto"/>
        </w:rPr>
      </w:pPr>
    </w:p>
    <w:p>
      <w:pPr>
        <w:jc w:val="both"/>
        <w:ind w:right="80" w:firstLine="648"/>
        <w:spacing w:after="0" w:line="277" w:lineRule="auto"/>
        <w:rPr>
          <w:sz w:val="20"/>
          <w:szCs w:val="20"/>
          <w:color w:val="auto"/>
        </w:rPr>
      </w:pPr>
      <w:r>
        <w:rPr>
          <w:rFonts w:ascii="Arial" w:cs="Arial" w:eastAsia="Arial" w:hAnsi="Arial"/>
          <w:sz w:val="18"/>
          <w:szCs w:val="18"/>
          <w:color w:val="auto"/>
        </w:rPr>
        <w:t>The tax effects of temporary differences that give rise to significant components of the deferred tax assets and deferred tax liabilities at December 31, 2021 and 2020 are as follows:</w:t>
      </w:r>
    </w:p>
    <w:p>
      <w:pPr>
        <w:spacing w:after="0" w:line="166" w:lineRule="exact"/>
        <w:rPr>
          <w:sz w:val="20"/>
          <w:szCs w:val="20"/>
          <w:color w:val="auto"/>
        </w:rPr>
      </w:pPr>
    </w:p>
    <w:tbl>
      <w:tblPr>
        <w:tblLayout w:type="fixed"/>
        <w:tblInd w:w="660" w:type="dxa"/>
        <w:tblCellMar>
          <w:top w:w="0" w:type="dxa"/>
          <w:left w:w="0" w:type="dxa"/>
          <w:bottom w:w="0" w:type="dxa"/>
          <w:right w:w="0" w:type="dxa"/>
        </w:tblCellMar>
      </w:tblPr>
      <w:tr>
        <w:trPr>
          <w:trHeight w:val="234"/>
        </w:trPr>
        <w:tc>
          <w:tcPr>
            <w:tcW w:w="7280" w:type="dxa"/>
            <w:vAlign w:val="bottom"/>
          </w:tcPr>
          <w:p>
            <w:pPr>
              <w:spacing w:after="0"/>
              <w:rPr>
                <w:sz w:val="20"/>
                <w:szCs w:val="20"/>
                <w:color w:val="auto"/>
              </w:rPr>
            </w:pPr>
          </w:p>
        </w:tc>
        <w:tc>
          <w:tcPr>
            <w:tcW w:w="340" w:type="dxa"/>
            <w:vAlign w:val="bottom"/>
            <w:tcBorders>
              <w:bottom w:val="single" w:sz="8" w:color="auto"/>
            </w:tcBorders>
          </w:tcPr>
          <w:p>
            <w:pPr>
              <w:spacing w:after="0"/>
              <w:rPr>
                <w:sz w:val="20"/>
                <w:szCs w:val="20"/>
                <w:color w:val="auto"/>
              </w:rPr>
            </w:pPr>
          </w:p>
        </w:tc>
        <w:tc>
          <w:tcPr>
            <w:tcW w:w="3040" w:type="dxa"/>
            <w:vAlign w:val="bottom"/>
            <w:tcBorders>
              <w:bottom w:val="single" w:sz="8" w:color="auto"/>
            </w:tcBorders>
            <w:gridSpan w:val="4"/>
          </w:tcPr>
          <w:p>
            <w:pPr>
              <w:jc w:val="right"/>
              <w:ind w:right="650"/>
              <w:spacing w:after="0"/>
              <w:rPr>
                <w:sz w:val="20"/>
                <w:szCs w:val="20"/>
                <w:color w:val="auto"/>
              </w:rPr>
            </w:pPr>
            <w:r>
              <w:rPr>
                <w:rFonts w:ascii="Arial" w:cs="Arial" w:eastAsia="Arial" w:hAnsi="Arial"/>
                <w:sz w:val="18"/>
                <w:szCs w:val="18"/>
                <w:b w:val="1"/>
                <w:bCs w:val="1"/>
                <w:color w:val="auto"/>
              </w:rPr>
              <w:t>Year Ended December 31,</w:t>
            </w:r>
          </w:p>
        </w:tc>
      </w:tr>
      <w:tr>
        <w:trPr>
          <w:trHeight w:val="209"/>
        </w:trPr>
        <w:tc>
          <w:tcPr>
            <w:tcW w:w="7280" w:type="dxa"/>
            <w:vAlign w:val="bottom"/>
          </w:tcPr>
          <w:p>
            <w:pPr>
              <w:spacing w:after="0"/>
              <w:rPr>
                <w:sz w:val="20"/>
                <w:szCs w:val="20"/>
                <w:color w:val="auto"/>
              </w:rPr>
            </w:pPr>
            <w:r>
              <w:rPr>
                <w:rFonts w:ascii="Arial" w:cs="Arial" w:eastAsia="Arial" w:hAnsi="Arial"/>
                <w:sz w:val="18"/>
                <w:szCs w:val="18"/>
                <w:color w:val="auto"/>
              </w:rPr>
              <w:t>(in thousands)</w:t>
            </w:r>
          </w:p>
        </w:tc>
        <w:tc>
          <w:tcPr>
            <w:tcW w:w="340" w:type="dxa"/>
            <w:vAlign w:val="bottom"/>
            <w:tcBorders>
              <w:bottom w:val="single" w:sz="8" w:color="auto"/>
            </w:tcBorders>
          </w:tcPr>
          <w:p>
            <w:pPr>
              <w:spacing w:after="0"/>
              <w:rPr>
                <w:sz w:val="18"/>
                <w:szCs w:val="18"/>
                <w:color w:val="auto"/>
              </w:rPr>
            </w:pPr>
          </w:p>
        </w:tc>
        <w:tc>
          <w:tcPr>
            <w:tcW w:w="1280" w:type="dxa"/>
            <w:vAlign w:val="bottom"/>
            <w:tcBorders>
              <w:bottom w:val="single" w:sz="8" w:color="auto"/>
            </w:tcBorders>
          </w:tcPr>
          <w:p>
            <w:pPr>
              <w:jc w:val="right"/>
              <w:ind w:right="590"/>
              <w:spacing w:after="0"/>
              <w:rPr>
                <w:sz w:val="20"/>
                <w:szCs w:val="20"/>
                <w:color w:val="auto"/>
              </w:rPr>
            </w:pPr>
            <w:r>
              <w:rPr>
                <w:rFonts w:ascii="Arial" w:cs="Arial" w:eastAsia="Arial" w:hAnsi="Arial"/>
                <w:sz w:val="18"/>
                <w:szCs w:val="18"/>
                <w:b w:val="1"/>
                <w:bCs w:val="1"/>
                <w:color w:val="auto"/>
              </w:rPr>
              <w:t>2021</w:t>
            </w:r>
          </w:p>
        </w:tc>
        <w:tc>
          <w:tcPr>
            <w:tcW w:w="100" w:type="dxa"/>
            <w:vAlign w:val="bottom"/>
          </w:tcPr>
          <w:p>
            <w:pPr>
              <w:spacing w:after="0"/>
              <w:rPr>
                <w:sz w:val="18"/>
                <w:szCs w:val="18"/>
                <w:color w:val="auto"/>
              </w:rPr>
            </w:pPr>
          </w:p>
        </w:tc>
        <w:tc>
          <w:tcPr>
            <w:tcW w:w="340" w:type="dxa"/>
            <w:vAlign w:val="bottom"/>
            <w:tcBorders>
              <w:bottom w:val="single" w:sz="8" w:color="auto"/>
            </w:tcBorders>
          </w:tcPr>
          <w:p>
            <w:pPr>
              <w:spacing w:after="0"/>
              <w:rPr>
                <w:sz w:val="18"/>
                <w:szCs w:val="18"/>
                <w:color w:val="auto"/>
              </w:rPr>
            </w:pPr>
          </w:p>
        </w:tc>
        <w:tc>
          <w:tcPr>
            <w:tcW w:w="1320" w:type="dxa"/>
            <w:vAlign w:val="bottom"/>
            <w:tcBorders>
              <w:bottom w:val="single" w:sz="8" w:color="auto"/>
            </w:tcBorders>
          </w:tcPr>
          <w:p>
            <w:pPr>
              <w:jc w:val="right"/>
              <w:ind w:right="610"/>
              <w:spacing w:after="0"/>
              <w:rPr>
                <w:sz w:val="20"/>
                <w:szCs w:val="20"/>
                <w:color w:val="auto"/>
              </w:rPr>
            </w:pPr>
            <w:r>
              <w:rPr>
                <w:rFonts w:ascii="Arial" w:cs="Arial" w:eastAsia="Arial" w:hAnsi="Arial"/>
                <w:sz w:val="18"/>
                <w:szCs w:val="18"/>
                <w:b w:val="1"/>
                <w:bCs w:val="1"/>
                <w:color w:val="auto"/>
              </w:rPr>
              <w:t>2020</w:t>
            </w:r>
          </w:p>
        </w:tc>
      </w:tr>
      <w:tr>
        <w:trPr>
          <w:trHeight w:val="210"/>
        </w:trPr>
        <w:tc>
          <w:tcPr>
            <w:tcW w:w="7280" w:type="dxa"/>
            <w:vAlign w:val="bottom"/>
            <w:shd w:val="clear" w:color="auto" w:fill="CCEEFF"/>
          </w:tcPr>
          <w:p>
            <w:pPr>
              <w:spacing w:after="0"/>
              <w:rPr>
                <w:sz w:val="20"/>
                <w:szCs w:val="20"/>
                <w:color w:val="auto"/>
              </w:rPr>
            </w:pPr>
            <w:r>
              <w:rPr>
                <w:rFonts w:ascii="Arial" w:cs="Arial" w:eastAsia="Arial" w:hAnsi="Arial"/>
                <w:sz w:val="18"/>
                <w:szCs w:val="18"/>
                <w:color w:val="auto"/>
              </w:rPr>
              <w:t>Deferred income tax assets:</w:t>
            </w:r>
          </w:p>
        </w:tc>
        <w:tc>
          <w:tcPr>
            <w:tcW w:w="340" w:type="dxa"/>
            <w:vAlign w:val="bottom"/>
            <w:shd w:val="clear" w:color="auto" w:fill="CCEEFF"/>
          </w:tcPr>
          <w:p>
            <w:pPr>
              <w:spacing w:after="0"/>
              <w:rPr>
                <w:sz w:val="18"/>
                <w:szCs w:val="18"/>
                <w:color w:val="auto"/>
              </w:rPr>
            </w:pPr>
          </w:p>
        </w:tc>
        <w:tc>
          <w:tcPr>
            <w:tcW w:w="12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320" w:type="dxa"/>
            <w:vAlign w:val="bottom"/>
            <w:shd w:val="clear" w:color="auto" w:fill="CCEEFF"/>
          </w:tcPr>
          <w:p>
            <w:pPr>
              <w:spacing w:after="0"/>
              <w:rPr>
                <w:sz w:val="18"/>
                <w:szCs w:val="18"/>
                <w:color w:val="auto"/>
              </w:rPr>
            </w:pPr>
          </w:p>
        </w:tc>
      </w:tr>
      <w:tr>
        <w:trPr>
          <w:trHeight w:val="216"/>
        </w:trPr>
        <w:tc>
          <w:tcPr>
            <w:tcW w:w="7280" w:type="dxa"/>
            <w:vAlign w:val="bottom"/>
          </w:tcPr>
          <w:p>
            <w:pPr>
              <w:ind w:left="160"/>
              <w:spacing w:after="0"/>
              <w:rPr>
                <w:sz w:val="20"/>
                <w:szCs w:val="20"/>
                <w:color w:val="auto"/>
              </w:rPr>
            </w:pPr>
            <w:r>
              <w:rPr>
                <w:rFonts w:ascii="Arial" w:cs="Arial" w:eastAsia="Arial" w:hAnsi="Arial"/>
                <w:sz w:val="18"/>
                <w:szCs w:val="18"/>
                <w:color w:val="auto"/>
              </w:rPr>
              <w:t>Inventory</w:t>
            </w:r>
          </w:p>
        </w:tc>
        <w:tc>
          <w:tcPr>
            <w:tcW w:w="340" w:type="dxa"/>
            <w:vAlign w:val="bottom"/>
          </w:tcPr>
          <w:p>
            <w:pPr>
              <w:jc w:val="right"/>
              <w:ind w:right="150"/>
              <w:spacing w:after="0"/>
              <w:rPr>
                <w:sz w:val="20"/>
                <w:szCs w:val="20"/>
                <w:color w:val="auto"/>
              </w:rPr>
            </w:pPr>
            <w:r>
              <w:rPr>
                <w:rFonts w:ascii="Arial" w:cs="Arial" w:eastAsia="Arial" w:hAnsi="Arial"/>
                <w:sz w:val="18"/>
                <w:szCs w:val="18"/>
                <w:color w:val="auto"/>
                <w:w w:val="79"/>
              </w:rPr>
              <w:t>$</w:t>
            </w:r>
          </w:p>
        </w:tc>
        <w:tc>
          <w:tcPr>
            <w:tcW w:w="1280" w:type="dxa"/>
            <w:vAlign w:val="bottom"/>
          </w:tcPr>
          <w:p>
            <w:pPr>
              <w:jc w:val="right"/>
              <w:spacing w:after="0"/>
              <w:rPr>
                <w:sz w:val="20"/>
                <w:szCs w:val="20"/>
                <w:color w:val="auto"/>
              </w:rPr>
            </w:pPr>
            <w:r>
              <w:rPr>
                <w:rFonts w:ascii="Arial" w:cs="Arial" w:eastAsia="Arial" w:hAnsi="Arial"/>
                <w:sz w:val="18"/>
                <w:szCs w:val="18"/>
                <w:color w:val="auto"/>
              </w:rPr>
              <w:t>1,280</w:t>
            </w:r>
          </w:p>
        </w:tc>
        <w:tc>
          <w:tcPr>
            <w:tcW w:w="440" w:type="dxa"/>
            <w:vAlign w:val="bottom"/>
            <w:gridSpan w:val="2"/>
          </w:tcPr>
          <w:p>
            <w:pPr>
              <w:jc w:val="right"/>
              <w:ind w:right="150"/>
              <w:spacing w:after="0"/>
              <w:rPr>
                <w:sz w:val="20"/>
                <w:szCs w:val="20"/>
                <w:color w:val="auto"/>
              </w:rPr>
            </w:pPr>
            <w:r>
              <w:rPr>
                <w:rFonts w:ascii="Arial" w:cs="Arial" w:eastAsia="Arial" w:hAnsi="Arial"/>
                <w:sz w:val="18"/>
                <w:szCs w:val="18"/>
                <w:color w:val="auto"/>
              </w:rPr>
              <w:t>$</w:t>
            </w:r>
          </w:p>
        </w:tc>
        <w:tc>
          <w:tcPr>
            <w:tcW w:w="1320" w:type="dxa"/>
            <w:vAlign w:val="bottom"/>
          </w:tcPr>
          <w:p>
            <w:pPr>
              <w:jc w:val="right"/>
              <w:ind w:right="10"/>
              <w:spacing w:after="0"/>
              <w:rPr>
                <w:sz w:val="20"/>
                <w:szCs w:val="20"/>
                <w:color w:val="auto"/>
              </w:rPr>
            </w:pPr>
            <w:r>
              <w:rPr>
                <w:rFonts w:ascii="Arial" w:cs="Arial" w:eastAsia="Arial" w:hAnsi="Arial"/>
                <w:sz w:val="18"/>
                <w:szCs w:val="18"/>
                <w:color w:val="auto"/>
              </w:rPr>
              <w:t>1,144</w:t>
            </w:r>
          </w:p>
        </w:tc>
      </w:tr>
      <w:tr>
        <w:trPr>
          <w:trHeight w:val="216"/>
        </w:trPr>
        <w:tc>
          <w:tcPr>
            <w:tcW w:w="7280" w:type="dxa"/>
            <w:vAlign w:val="bottom"/>
            <w:shd w:val="clear" w:color="auto" w:fill="CCEEFF"/>
          </w:tcPr>
          <w:p>
            <w:pPr>
              <w:ind w:left="160"/>
              <w:spacing w:after="0"/>
              <w:rPr>
                <w:sz w:val="20"/>
                <w:szCs w:val="20"/>
                <w:color w:val="auto"/>
              </w:rPr>
            </w:pPr>
            <w:r>
              <w:rPr>
                <w:rFonts w:ascii="Arial" w:cs="Arial" w:eastAsia="Arial" w:hAnsi="Arial"/>
                <w:sz w:val="18"/>
                <w:szCs w:val="18"/>
                <w:color w:val="auto"/>
              </w:rPr>
              <w:t>Operating loss and credit carryforwards</w:t>
            </w:r>
          </w:p>
        </w:tc>
        <w:tc>
          <w:tcPr>
            <w:tcW w:w="340" w:type="dxa"/>
            <w:vAlign w:val="bottom"/>
            <w:shd w:val="clear" w:color="auto" w:fill="CCEEFF"/>
          </w:tcPr>
          <w:p>
            <w:pPr>
              <w:spacing w:after="0"/>
              <w:rPr>
                <w:sz w:val="18"/>
                <w:szCs w:val="18"/>
                <w:color w:val="auto"/>
              </w:rPr>
            </w:pPr>
          </w:p>
        </w:tc>
        <w:tc>
          <w:tcPr>
            <w:tcW w:w="12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18,046</w:t>
            </w:r>
          </w:p>
        </w:tc>
        <w:tc>
          <w:tcPr>
            <w:tcW w:w="1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32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19,220</w:t>
            </w:r>
          </w:p>
        </w:tc>
      </w:tr>
      <w:tr>
        <w:trPr>
          <w:trHeight w:val="216"/>
        </w:trPr>
        <w:tc>
          <w:tcPr>
            <w:tcW w:w="7280" w:type="dxa"/>
            <w:vAlign w:val="bottom"/>
          </w:tcPr>
          <w:p>
            <w:pPr>
              <w:ind w:left="160"/>
              <w:spacing w:after="0"/>
              <w:rPr>
                <w:sz w:val="20"/>
                <w:szCs w:val="20"/>
                <w:color w:val="auto"/>
              </w:rPr>
            </w:pPr>
            <w:r>
              <w:rPr>
                <w:rFonts w:ascii="Arial" w:cs="Arial" w:eastAsia="Arial" w:hAnsi="Arial"/>
                <w:sz w:val="18"/>
                <w:szCs w:val="18"/>
                <w:color w:val="auto"/>
              </w:rPr>
              <w:t>Accrued expenses</w:t>
            </w:r>
          </w:p>
        </w:tc>
        <w:tc>
          <w:tcPr>
            <w:tcW w:w="340" w:type="dxa"/>
            <w:vAlign w:val="bottom"/>
          </w:tcPr>
          <w:p>
            <w:pPr>
              <w:spacing w:after="0"/>
              <w:rPr>
                <w:sz w:val="18"/>
                <w:szCs w:val="18"/>
                <w:color w:val="auto"/>
              </w:rPr>
            </w:pPr>
          </w:p>
        </w:tc>
        <w:tc>
          <w:tcPr>
            <w:tcW w:w="1280" w:type="dxa"/>
            <w:vAlign w:val="bottom"/>
          </w:tcPr>
          <w:p>
            <w:pPr>
              <w:jc w:val="right"/>
              <w:spacing w:after="0"/>
              <w:rPr>
                <w:sz w:val="20"/>
                <w:szCs w:val="20"/>
                <w:color w:val="auto"/>
              </w:rPr>
            </w:pPr>
            <w:r>
              <w:rPr>
                <w:rFonts w:ascii="Arial" w:cs="Arial" w:eastAsia="Arial" w:hAnsi="Arial"/>
                <w:sz w:val="18"/>
                <w:szCs w:val="18"/>
                <w:color w:val="auto"/>
              </w:rPr>
              <w:t>835</w:t>
            </w:r>
          </w:p>
        </w:tc>
        <w:tc>
          <w:tcPr>
            <w:tcW w:w="1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320" w:type="dxa"/>
            <w:vAlign w:val="bottom"/>
          </w:tcPr>
          <w:p>
            <w:pPr>
              <w:jc w:val="right"/>
              <w:ind w:right="10"/>
              <w:spacing w:after="0"/>
              <w:rPr>
                <w:sz w:val="20"/>
                <w:szCs w:val="20"/>
                <w:color w:val="auto"/>
              </w:rPr>
            </w:pPr>
            <w:r>
              <w:rPr>
                <w:rFonts w:ascii="Arial" w:cs="Arial" w:eastAsia="Arial" w:hAnsi="Arial"/>
                <w:sz w:val="18"/>
                <w:szCs w:val="18"/>
                <w:color w:val="auto"/>
              </w:rPr>
              <w:t>555</w:t>
            </w:r>
          </w:p>
        </w:tc>
      </w:tr>
      <w:tr>
        <w:trPr>
          <w:trHeight w:val="216"/>
        </w:trPr>
        <w:tc>
          <w:tcPr>
            <w:tcW w:w="7280" w:type="dxa"/>
            <w:vAlign w:val="bottom"/>
            <w:shd w:val="clear" w:color="auto" w:fill="CCEEFF"/>
          </w:tcPr>
          <w:p>
            <w:pPr>
              <w:ind w:left="160"/>
              <w:spacing w:after="0"/>
              <w:rPr>
                <w:sz w:val="20"/>
                <w:szCs w:val="20"/>
                <w:color w:val="auto"/>
              </w:rPr>
            </w:pPr>
            <w:r>
              <w:rPr>
                <w:rFonts w:ascii="Arial" w:cs="Arial" w:eastAsia="Arial" w:hAnsi="Arial"/>
                <w:sz w:val="18"/>
                <w:szCs w:val="18"/>
                <w:color w:val="auto"/>
              </w:rPr>
              <w:t>Deferred interest expense</w:t>
            </w:r>
          </w:p>
        </w:tc>
        <w:tc>
          <w:tcPr>
            <w:tcW w:w="340" w:type="dxa"/>
            <w:vAlign w:val="bottom"/>
            <w:shd w:val="clear" w:color="auto" w:fill="CCEEFF"/>
          </w:tcPr>
          <w:p>
            <w:pPr>
              <w:spacing w:after="0"/>
              <w:rPr>
                <w:sz w:val="18"/>
                <w:szCs w:val="18"/>
                <w:color w:val="auto"/>
              </w:rPr>
            </w:pPr>
          </w:p>
        </w:tc>
        <w:tc>
          <w:tcPr>
            <w:tcW w:w="12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1,191</w:t>
            </w:r>
          </w:p>
        </w:tc>
        <w:tc>
          <w:tcPr>
            <w:tcW w:w="1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32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1,476</w:t>
            </w:r>
          </w:p>
        </w:tc>
      </w:tr>
      <w:tr>
        <w:trPr>
          <w:trHeight w:val="216"/>
        </w:trPr>
        <w:tc>
          <w:tcPr>
            <w:tcW w:w="7280" w:type="dxa"/>
            <w:vAlign w:val="bottom"/>
          </w:tcPr>
          <w:p>
            <w:pPr>
              <w:ind w:left="160"/>
              <w:spacing w:after="0"/>
              <w:rPr>
                <w:sz w:val="20"/>
                <w:szCs w:val="20"/>
                <w:color w:val="auto"/>
              </w:rPr>
            </w:pPr>
            <w:r>
              <w:rPr>
                <w:rFonts w:ascii="Arial" w:cs="Arial" w:eastAsia="Arial" w:hAnsi="Arial"/>
                <w:sz w:val="18"/>
                <w:szCs w:val="18"/>
                <w:color w:val="auto"/>
              </w:rPr>
              <w:t>Stock compensation</w:t>
            </w:r>
          </w:p>
        </w:tc>
        <w:tc>
          <w:tcPr>
            <w:tcW w:w="340" w:type="dxa"/>
            <w:vAlign w:val="bottom"/>
          </w:tcPr>
          <w:p>
            <w:pPr>
              <w:spacing w:after="0"/>
              <w:rPr>
                <w:sz w:val="18"/>
                <w:szCs w:val="18"/>
                <w:color w:val="auto"/>
              </w:rPr>
            </w:pPr>
          </w:p>
        </w:tc>
        <w:tc>
          <w:tcPr>
            <w:tcW w:w="1280" w:type="dxa"/>
            <w:vAlign w:val="bottom"/>
          </w:tcPr>
          <w:p>
            <w:pPr>
              <w:jc w:val="right"/>
              <w:spacing w:after="0"/>
              <w:rPr>
                <w:sz w:val="20"/>
                <w:szCs w:val="20"/>
                <w:color w:val="auto"/>
              </w:rPr>
            </w:pPr>
            <w:r>
              <w:rPr>
                <w:rFonts w:ascii="Arial" w:cs="Arial" w:eastAsia="Arial" w:hAnsi="Arial"/>
                <w:sz w:val="18"/>
                <w:szCs w:val="18"/>
                <w:color w:val="auto"/>
              </w:rPr>
              <w:t>580</w:t>
            </w:r>
          </w:p>
        </w:tc>
        <w:tc>
          <w:tcPr>
            <w:tcW w:w="1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320" w:type="dxa"/>
            <w:vAlign w:val="bottom"/>
          </w:tcPr>
          <w:p>
            <w:pPr>
              <w:jc w:val="right"/>
              <w:ind w:right="10"/>
              <w:spacing w:after="0"/>
              <w:rPr>
                <w:sz w:val="20"/>
                <w:szCs w:val="20"/>
                <w:color w:val="auto"/>
              </w:rPr>
            </w:pPr>
            <w:r>
              <w:rPr>
                <w:rFonts w:ascii="Arial" w:cs="Arial" w:eastAsia="Arial" w:hAnsi="Arial"/>
                <w:sz w:val="18"/>
                <w:szCs w:val="18"/>
                <w:color w:val="auto"/>
              </w:rPr>
              <w:t>1,079</w:t>
            </w:r>
          </w:p>
        </w:tc>
      </w:tr>
      <w:tr>
        <w:trPr>
          <w:trHeight w:val="216"/>
        </w:trPr>
        <w:tc>
          <w:tcPr>
            <w:tcW w:w="7280" w:type="dxa"/>
            <w:vAlign w:val="bottom"/>
            <w:shd w:val="clear" w:color="auto" w:fill="CCEEFF"/>
          </w:tcPr>
          <w:p>
            <w:pPr>
              <w:ind w:left="160"/>
              <w:spacing w:after="0"/>
              <w:rPr>
                <w:sz w:val="20"/>
                <w:szCs w:val="20"/>
                <w:color w:val="auto"/>
              </w:rPr>
            </w:pPr>
            <w:r>
              <w:rPr>
                <w:rFonts w:ascii="Arial" w:cs="Arial" w:eastAsia="Arial" w:hAnsi="Arial"/>
                <w:sz w:val="18"/>
                <w:szCs w:val="18"/>
                <w:color w:val="auto"/>
              </w:rPr>
              <w:t>Lease liability</w:t>
            </w:r>
          </w:p>
        </w:tc>
        <w:tc>
          <w:tcPr>
            <w:tcW w:w="340" w:type="dxa"/>
            <w:vAlign w:val="bottom"/>
            <w:shd w:val="clear" w:color="auto" w:fill="CCEEFF"/>
          </w:tcPr>
          <w:p>
            <w:pPr>
              <w:spacing w:after="0"/>
              <w:rPr>
                <w:sz w:val="18"/>
                <w:szCs w:val="18"/>
                <w:color w:val="auto"/>
              </w:rPr>
            </w:pPr>
          </w:p>
        </w:tc>
        <w:tc>
          <w:tcPr>
            <w:tcW w:w="12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1,693</w:t>
            </w:r>
          </w:p>
        </w:tc>
        <w:tc>
          <w:tcPr>
            <w:tcW w:w="1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32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1,823</w:t>
            </w:r>
          </w:p>
        </w:tc>
      </w:tr>
      <w:tr>
        <w:trPr>
          <w:trHeight w:val="216"/>
        </w:trPr>
        <w:tc>
          <w:tcPr>
            <w:tcW w:w="7280" w:type="dxa"/>
            <w:vAlign w:val="bottom"/>
          </w:tcPr>
          <w:p>
            <w:pPr>
              <w:ind w:left="160"/>
              <w:spacing w:after="0"/>
              <w:rPr>
                <w:sz w:val="20"/>
                <w:szCs w:val="20"/>
                <w:color w:val="auto"/>
              </w:rPr>
            </w:pPr>
            <w:r>
              <w:rPr>
                <w:rFonts w:ascii="Arial" w:cs="Arial" w:eastAsia="Arial" w:hAnsi="Arial"/>
                <w:sz w:val="18"/>
                <w:szCs w:val="18"/>
                <w:color w:val="auto"/>
              </w:rPr>
              <w:t>Other assets</w:t>
            </w:r>
          </w:p>
        </w:tc>
        <w:tc>
          <w:tcPr>
            <w:tcW w:w="340" w:type="dxa"/>
            <w:vAlign w:val="bottom"/>
            <w:tcBorders>
              <w:bottom w:val="single" w:sz="8" w:color="auto"/>
            </w:tcBorders>
          </w:tcPr>
          <w:p>
            <w:pPr>
              <w:spacing w:after="0"/>
              <w:rPr>
                <w:sz w:val="18"/>
                <w:szCs w:val="18"/>
                <w:color w:val="auto"/>
              </w:rPr>
            </w:pPr>
          </w:p>
        </w:tc>
        <w:tc>
          <w:tcPr>
            <w:tcW w:w="12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386</w:t>
            </w:r>
          </w:p>
        </w:tc>
        <w:tc>
          <w:tcPr>
            <w:tcW w:w="100" w:type="dxa"/>
            <w:vAlign w:val="bottom"/>
          </w:tcPr>
          <w:p>
            <w:pPr>
              <w:spacing w:after="0"/>
              <w:rPr>
                <w:sz w:val="18"/>
                <w:szCs w:val="18"/>
                <w:color w:val="auto"/>
              </w:rPr>
            </w:pPr>
          </w:p>
        </w:tc>
        <w:tc>
          <w:tcPr>
            <w:tcW w:w="340" w:type="dxa"/>
            <w:vAlign w:val="bottom"/>
            <w:tcBorders>
              <w:bottom w:val="single" w:sz="8" w:color="auto"/>
            </w:tcBorders>
          </w:tcPr>
          <w:p>
            <w:pPr>
              <w:spacing w:after="0"/>
              <w:rPr>
                <w:sz w:val="18"/>
                <w:szCs w:val="18"/>
                <w:color w:val="auto"/>
              </w:rPr>
            </w:pPr>
          </w:p>
        </w:tc>
        <w:tc>
          <w:tcPr>
            <w:tcW w:w="132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458</w:t>
            </w:r>
          </w:p>
        </w:tc>
      </w:tr>
      <w:tr>
        <w:trPr>
          <w:trHeight w:val="209"/>
        </w:trPr>
        <w:tc>
          <w:tcPr>
            <w:tcW w:w="7280" w:type="dxa"/>
            <w:vAlign w:val="bottom"/>
            <w:shd w:val="clear" w:color="auto" w:fill="CCEEFF"/>
          </w:tcPr>
          <w:p>
            <w:pPr>
              <w:spacing w:after="0"/>
              <w:rPr>
                <w:sz w:val="20"/>
                <w:szCs w:val="20"/>
                <w:color w:val="auto"/>
              </w:rPr>
            </w:pPr>
            <w:r>
              <w:rPr>
                <w:rFonts w:ascii="Arial" w:cs="Arial" w:eastAsia="Arial" w:hAnsi="Arial"/>
                <w:sz w:val="18"/>
                <w:szCs w:val="18"/>
                <w:color w:val="auto"/>
              </w:rPr>
              <w:t>Total gross deferred assets</w:t>
            </w:r>
          </w:p>
        </w:tc>
        <w:tc>
          <w:tcPr>
            <w:tcW w:w="340" w:type="dxa"/>
            <w:vAlign w:val="bottom"/>
            <w:shd w:val="clear" w:color="auto" w:fill="CCEEFF"/>
          </w:tcPr>
          <w:p>
            <w:pPr>
              <w:spacing w:after="0"/>
              <w:rPr>
                <w:sz w:val="18"/>
                <w:szCs w:val="18"/>
                <w:color w:val="auto"/>
              </w:rPr>
            </w:pPr>
          </w:p>
        </w:tc>
        <w:tc>
          <w:tcPr>
            <w:tcW w:w="12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24,011</w:t>
            </w:r>
          </w:p>
        </w:tc>
        <w:tc>
          <w:tcPr>
            <w:tcW w:w="1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32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25,755</w:t>
            </w:r>
          </w:p>
        </w:tc>
      </w:tr>
      <w:tr>
        <w:trPr>
          <w:trHeight w:val="216"/>
        </w:trPr>
        <w:tc>
          <w:tcPr>
            <w:tcW w:w="7280" w:type="dxa"/>
            <w:vAlign w:val="bottom"/>
          </w:tcPr>
          <w:p>
            <w:pPr>
              <w:ind w:left="160"/>
              <w:spacing w:after="0"/>
              <w:rPr>
                <w:sz w:val="20"/>
                <w:szCs w:val="20"/>
                <w:color w:val="auto"/>
              </w:rPr>
            </w:pPr>
            <w:r>
              <w:rPr>
                <w:rFonts w:ascii="Arial" w:cs="Arial" w:eastAsia="Arial" w:hAnsi="Arial"/>
                <w:sz w:val="18"/>
                <w:szCs w:val="18"/>
                <w:color w:val="auto"/>
              </w:rPr>
              <w:t>Less: valuation allowance</w:t>
            </w:r>
          </w:p>
        </w:tc>
        <w:tc>
          <w:tcPr>
            <w:tcW w:w="340" w:type="dxa"/>
            <w:vAlign w:val="bottom"/>
            <w:tcBorders>
              <w:bottom w:val="single" w:sz="8" w:color="auto"/>
            </w:tcBorders>
          </w:tcPr>
          <w:p>
            <w:pPr>
              <w:spacing w:after="0"/>
              <w:rPr>
                <w:sz w:val="18"/>
                <w:szCs w:val="18"/>
                <w:color w:val="auto"/>
              </w:rPr>
            </w:pPr>
          </w:p>
        </w:tc>
        <w:tc>
          <w:tcPr>
            <w:tcW w:w="12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(14,700)</w:t>
            </w:r>
          </w:p>
        </w:tc>
        <w:tc>
          <w:tcPr>
            <w:tcW w:w="100" w:type="dxa"/>
            <w:vAlign w:val="bottom"/>
          </w:tcPr>
          <w:p>
            <w:pPr>
              <w:spacing w:after="0"/>
              <w:rPr>
                <w:sz w:val="18"/>
                <w:szCs w:val="18"/>
                <w:color w:val="auto"/>
              </w:rPr>
            </w:pPr>
          </w:p>
        </w:tc>
        <w:tc>
          <w:tcPr>
            <w:tcW w:w="340" w:type="dxa"/>
            <w:vAlign w:val="bottom"/>
            <w:tcBorders>
              <w:bottom w:val="single" w:sz="8" w:color="auto"/>
            </w:tcBorders>
          </w:tcPr>
          <w:p>
            <w:pPr>
              <w:spacing w:after="0"/>
              <w:rPr>
                <w:sz w:val="18"/>
                <w:szCs w:val="18"/>
                <w:color w:val="auto"/>
              </w:rPr>
            </w:pPr>
          </w:p>
        </w:tc>
        <w:tc>
          <w:tcPr>
            <w:tcW w:w="13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(16,682)</w:t>
            </w:r>
          </w:p>
        </w:tc>
      </w:tr>
      <w:tr>
        <w:trPr>
          <w:trHeight w:val="210"/>
        </w:trPr>
        <w:tc>
          <w:tcPr>
            <w:tcW w:w="7280" w:type="dxa"/>
            <w:vAlign w:val="bottom"/>
            <w:shd w:val="clear" w:color="auto" w:fill="CCEEFF"/>
          </w:tcPr>
          <w:p>
            <w:pPr>
              <w:spacing w:after="0"/>
              <w:rPr>
                <w:sz w:val="20"/>
                <w:szCs w:val="20"/>
                <w:color w:val="auto"/>
              </w:rPr>
            </w:pPr>
            <w:r>
              <w:rPr>
                <w:rFonts w:ascii="Arial" w:cs="Arial" w:eastAsia="Arial" w:hAnsi="Arial"/>
                <w:sz w:val="18"/>
                <w:szCs w:val="18"/>
                <w:color w:val="auto"/>
              </w:rPr>
              <w:t>Deferred tax assets</w:t>
            </w:r>
          </w:p>
        </w:tc>
        <w:tc>
          <w:tcPr>
            <w:tcW w:w="340" w:type="dxa"/>
            <w:vAlign w:val="bottom"/>
            <w:shd w:val="clear" w:color="auto" w:fill="CCEEFF"/>
          </w:tcPr>
          <w:p>
            <w:pPr>
              <w:jc w:val="right"/>
              <w:ind w:right="150"/>
              <w:spacing w:after="0"/>
              <w:rPr>
                <w:sz w:val="20"/>
                <w:szCs w:val="20"/>
                <w:color w:val="auto"/>
              </w:rPr>
            </w:pPr>
            <w:r>
              <w:rPr>
                <w:rFonts w:ascii="Arial" w:cs="Arial" w:eastAsia="Arial" w:hAnsi="Arial"/>
                <w:sz w:val="18"/>
                <w:szCs w:val="18"/>
                <w:color w:val="auto"/>
                <w:w w:val="79"/>
              </w:rPr>
              <w:t>$</w:t>
            </w:r>
          </w:p>
        </w:tc>
        <w:tc>
          <w:tcPr>
            <w:tcW w:w="12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9,311</w:t>
            </w:r>
          </w:p>
        </w:tc>
        <w:tc>
          <w:tcPr>
            <w:tcW w:w="440" w:type="dxa"/>
            <w:vAlign w:val="bottom"/>
            <w:gridSpan w:val="2"/>
            <w:shd w:val="clear" w:color="auto" w:fill="CCEEFF"/>
          </w:tcPr>
          <w:p>
            <w:pPr>
              <w:jc w:val="right"/>
              <w:ind w:right="150"/>
              <w:spacing w:after="0"/>
              <w:rPr>
                <w:sz w:val="20"/>
                <w:szCs w:val="20"/>
                <w:color w:val="auto"/>
              </w:rPr>
            </w:pPr>
            <w:r>
              <w:rPr>
                <w:rFonts w:ascii="Arial" w:cs="Arial" w:eastAsia="Arial" w:hAnsi="Arial"/>
                <w:sz w:val="18"/>
                <w:szCs w:val="18"/>
                <w:color w:val="auto"/>
              </w:rPr>
              <w:t>$</w:t>
            </w:r>
          </w:p>
        </w:tc>
        <w:tc>
          <w:tcPr>
            <w:tcW w:w="132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9,073</w:t>
            </w:r>
          </w:p>
        </w:tc>
      </w:tr>
      <w:tr>
        <w:trPr>
          <w:trHeight w:val="209"/>
        </w:trPr>
        <w:tc>
          <w:tcPr>
            <w:tcW w:w="7280" w:type="dxa"/>
            <w:vAlign w:val="bottom"/>
            <w:tcBorders>
              <w:top w:val="single" w:sz="8" w:color="CCEEFF"/>
            </w:tcBorders>
          </w:tcPr>
          <w:p>
            <w:pPr>
              <w:spacing w:after="0"/>
              <w:rPr>
                <w:sz w:val="18"/>
                <w:szCs w:val="18"/>
                <w:color w:val="auto"/>
              </w:rPr>
            </w:pPr>
          </w:p>
        </w:tc>
        <w:tc>
          <w:tcPr>
            <w:tcW w:w="340" w:type="dxa"/>
            <w:vAlign w:val="bottom"/>
            <w:tcBorders>
              <w:top w:val="single" w:sz="8" w:color="auto"/>
            </w:tcBorders>
          </w:tcPr>
          <w:p>
            <w:pPr>
              <w:spacing w:after="0"/>
              <w:rPr>
                <w:sz w:val="18"/>
                <w:szCs w:val="18"/>
                <w:color w:val="auto"/>
              </w:rPr>
            </w:pPr>
          </w:p>
        </w:tc>
        <w:tc>
          <w:tcPr>
            <w:tcW w:w="1280" w:type="dxa"/>
            <w:vAlign w:val="bottom"/>
            <w:tcBorders>
              <w:top w:val="single" w:sz="8" w:color="auto"/>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c>
          <w:tcPr>
            <w:tcW w:w="340" w:type="dxa"/>
            <w:vAlign w:val="bottom"/>
            <w:tcBorders>
              <w:top w:val="single" w:sz="8" w:color="auto"/>
            </w:tcBorders>
          </w:tcPr>
          <w:p>
            <w:pPr>
              <w:spacing w:after="0"/>
              <w:rPr>
                <w:sz w:val="18"/>
                <w:szCs w:val="18"/>
                <w:color w:val="auto"/>
              </w:rPr>
            </w:pPr>
          </w:p>
        </w:tc>
        <w:tc>
          <w:tcPr>
            <w:tcW w:w="1320" w:type="dxa"/>
            <w:vAlign w:val="bottom"/>
            <w:tcBorders>
              <w:top w:val="single" w:sz="8" w:color="auto"/>
            </w:tcBorders>
          </w:tcPr>
          <w:p>
            <w:pPr>
              <w:spacing w:after="0"/>
              <w:rPr>
                <w:sz w:val="18"/>
                <w:szCs w:val="18"/>
                <w:color w:val="auto"/>
              </w:rPr>
            </w:pPr>
          </w:p>
        </w:tc>
      </w:tr>
      <w:tr>
        <w:trPr>
          <w:trHeight w:val="216"/>
        </w:trPr>
        <w:tc>
          <w:tcPr>
            <w:tcW w:w="7280" w:type="dxa"/>
            <w:vAlign w:val="bottom"/>
            <w:shd w:val="clear" w:color="auto" w:fill="CCEEFF"/>
          </w:tcPr>
          <w:p>
            <w:pPr>
              <w:spacing w:after="0"/>
              <w:rPr>
                <w:sz w:val="20"/>
                <w:szCs w:val="20"/>
                <w:color w:val="auto"/>
              </w:rPr>
            </w:pPr>
            <w:r>
              <w:rPr>
                <w:rFonts w:ascii="Arial" w:cs="Arial" w:eastAsia="Arial" w:hAnsi="Arial"/>
                <w:sz w:val="18"/>
                <w:szCs w:val="18"/>
                <w:color w:val="auto"/>
              </w:rPr>
              <w:t>Deferred income tax liabilities:</w:t>
            </w:r>
          </w:p>
        </w:tc>
        <w:tc>
          <w:tcPr>
            <w:tcW w:w="340" w:type="dxa"/>
            <w:vAlign w:val="bottom"/>
            <w:shd w:val="clear" w:color="auto" w:fill="CCEEFF"/>
          </w:tcPr>
          <w:p>
            <w:pPr>
              <w:spacing w:after="0"/>
              <w:rPr>
                <w:sz w:val="18"/>
                <w:szCs w:val="18"/>
                <w:color w:val="auto"/>
              </w:rPr>
            </w:pPr>
          </w:p>
        </w:tc>
        <w:tc>
          <w:tcPr>
            <w:tcW w:w="12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320" w:type="dxa"/>
            <w:vAlign w:val="bottom"/>
            <w:shd w:val="clear" w:color="auto" w:fill="CCEEFF"/>
          </w:tcPr>
          <w:p>
            <w:pPr>
              <w:spacing w:after="0"/>
              <w:rPr>
                <w:sz w:val="18"/>
                <w:szCs w:val="18"/>
                <w:color w:val="auto"/>
              </w:rPr>
            </w:pPr>
          </w:p>
        </w:tc>
      </w:tr>
      <w:tr>
        <w:trPr>
          <w:trHeight w:val="216"/>
        </w:trPr>
        <w:tc>
          <w:tcPr>
            <w:tcW w:w="7280" w:type="dxa"/>
            <w:vAlign w:val="bottom"/>
          </w:tcPr>
          <w:p>
            <w:pPr>
              <w:ind w:left="160"/>
              <w:spacing w:after="0"/>
              <w:rPr>
                <w:sz w:val="20"/>
                <w:szCs w:val="20"/>
                <w:color w:val="auto"/>
              </w:rPr>
            </w:pPr>
            <w:r>
              <w:rPr>
                <w:rFonts w:ascii="Arial" w:cs="Arial" w:eastAsia="Arial" w:hAnsi="Arial"/>
                <w:sz w:val="18"/>
                <w:szCs w:val="18"/>
                <w:color w:val="auto"/>
              </w:rPr>
              <w:t>Indefinite-lived intangible assets</w:t>
            </w:r>
          </w:p>
        </w:tc>
        <w:tc>
          <w:tcPr>
            <w:tcW w:w="340" w:type="dxa"/>
            <w:vAlign w:val="bottom"/>
          </w:tcPr>
          <w:p>
            <w:pPr>
              <w:jc w:val="right"/>
              <w:ind w:right="150"/>
              <w:spacing w:after="0"/>
              <w:rPr>
                <w:sz w:val="20"/>
                <w:szCs w:val="20"/>
                <w:color w:val="auto"/>
              </w:rPr>
            </w:pPr>
            <w:r>
              <w:rPr>
                <w:rFonts w:ascii="Arial" w:cs="Arial" w:eastAsia="Arial" w:hAnsi="Arial"/>
                <w:sz w:val="18"/>
                <w:szCs w:val="18"/>
                <w:color w:val="auto"/>
                <w:w w:val="79"/>
              </w:rPr>
              <w:t>$</w:t>
            </w:r>
          </w:p>
        </w:tc>
        <w:tc>
          <w:tcPr>
            <w:tcW w:w="1280" w:type="dxa"/>
            <w:vAlign w:val="bottom"/>
          </w:tcPr>
          <w:p>
            <w:pPr>
              <w:jc w:val="right"/>
              <w:spacing w:after="0"/>
              <w:rPr>
                <w:sz w:val="20"/>
                <w:szCs w:val="20"/>
                <w:color w:val="auto"/>
              </w:rPr>
            </w:pPr>
            <w:r>
              <w:rPr>
                <w:rFonts w:ascii="Arial" w:cs="Arial" w:eastAsia="Arial" w:hAnsi="Arial"/>
                <w:sz w:val="18"/>
                <w:szCs w:val="18"/>
                <w:color w:val="auto"/>
              </w:rPr>
              <w:t>1,882</w:t>
            </w:r>
          </w:p>
        </w:tc>
        <w:tc>
          <w:tcPr>
            <w:tcW w:w="440" w:type="dxa"/>
            <w:vAlign w:val="bottom"/>
            <w:gridSpan w:val="2"/>
          </w:tcPr>
          <w:p>
            <w:pPr>
              <w:jc w:val="right"/>
              <w:ind w:right="150"/>
              <w:spacing w:after="0"/>
              <w:rPr>
                <w:sz w:val="20"/>
                <w:szCs w:val="20"/>
                <w:color w:val="auto"/>
              </w:rPr>
            </w:pPr>
            <w:r>
              <w:rPr>
                <w:rFonts w:ascii="Arial" w:cs="Arial" w:eastAsia="Arial" w:hAnsi="Arial"/>
                <w:sz w:val="18"/>
                <w:szCs w:val="18"/>
                <w:color w:val="auto"/>
              </w:rPr>
              <w:t>$</w:t>
            </w:r>
          </w:p>
        </w:tc>
        <w:tc>
          <w:tcPr>
            <w:tcW w:w="1320" w:type="dxa"/>
            <w:vAlign w:val="bottom"/>
          </w:tcPr>
          <w:p>
            <w:pPr>
              <w:jc w:val="right"/>
              <w:ind w:right="10"/>
              <w:spacing w:after="0"/>
              <w:rPr>
                <w:sz w:val="20"/>
                <w:szCs w:val="20"/>
                <w:color w:val="auto"/>
              </w:rPr>
            </w:pPr>
            <w:r>
              <w:rPr>
                <w:rFonts w:ascii="Arial" w:cs="Arial" w:eastAsia="Arial" w:hAnsi="Arial"/>
                <w:sz w:val="18"/>
                <w:szCs w:val="18"/>
                <w:color w:val="auto"/>
              </w:rPr>
              <w:t>1,822</w:t>
            </w:r>
          </w:p>
        </w:tc>
      </w:tr>
      <w:tr>
        <w:trPr>
          <w:trHeight w:val="216"/>
        </w:trPr>
        <w:tc>
          <w:tcPr>
            <w:tcW w:w="7280" w:type="dxa"/>
            <w:vAlign w:val="bottom"/>
            <w:shd w:val="clear" w:color="auto" w:fill="CCEEFF"/>
          </w:tcPr>
          <w:p>
            <w:pPr>
              <w:ind w:left="160"/>
              <w:spacing w:after="0"/>
              <w:rPr>
                <w:sz w:val="20"/>
                <w:szCs w:val="20"/>
                <w:color w:val="auto"/>
              </w:rPr>
            </w:pPr>
            <w:r>
              <w:rPr>
                <w:rFonts w:ascii="Arial" w:cs="Arial" w:eastAsia="Arial" w:hAnsi="Arial"/>
                <w:sz w:val="18"/>
                <w:szCs w:val="18"/>
                <w:color w:val="auto"/>
              </w:rPr>
              <w:t>Definite-lived intangible assets</w:t>
            </w:r>
          </w:p>
        </w:tc>
        <w:tc>
          <w:tcPr>
            <w:tcW w:w="340" w:type="dxa"/>
            <w:vAlign w:val="bottom"/>
            <w:shd w:val="clear" w:color="auto" w:fill="CCEEFF"/>
          </w:tcPr>
          <w:p>
            <w:pPr>
              <w:spacing w:after="0"/>
              <w:rPr>
                <w:sz w:val="18"/>
                <w:szCs w:val="18"/>
                <w:color w:val="auto"/>
              </w:rPr>
            </w:pPr>
          </w:p>
        </w:tc>
        <w:tc>
          <w:tcPr>
            <w:tcW w:w="12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6,277</w:t>
            </w:r>
          </w:p>
        </w:tc>
        <w:tc>
          <w:tcPr>
            <w:tcW w:w="1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32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7,493</w:t>
            </w:r>
          </w:p>
        </w:tc>
      </w:tr>
      <w:tr>
        <w:trPr>
          <w:trHeight w:val="216"/>
        </w:trPr>
        <w:tc>
          <w:tcPr>
            <w:tcW w:w="7280" w:type="dxa"/>
            <w:vAlign w:val="bottom"/>
          </w:tcPr>
          <w:p>
            <w:pPr>
              <w:ind w:left="160"/>
              <w:spacing w:after="0"/>
              <w:rPr>
                <w:sz w:val="20"/>
                <w:szCs w:val="20"/>
                <w:color w:val="auto"/>
              </w:rPr>
            </w:pPr>
            <w:r>
              <w:rPr>
                <w:rFonts w:ascii="Arial" w:cs="Arial" w:eastAsia="Arial" w:hAnsi="Arial"/>
                <w:sz w:val="18"/>
                <w:szCs w:val="18"/>
                <w:color w:val="auto"/>
              </w:rPr>
              <w:t>Right-of-use asset</w:t>
            </w:r>
          </w:p>
        </w:tc>
        <w:tc>
          <w:tcPr>
            <w:tcW w:w="340" w:type="dxa"/>
            <w:vAlign w:val="bottom"/>
          </w:tcPr>
          <w:p>
            <w:pPr>
              <w:spacing w:after="0"/>
              <w:rPr>
                <w:sz w:val="18"/>
                <w:szCs w:val="18"/>
                <w:color w:val="auto"/>
              </w:rPr>
            </w:pPr>
          </w:p>
        </w:tc>
        <w:tc>
          <w:tcPr>
            <w:tcW w:w="1280" w:type="dxa"/>
            <w:vAlign w:val="bottom"/>
          </w:tcPr>
          <w:p>
            <w:pPr>
              <w:jc w:val="right"/>
              <w:spacing w:after="0"/>
              <w:rPr>
                <w:sz w:val="20"/>
                <w:szCs w:val="20"/>
                <w:color w:val="auto"/>
              </w:rPr>
            </w:pPr>
            <w:r>
              <w:rPr>
                <w:rFonts w:ascii="Arial" w:cs="Arial" w:eastAsia="Arial" w:hAnsi="Arial"/>
                <w:sz w:val="18"/>
                <w:szCs w:val="18"/>
                <w:color w:val="auto"/>
              </w:rPr>
              <w:t>1,277</w:t>
            </w:r>
          </w:p>
        </w:tc>
        <w:tc>
          <w:tcPr>
            <w:tcW w:w="1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320" w:type="dxa"/>
            <w:vAlign w:val="bottom"/>
          </w:tcPr>
          <w:p>
            <w:pPr>
              <w:jc w:val="right"/>
              <w:ind w:right="10"/>
              <w:spacing w:after="0"/>
              <w:rPr>
                <w:sz w:val="20"/>
                <w:szCs w:val="20"/>
                <w:color w:val="auto"/>
              </w:rPr>
            </w:pPr>
            <w:r>
              <w:rPr>
                <w:rFonts w:ascii="Arial" w:cs="Arial" w:eastAsia="Arial" w:hAnsi="Arial"/>
                <w:sz w:val="18"/>
                <w:szCs w:val="18"/>
                <w:color w:val="auto"/>
              </w:rPr>
              <w:t>1,388</w:t>
            </w:r>
          </w:p>
        </w:tc>
      </w:tr>
      <w:tr>
        <w:trPr>
          <w:trHeight w:val="216"/>
        </w:trPr>
        <w:tc>
          <w:tcPr>
            <w:tcW w:w="7280" w:type="dxa"/>
            <w:vAlign w:val="bottom"/>
            <w:tcBorders>
              <w:bottom w:val="single" w:sz="8" w:color="CCEEFF"/>
            </w:tcBorders>
            <w:shd w:val="clear" w:color="auto" w:fill="CCEEFF"/>
          </w:tcPr>
          <w:p>
            <w:pPr>
              <w:ind w:left="160"/>
              <w:spacing w:after="0"/>
              <w:rPr>
                <w:sz w:val="20"/>
                <w:szCs w:val="20"/>
                <w:color w:val="auto"/>
              </w:rPr>
            </w:pPr>
            <w:r>
              <w:rPr>
                <w:rFonts w:ascii="Arial" w:cs="Arial" w:eastAsia="Arial" w:hAnsi="Arial"/>
                <w:sz w:val="18"/>
                <w:szCs w:val="18"/>
                <w:color w:val="auto"/>
              </w:rPr>
              <w:t>Other liabilities</w:t>
            </w:r>
          </w:p>
        </w:tc>
        <w:tc>
          <w:tcPr>
            <w:tcW w:w="340" w:type="dxa"/>
            <w:vAlign w:val="bottom"/>
            <w:tcBorders>
              <w:bottom w:val="single" w:sz="8" w:color="auto"/>
            </w:tcBorders>
            <w:shd w:val="clear" w:color="auto" w:fill="CCEEFF"/>
          </w:tcPr>
          <w:p>
            <w:pPr>
              <w:spacing w:after="0"/>
              <w:rPr>
                <w:sz w:val="18"/>
                <w:szCs w:val="18"/>
                <w:color w:val="auto"/>
              </w:rPr>
            </w:pPr>
          </w:p>
        </w:tc>
        <w:tc>
          <w:tcPr>
            <w:tcW w:w="12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1,228</w:t>
            </w:r>
          </w:p>
        </w:tc>
        <w:tc>
          <w:tcPr>
            <w:tcW w:w="100" w:type="dxa"/>
            <w:vAlign w:val="bottom"/>
            <w:tcBorders>
              <w:bottom w:val="single" w:sz="8" w:color="CCEEFF"/>
            </w:tcBorders>
            <w:shd w:val="clear" w:color="auto" w:fill="CCEEFF"/>
          </w:tcPr>
          <w:p>
            <w:pPr>
              <w:spacing w:after="0"/>
              <w:rPr>
                <w:sz w:val="18"/>
                <w:szCs w:val="18"/>
                <w:color w:val="auto"/>
              </w:rPr>
            </w:pPr>
          </w:p>
        </w:tc>
        <w:tc>
          <w:tcPr>
            <w:tcW w:w="340" w:type="dxa"/>
            <w:vAlign w:val="bottom"/>
            <w:tcBorders>
              <w:bottom w:val="single" w:sz="8" w:color="auto"/>
            </w:tcBorders>
            <w:shd w:val="clear" w:color="auto" w:fill="CCEEFF"/>
          </w:tcPr>
          <w:p>
            <w:pPr>
              <w:spacing w:after="0"/>
              <w:rPr>
                <w:sz w:val="18"/>
                <w:szCs w:val="18"/>
                <w:color w:val="auto"/>
              </w:rPr>
            </w:pPr>
          </w:p>
        </w:tc>
        <w:tc>
          <w:tcPr>
            <w:tcW w:w="132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14</w:t>
            </w:r>
          </w:p>
        </w:tc>
      </w:tr>
      <w:tr>
        <w:trPr>
          <w:trHeight w:val="210"/>
        </w:trPr>
        <w:tc>
          <w:tcPr>
            <w:tcW w:w="7280" w:type="dxa"/>
            <w:vAlign w:val="bottom"/>
          </w:tcPr>
          <w:p>
            <w:pPr>
              <w:spacing w:after="0"/>
              <w:rPr>
                <w:sz w:val="20"/>
                <w:szCs w:val="20"/>
                <w:color w:val="auto"/>
              </w:rPr>
            </w:pPr>
            <w:r>
              <w:rPr>
                <w:rFonts w:ascii="Arial" w:cs="Arial" w:eastAsia="Arial" w:hAnsi="Arial"/>
                <w:sz w:val="18"/>
                <w:szCs w:val="18"/>
                <w:color w:val="auto"/>
              </w:rPr>
              <w:t>Total deferred tax liabilities</w:t>
            </w:r>
          </w:p>
        </w:tc>
        <w:tc>
          <w:tcPr>
            <w:tcW w:w="340" w:type="dxa"/>
            <w:vAlign w:val="bottom"/>
            <w:tcBorders>
              <w:bottom w:val="single" w:sz="8" w:color="auto"/>
            </w:tcBorders>
          </w:tcPr>
          <w:p>
            <w:pPr>
              <w:spacing w:after="0"/>
              <w:rPr>
                <w:sz w:val="18"/>
                <w:szCs w:val="18"/>
                <w:color w:val="auto"/>
              </w:rPr>
            </w:pPr>
          </w:p>
        </w:tc>
        <w:tc>
          <w:tcPr>
            <w:tcW w:w="12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10,664</w:t>
            </w:r>
          </w:p>
        </w:tc>
        <w:tc>
          <w:tcPr>
            <w:tcW w:w="100" w:type="dxa"/>
            <w:vAlign w:val="bottom"/>
          </w:tcPr>
          <w:p>
            <w:pPr>
              <w:spacing w:after="0"/>
              <w:rPr>
                <w:sz w:val="18"/>
                <w:szCs w:val="18"/>
                <w:color w:val="auto"/>
              </w:rPr>
            </w:pPr>
          </w:p>
        </w:tc>
        <w:tc>
          <w:tcPr>
            <w:tcW w:w="340" w:type="dxa"/>
            <w:vAlign w:val="bottom"/>
            <w:tcBorders>
              <w:bottom w:val="single" w:sz="8" w:color="auto"/>
            </w:tcBorders>
          </w:tcPr>
          <w:p>
            <w:pPr>
              <w:spacing w:after="0"/>
              <w:rPr>
                <w:sz w:val="18"/>
                <w:szCs w:val="18"/>
                <w:color w:val="auto"/>
              </w:rPr>
            </w:pPr>
          </w:p>
        </w:tc>
        <w:tc>
          <w:tcPr>
            <w:tcW w:w="132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10,717</w:t>
            </w:r>
          </w:p>
        </w:tc>
      </w:tr>
      <w:tr>
        <w:trPr>
          <w:trHeight w:val="250"/>
        </w:trPr>
        <w:tc>
          <w:tcPr>
            <w:tcW w:w="728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Deferred income tax liability, net</w:t>
            </w:r>
          </w:p>
        </w:tc>
        <w:tc>
          <w:tcPr>
            <w:tcW w:w="340" w:type="dxa"/>
            <w:vAlign w:val="bottom"/>
            <w:tcBorders>
              <w:bottom w:val="single" w:sz="8" w:color="auto"/>
            </w:tcBorders>
            <w:shd w:val="clear" w:color="auto" w:fill="CCEEFF"/>
          </w:tcPr>
          <w:p>
            <w:pPr>
              <w:jc w:val="right"/>
              <w:ind w:right="150"/>
              <w:spacing w:after="0"/>
              <w:rPr>
                <w:sz w:val="20"/>
                <w:szCs w:val="20"/>
                <w:color w:val="auto"/>
              </w:rPr>
            </w:pPr>
            <w:r>
              <w:rPr>
                <w:rFonts w:ascii="Arial" w:cs="Arial" w:eastAsia="Arial" w:hAnsi="Arial"/>
                <w:sz w:val="18"/>
                <w:szCs w:val="18"/>
                <w:color w:val="auto"/>
                <w:w w:val="79"/>
              </w:rPr>
              <w:t>$</w:t>
            </w:r>
          </w:p>
        </w:tc>
        <w:tc>
          <w:tcPr>
            <w:tcW w:w="12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(1,353)</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auto"/>
            </w:tcBorders>
            <w:shd w:val="clear" w:color="auto" w:fill="CCEEFF"/>
          </w:tcPr>
          <w:p>
            <w:pPr>
              <w:jc w:val="right"/>
              <w:ind w:right="150"/>
              <w:spacing w:after="0"/>
              <w:rPr>
                <w:sz w:val="20"/>
                <w:szCs w:val="20"/>
                <w:color w:val="auto"/>
              </w:rPr>
            </w:pPr>
            <w:r>
              <w:rPr>
                <w:rFonts w:ascii="Arial" w:cs="Arial" w:eastAsia="Arial" w:hAnsi="Arial"/>
                <w:sz w:val="18"/>
                <w:szCs w:val="18"/>
                <w:color w:val="auto"/>
                <w:w w:val="79"/>
              </w:rPr>
              <w:t>$</w:t>
            </w:r>
          </w:p>
        </w:tc>
        <w:tc>
          <w:tcPr>
            <w:tcW w:w="13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(1,644)</w:t>
            </w:r>
          </w:p>
        </w:tc>
      </w:tr>
    </w:tbl>
    <w:p>
      <w:pPr>
        <w:spacing w:after="0" w:line="202" w:lineRule="exact"/>
        <w:rPr>
          <w:sz w:val="20"/>
          <w:szCs w:val="20"/>
          <w:color w:val="auto"/>
        </w:rPr>
      </w:pPr>
    </w:p>
    <w:p>
      <w:pPr>
        <w:ind w:left="660"/>
        <w:spacing w:after="0"/>
        <w:rPr>
          <w:sz w:val="20"/>
          <w:szCs w:val="20"/>
          <w:color w:val="auto"/>
        </w:rPr>
      </w:pPr>
      <w:r>
        <w:rPr>
          <w:rFonts w:ascii="Arial" w:cs="Arial" w:eastAsia="Arial" w:hAnsi="Arial"/>
          <w:sz w:val="18"/>
          <w:szCs w:val="18"/>
          <w:color w:val="auto"/>
        </w:rPr>
        <w:t>Deferred income tax assets and liabilities by classification on the consolidated balance sheets were as follows:</w:t>
      </w:r>
    </w:p>
    <w:p>
      <w:pPr>
        <w:spacing w:after="0" w:line="221" w:lineRule="exact"/>
        <w:rPr>
          <w:sz w:val="20"/>
          <w:szCs w:val="20"/>
          <w:color w:val="auto"/>
        </w:rPr>
      </w:pPr>
    </w:p>
    <w:tbl>
      <w:tblPr>
        <w:tblLayout w:type="fixed"/>
        <w:tblInd w:w="660" w:type="dxa"/>
        <w:tblCellMar>
          <w:top w:w="0" w:type="dxa"/>
          <w:left w:w="0" w:type="dxa"/>
          <w:bottom w:w="0" w:type="dxa"/>
          <w:right w:w="0" w:type="dxa"/>
        </w:tblCellMar>
      </w:tblPr>
      <w:tr>
        <w:trPr>
          <w:trHeight w:val="234"/>
        </w:trPr>
        <w:tc>
          <w:tcPr>
            <w:tcW w:w="7360" w:type="dxa"/>
            <w:vAlign w:val="bottom"/>
          </w:tcPr>
          <w:p>
            <w:pPr>
              <w:spacing w:after="0"/>
              <w:rPr>
                <w:sz w:val="20"/>
                <w:szCs w:val="20"/>
                <w:color w:val="auto"/>
              </w:rPr>
            </w:pPr>
          </w:p>
        </w:tc>
        <w:tc>
          <w:tcPr>
            <w:tcW w:w="340" w:type="dxa"/>
            <w:vAlign w:val="bottom"/>
            <w:tcBorders>
              <w:bottom w:val="single" w:sz="8" w:color="auto"/>
            </w:tcBorders>
          </w:tcPr>
          <w:p>
            <w:pPr>
              <w:spacing w:after="0"/>
              <w:rPr>
                <w:sz w:val="20"/>
                <w:szCs w:val="20"/>
                <w:color w:val="auto"/>
              </w:rPr>
            </w:pPr>
          </w:p>
        </w:tc>
        <w:tc>
          <w:tcPr>
            <w:tcW w:w="2960" w:type="dxa"/>
            <w:vAlign w:val="bottom"/>
            <w:tcBorders>
              <w:bottom w:val="single" w:sz="8" w:color="auto"/>
            </w:tcBorders>
            <w:gridSpan w:val="4"/>
          </w:tcPr>
          <w:p>
            <w:pPr>
              <w:jc w:val="right"/>
              <w:ind w:right="610"/>
              <w:spacing w:after="0"/>
              <w:rPr>
                <w:sz w:val="20"/>
                <w:szCs w:val="20"/>
                <w:color w:val="auto"/>
              </w:rPr>
            </w:pPr>
            <w:r>
              <w:rPr>
                <w:rFonts w:ascii="Arial" w:cs="Arial" w:eastAsia="Arial" w:hAnsi="Arial"/>
                <w:sz w:val="18"/>
                <w:szCs w:val="18"/>
                <w:b w:val="1"/>
                <w:bCs w:val="1"/>
                <w:color w:val="auto"/>
              </w:rPr>
              <w:t>Year Ended December 31,</w:t>
            </w:r>
          </w:p>
        </w:tc>
      </w:tr>
      <w:tr>
        <w:trPr>
          <w:trHeight w:val="210"/>
        </w:trPr>
        <w:tc>
          <w:tcPr>
            <w:tcW w:w="7360" w:type="dxa"/>
            <w:vAlign w:val="bottom"/>
          </w:tcPr>
          <w:p>
            <w:pPr>
              <w:spacing w:after="0"/>
              <w:rPr>
                <w:sz w:val="20"/>
                <w:szCs w:val="20"/>
                <w:color w:val="auto"/>
              </w:rPr>
            </w:pPr>
            <w:r>
              <w:rPr>
                <w:rFonts w:ascii="Arial" w:cs="Arial" w:eastAsia="Arial" w:hAnsi="Arial"/>
                <w:sz w:val="18"/>
                <w:szCs w:val="18"/>
                <w:color w:val="auto"/>
              </w:rPr>
              <w:t>(in thousands)</w:t>
            </w:r>
          </w:p>
        </w:tc>
        <w:tc>
          <w:tcPr>
            <w:tcW w:w="340" w:type="dxa"/>
            <w:vAlign w:val="bottom"/>
            <w:tcBorders>
              <w:bottom w:val="single" w:sz="8" w:color="auto"/>
            </w:tcBorders>
          </w:tcPr>
          <w:p>
            <w:pPr>
              <w:spacing w:after="0"/>
              <w:rPr>
                <w:sz w:val="18"/>
                <w:szCs w:val="18"/>
                <w:color w:val="auto"/>
              </w:rPr>
            </w:pPr>
          </w:p>
        </w:tc>
        <w:tc>
          <w:tcPr>
            <w:tcW w:w="1280" w:type="dxa"/>
            <w:vAlign w:val="bottom"/>
            <w:tcBorders>
              <w:bottom w:val="single" w:sz="8" w:color="auto"/>
            </w:tcBorders>
          </w:tcPr>
          <w:p>
            <w:pPr>
              <w:jc w:val="right"/>
              <w:ind w:right="590"/>
              <w:spacing w:after="0"/>
              <w:rPr>
                <w:sz w:val="20"/>
                <w:szCs w:val="20"/>
                <w:color w:val="auto"/>
              </w:rPr>
            </w:pPr>
            <w:r>
              <w:rPr>
                <w:rFonts w:ascii="Arial" w:cs="Arial" w:eastAsia="Arial" w:hAnsi="Arial"/>
                <w:sz w:val="18"/>
                <w:szCs w:val="18"/>
                <w:b w:val="1"/>
                <w:bCs w:val="1"/>
                <w:color w:val="auto"/>
              </w:rPr>
              <w:t>2021</w:t>
            </w:r>
          </w:p>
        </w:tc>
        <w:tc>
          <w:tcPr>
            <w:tcW w:w="100" w:type="dxa"/>
            <w:vAlign w:val="bottom"/>
          </w:tcPr>
          <w:p>
            <w:pPr>
              <w:spacing w:after="0"/>
              <w:rPr>
                <w:sz w:val="18"/>
                <w:szCs w:val="18"/>
                <w:color w:val="auto"/>
              </w:rPr>
            </w:pPr>
          </w:p>
        </w:tc>
        <w:tc>
          <w:tcPr>
            <w:tcW w:w="320" w:type="dxa"/>
            <w:vAlign w:val="bottom"/>
            <w:tcBorders>
              <w:bottom w:val="single" w:sz="8" w:color="auto"/>
            </w:tcBorders>
          </w:tcPr>
          <w:p>
            <w:pPr>
              <w:spacing w:after="0"/>
              <w:rPr>
                <w:sz w:val="18"/>
                <w:szCs w:val="18"/>
                <w:color w:val="auto"/>
              </w:rPr>
            </w:pPr>
          </w:p>
        </w:tc>
        <w:tc>
          <w:tcPr>
            <w:tcW w:w="1260" w:type="dxa"/>
            <w:vAlign w:val="bottom"/>
            <w:tcBorders>
              <w:bottom w:val="single" w:sz="8" w:color="auto"/>
            </w:tcBorders>
          </w:tcPr>
          <w:p>
            <w:pPr>
              <w:jc w:val="right"/>
              <w:ind w:right="570"/>
              <w:spacing w:after="0"/>
              <w:rPr>
                <w:sz w:val="20"/>
                <w:szCs w:val="20"/>
                <w:color w:val="auto"/>
              </w:rPr>
            </w:pPr>
            <w:r>
              <w:rPr>
                <w:rFonts w:ascii="Arial" w:cs="Arial" w:eastAsia="Arial" w:hAnsi="Arial"/>
                <w:sz w:val="18"/>
                <w:szCs w:val="18"/>
                <w:b w:val="1"/>
                <w:bCs w:val="1"/>
                <w:color w:val="auto"/>
              </w:rPr>
              <w:t>2020</w:t>
            </w:r>
          </w:p>
        </w:tc>
      </w:tr>
      <w:tr>
        <w:trPr>
          <w:trHeight w:val="210"/>
        </w:trPr>
        <w:tc>
          <w:tcPr>
            <w:tcW w:w="7360" w:type="dxa"/>
            <w:vAlign w:val="bottom"/>
            <w:shd w:val="clear" w:color="auto" w:fill="CCEEFF"/>
          </w:tcPr>
          <w:p>
            <w:pPr>
              <w:spacing w:after="0"/>
              <w:rPr>
                <w:sz w:val="20"/>
                <w:szCs w:val="20"/>
                <w:color w:val="auto"/>
              </w:rPr>
            </w:pPr>
            <w:r>
              <w:rPr>
                <w:rFonts w:ascii="Arial" w:cs="Arial" w:eastAsia="Arial" w:hAnsi="Arial"/>
                <w:sz w:val="18"/>
                <w:szCs w:val="18"/>
                <w:color w:val="auto"/>
              </w:rPr>
              <w:t>Deferred income tax assets (included in other long-term assets)</w:t>
            </w:r>
          </w:p>
        </w:tc>
        <w:tc>
          <w:tcPr>
            <w:tcW w:w="340" w:type="dxa"/>
            <w:vAlign w:val="bottom"/>
            <w:shd w:val="clear" w:color="auto" w:fill="CCEEFF"/>
          </w:tcPr>
          <w:p>
            <w:pPr>
              <w:jc w:val="right"/>
              <w:ind w:right="150"/>
              <w:spacing w:after="0"/>
              <w:rPr>
                <w:sz w:val="20"/>
                <w:szCs w:val="20"/>
                <w:color w:val="auto"/>
              </w:rPr>
            </w:pPr>
            <w:r>
              <w:rPr>
                <w:rFonts w:ascii="Arial" w:cs="Arial" w:eastAsia="Arial" w:hAnsi="Arial"/>
                <w:sz w:val="18"/>
                <w:szCs w:val="18"/>
                <w:color w:val="auto"/>
                <w:w w:val="79"/>
              </w:rPr>
              <w:t>$</w:t>
            </w:r>
          </w:p>
        </w:tc>
        <w:tc>
          <w:tcPr>
            <w:tcW w:w="128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205</w:t>
            </w:r>
          </w:p>
        </w:tc>
        <w:tc>
          <w:tcPr>
            <w:tcW w:w="420" w:type="dxa"/>
            <w:vAlign w:val="bottom"/>
            <w:gridSpan w:val="2"/>
            <w:shd w:val="clear" w:color="auto" w:fill="CCEEFF"/>
          </w:tcPr>
          <w:p>
            <w:pPr>
              <w:jc w:val="right"/>
              <w:ind w:right="130"/>
              <w:spacing w:after="0"/>
              <w:rPr>
                <w:sz w:val="20"/>
                <w:szCs w:val="20"/>
                <w:color w:val="auto"/>
              </w:rPr>
            </w:pPr>
            <w:r>
              <w:rPr>
                <w:rFonts w:ascii="Arial" w:cs="Arial" w:eastAsia="Arial" w:hAnsi="Arial"/>
                <w:sz w:val="18"/>
                <w:szCs w:val="18"/>
                <w:color w:val="auto"/>
              </w:rPr>
              <w:t>$</w:t>
            </w:r>
          </w:p>
        </w:tc>
        <w:tc>
          <w:tcPr>
            <w:tcW w:w="126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255</w:t>
            </w:r>
          </w:p>
        </w:tc>
      </w:tr>
      <w:tr>
        <w:trPr>
          <w:trHeight w:val="216"/>
        </w:trPr>
        <w:tc>
          <w:tcPr>
            <w:tcW w:w="7360" w:type="dxa"/>
            <w:vAlign w:val="bottom"/>
          </w:tcPr>
          <w:p>
            <w:pPr>
              <w:spacing w:after="0"/>
              <w:rPr>
                <w:sz w:val="20"/>
                <w:szCs w:val="20"/>
                <w:color w:val="auto"/>
              </w:rPr>
            </w:pPr>
            <w:r>
              <w:rPr>
                <w:rFonts w:ascii="Arial" w:cs="Arial" w:eastAsia="Arial" w:hAnsi="Arial"/>
                <w:sz w:val="18"/>
                <w:szCs w:val="18"/>
                <w:color w:val="auto"/>
              </w:rPr>
              <w:t>Deferred income tax liabilities</w:t>
            </w:r>
          </w:p>
        </w:tc>
        <w:tc>
          <w:tcPr>
            <w:tcW w:w="340" w:type="dxa"/>
            <w:vAlign w:val="bottom"/>
            <w:tcBorders>
              <w:bottom w:val="single" w:sz="8" w:color="auto"/>
            </w:tcBorders>
          </w:tcPr>
          <w:p>
            <w:pPr>
              <w:spacing w:after="0"/>
              <w:rPr>
                <w:sz w:val="18"/>
                <w:szCs w:val="18"/>
                <w:color w:val="auto"/>
              </w:rPr>
            </w:pPr>
          </w:p>
        </w:tc>
        <w:tc>
          <w:tcPr>
            <w:tcW w:w="12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(1,558)</w:t>
            </w:r>
          </w:p>
        </w:tc>
        <w:tc>
          <w:tcPr>
            <w:tcW w:w="100" w:type="dxa"/>
            <w:vAlign w:val="bottom"/>
          </w:tcPr>
          <w:p>
            <w:pPr>
              <w:spacing w:after="0"/>
              <w:rPr>
                <w:sz w:val="18"/>
                <w:szCs w:val="18"/>
                <w:color w:val="auto"/>
              </w:rPr>
            </w:pPr>
          </w:p>
        </w:tc>
        <w:tc>
          <w:tcPr>
            <w:tcW w:w="320" w:type="dxa"/>
            <w:vAlign w:val="bottom"/>
            <w:tcBorders>
              <w:bottom w:val="single" w:sz="8" w:color="auto"/>
            </w:tcBorders>
          </w:tcPr>
          <w:p>
            <w:pPr>
              <w:spacing w:after="0"/>
              <w:rPr>
                <w:sz w:val="18"/>
                <w:szCs w:val="18"/>
                <w:color w:val="auto"/>
              </w:rPr>
            </w:pPr>
          </w:p>
        </w:tc>
        <w:tc>
          <w:tcPr>
            <w:tcW w:w="12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(1,899)</w:t>
            </w:r>
          </w:p>
        </w:tc>
      </w:tr>
      <w:tr>
        <w:trPr>
          <w:trHeight w:val="250"/>
        </w:trPr>
        <w:tc>
          <w:tcPr>
            <w:tcW w:w="736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Deferred income tax liability, net</w:t>
            </w:r>
          </w:p>
        </w:tc>
        <w:tc>
          <w:tcPr>
            <w:tcW w:w="340" w:type="dxa"/>
            <w:vAlign w:val="bottom"/>
            <w:tcBorders>
              <w:bottom w:val="single" w:sz="8" w:color="auto"/>
            </w:tcBorders>
            <w:shd w:val="clear" w:color="auto" w:fill="CCEEFF"/>
          </w:tcPr>
          <w:p>
            <w:pPr>
              <w:jc w:val="right"/>
              <w:ind w:right="150"/>
              <w:spacing w:after="0"/>
              <w:rPr>
                <w:sz w:val="20"/>
                <w:szCs w:val="20"/>
                <w:color w:val="auto"/>
              </w:rPr>
            </w:pPr>
            <w:r>
              <w:rPr>
                <w:rFonts w:ascii="Arial" w:cs="Arial" w:eastAsia="Arial" w:hAnsi="Arial"/>
                <w:sz w:val="18"/>
                <w:szCs w:val="18"/>
                <w:color w:val="auto"/>
                <w:w w:val="79"/>
              </w:rPr>
              <w:t>$</w:t>
            </w:r>
          </w:p>
        </w:tc>
        <w:tc>
          <w:tcPr>
            <w:tcW w:w="12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(1,353)</w:t>
            </w: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auto"/>
            </w:tcBorders>
            <w:shd w:val="clear" w:color="auto" w:fill="CCEEFF"/>
          </w:tcPr>
          <w:p>
            <w:pPr>
              <w:jc w:val="right"/>
              <w:ind w:right="130"/>
              <w:spacing w:after="0"/>
              <w:rPr>
                <w:sz w:val="20"/>
                <w:szCs w:val="20"/>
                <w:color w:val="auto"/>
              </w:rPr>
            </w:pPr>
            <w:r>
              <w:rPr>
                <w:rFonts w:ascii="Arial" w:cs="Arial" w:eastAsia="Arial" w:hAnsi="Arial"/>
                <w:sz w:val="18"/>
                <w:szCs w:val="18"/>
                <w:color w:val="auto"/>
                <w:w w:val="79"/>
              </w:rPr>
              <w:t>$</w:t>
            </w:r>
          </w:p>
        </w:tc>
        <w:tc>
          <w:tcPr>
            <w:tcW w:w="12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(1,644)</w:t>
            </w:r>
          </w:p>
        </w:tc>
      </w:tr>
    </w:tbl>
    <w:p>
      <w:pPr>
        <w:spacing w:after="0" w:line="202" w:lineRule="exact"/>
        <w:rPr>
          <w:sz w:val="20"/>
          <w:szCs w:val="20"/>
          <w:color w:val="auto"/>
        </w:rPr>
      </w:pPr>
    </w:p>
    <w:p>
      <w:pPr>
        <w:jc w:val="both"/>
        <w:ind w:right="80" w:firstLine="648"/>
        <w:spacing w:after="0" w:line="253" w:lineRule="auto"/>
        <w:rPr>
          <w:sz w:val="20"/>
          <w:szCs w:val="20"/>
          <w:color w:val="auto"/>
        </w:rPr>
      </w:pPr>
      <w:r>
        <w:rPr>
          <w:rFonts w:ascii="Arial" w:cs="Arial" w:eastAsia="Arial" w:hAnsi="Arial"/>
          <w:sz w:val="18"/>
          <w:szCs w:val="18"/>
          <w:color w:val="auto"/>
        </w:rPr>
        <w:t>As of December 31, 2021 and 2020, the Company maintained a total valuation allowance of $14.7 million and $16.7 million, respectively, which relates to foreign, federal, and state deferred tax assets in both years. The valuation allowance is based on estimates of taxable income in each of the jurisdictions in which the Company operates and the period over which deferred tax assets will be recoverable. The net change in total valuation allowance for each of the years ended December 31, 2021 and December 31, 2020 was a decrease of $2.0 million and an increase of $2.9 million, respectively. The decrease in the valuation allowance in 2021 is primarily due to a change in estimate of the realizability of UK deferred tax assets and the utilization and expiration of certain U.S. net operating losses and the expiration of certain U.S. credits. A valuation allowance decrease of $0.9 million was recorded to equity during the year ended December 31, 2021 related to the UK pension liability. The movement in the valuation allowance in 2020 is primarily due to increases in the valuation allowance against net operating losses (NOLs) as a result of changes made by the Coronavirus Aid, Relief, and Economic Security Act (“CARES Act”) and movement of $0.7 million was recorded to equity during the year ended December 31, 2020 related to the UK pension asset.</w:t>
      </w:r>
    </w:p>
    <w:p>
      <w:pPr>
        <w:spacing w:after="0" w:line="200" w:lineRule="exact"/>
        <w:rPr>
          <w:sz w:val="20"/>
          <w:szCs w:val="20"/>
          <w:color w:val="auto"/>
        </w:rPr>
      </w:pPr>
    </w:p>
    <w:p>
      <w:pPr>
        <w:spacing w:after="0" w:line="210" w:lineRule="exact"/>
        <w:rPr>
          <w:sz w:val="20"/>
          <w:szCs w:val="20"/>
          <w:color w:val="auto"/>
        </w:rPr>
      </w:pPr>
    </w:p>
    <w:p>
      <w:pPr>
        <w:jc w:val="center"/>
        <w:ind w:right="80"/>
        <w:spacing w:after="0"/>
        <w:rPr>
          <w:sz w:val="20"/>
          <w:szCs w:val="20"/>
          <w:color w:val="auto"/>
        </w:rPr>
      </w:pPr>
      <w:r>
        <w:rPr>
          <w:rFonts w:ascii="Arial" w:cs="Arial" w:eastAsia="Arial" w:hAnsi="Arial"/>
          <w:sz w:val="18"/>
          <w:szCs w:val="18"/>
          <w:color w:val="auto"/>
        </w:rPr>
        <w:t>F- 28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320"/>
          </w:cols>
          <w:pgMar w:left="320" w:top="108" w:right="259" w:bottom="1440" w:gutter="0" w:footer="0" w:header="0"/>
        </w:sectPr>
      </w:pPr>
    </w:p>
    <w:bookmarkStart w:id="57" w:name="page58"/>
    <w:bookmarkEnd w:id="57"/>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52" w:lineRule="exact"/>
        <w:rPr>
          <w:sz w:val="20"/>
          <w:szCs w:val="20"/>
          <w:color w:val="auto"/>
        </w:rPr>
      </w:pPr>
    </w:p>
    <w:p>
      <w:pPr>
        <w:jc w:val="both"/>
        <w:ind w:right="80" w:firstLine="648"/>
        <w:spacing w:after="0" w:line="288" w:lineRule="auto"/>
        <w:rPr>
          <w:sz w:val="20"/>
          <w:szCs w:val="20"/>
          <w:color w:val="auto"/>
        </w:rPr>
      </w:pPr>
      <w:r>
        <w:rPr>
          <w:rFonts w:ascii="Arial" w:cs="Arial" w:eastAsia="Arial" w:hAnsi="Arial"/>
          <w:sz w:val="16"/>
          <w:szCs w:val="16"/>
          <w:color w:val="auto"/>
        </w:rPr>
        <w:t>At December 31, 2021, the Company had U.S. federal net operating loss carryforwards of $22.7 million, of which $22.6 expires between 2029 and 2037. The Company’s state net operating loss carryforwards of $16.4 million expire between 2022 and 2041. The Company has net operating loss carryforwards of $9.9 million in certain foreign jurisdictions which may be carried forward indefinitely, partially offset by valuation allowances. The Company has $8.4 million of research and development tax credit carryforwards and foreign tax credits of $0.2 million which begin to expire in 2022. Approximately $1.0 million of the research and development tax credit carryforwards are offset by a reserve for uncertain tax positions. In addition, the Company had a total of $2.9 million of state investment tax credit carryforwards, research and development tax credit carryforwards, and enterprise zone credit carryforwards, which begin to expire in 2023. The Internal Revenue Code (IRC) limits the amounts of net operating loss carryforwards or credits that a company may use in any one year in the event of a change in ownership under IRC Sections 382 or 383. As a result of the DSI acquisition as well as other acquisitions in prior years, certain losses and credit carryforwards are subject to these limitations. The Company has provided a full or partial valuation allowance for the portion of state NOLs and federal and state credit carryforwards the Company expects will expire before use.</w:t>
      </w:r>
    </w:p>
    <w:p>
      <w:pPr>
        <w:spacing w:after="0" w:line="168" w:lineRule="exact"/>
        <w:rPr>
          <w:sz w:val="20"/>
          <w:szCs w:val="20"/>
          <w:color w:val="auto"/>
        </w:rPr>
      </w:pPr>
    </w:p>
    <w:p>
      <w:pPr>
        <w:jc w:val="both"/>
        <w:ind w:right="80" w:firstLine="648"/>
        <w:spacing w:after="0" w:line="263" w:lineRule="auto"/>
        <w:rPr>
          <w:sz w:val="20"/>
          <w:szCs w:val="20"/>
          <w:color w:val="auto"/>
        </w:rPr>
      </w:pPr>
      <w:r>
        <w:rPr>
          <w:rFonts w:ascii="Arial" w:cs="Arial" w:eastAsia="Arial" w:hAnsi="Arial"/>
          <w:sz w:val="18"/>
          <w:szCs w:val="18"/>
          <w:color w:val="auto"/>
        </w:rPr>
        <w:t>As of December 31, 2021 and December 31, 2020, cash and cash equivalents held by the Company’s foreign subsidiaries was $2.8 million and $2.5 million, respectively. As of December 31, 2021, the Company has determined the potential income tax and withholding liability related to available cash balances at foreign subsidiaries to be immaterial.</w:t>
      </w:r>
    </w:p>
    <w:p>
      <w:pPr>
        <w:spacing w:after="0" w:line="184" w:lineRule="exact"/>
        <w:rPr>
          <w:sz w:val="20"/>
          <w:szCs w:val="20"/>
          <w:color w:val="auto"/>
        </w:rPr>
      </w:pPr>
    </w:p>
    <w:p>
      <w:pPr>
        <w:ind w:left="660"/>
        <w:spacing w:after="0"/>
        <w:rPr>
          <w:sz w:val="20"/>
          <w:szCs w:val="20"/>
          <w:color w:val="auto"/>
        </w:rPr>
      </w:pPr>
      <w:r>
        <w:rPr>
          <w:rFonts w:ascii="Arial" w:cs="Arial" w:eastAsia="Arial" w:hAnsi="Arial"/>
          <w:sz w:val="16"/>
          <w:szCs w:val="16"/>
          <w:color w:val="auto"/>
        </w:rPr>
        <w:t>At December 31, 2021 and 2020 the amount of unrecognized tax benefits that would affect the Company’s effective tax rate are shown in the table</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below:</w:t>
      </w:r>
    </w:p>
    <w:p>
      <w:pPr>
        <w:spacing w:after="0" w:line="211" w:lineRule="exact"/>
        <w:rPr>
          <w:sz w:val="20"/>
          <w:szCs w:val="20"/>
          <w:color w:val="auto"/>
        </w:rPr>
      </w:pPr>
    </w:p>
    <w:tbl>
      <w:tblPr>
        <w:tblLayout w:type="fixed"/>
        <w:tblInd w:w="660" w:type="dxa"/>
        <w:tblCellMar>
          <w:top w:w="0" w:type="dxa"/>
          <w:left w:w="0" w:type="dxa"/>
          <w:bottom w:w="0" w:type="dxa"/>
          <w:right w:w="0" w:type="dxa"/>
        </w:tblCellMar>
      </w:tblPr>
      <w:tr>
        <w:trPr>
          <w:trHeight w:val="230"/>
        </w:trPr>
        <w:tc>
          <w:tcPr>
            <w:tcW w:w="9020" w:type="dxa"/>
            <w:vAlign w:val="bottom"/>
          </w:tcPr>
          <w:p>
            <w:pPr>
              <w:spacing w:after="0"/>
              <w:rPr>
                <w:sz w:val="20"/>
                <w:szCs w:val="20"/>
                <w:color w:val="auto"/>
              </w:rPr>
            </w:pPr>
            <w:r>
              <w:rPr>
                <w:rFonts w:ascii="Arial" w:cs="Arial" w:eastAsia="Arial" w:hAnsi="Arial"/>
                <w:sz w:val="18"/>
                <w:szCs w:val="18"/>
                <w:color w:val="auto"/>
              </w:rPr>
              <w:t>(in thousands)</w:t>
            </w:r>
          </w:p>
        </w:tc>
        <w:tc>
          <w:tcPr>
            <w:tcW w:w="600" w:type="dxa"/>
            <w:vAlign w:val="bottom"/>
          </w:tcPr>
          <w:p>
            <w:pPr>
              <w:spacing w:after="0"/>
              <w:rPr>
                <w:sz w:val="20"/>
                <w:szCs w:val="20"/>
                <w:color w:val="auto"/>
              </w:rPr>
            </w:pPr>
          </w:p>
        </w:tc>
        <w:tc>
          <w:tcPr>
            <w:tcW w:w="1040" w:type="dxa"/>
            <w:vAlign w:val="bottom"/>
          </w:tcPr>
          <w:p>
            <w:pPr>
              <w:spacing w:after="0"/>
              <w:rPr>
                <w:sz w:val="20"/>
                <w:szCs w:val="20"/>
                <w:color w:val="auto"/>
              </w:rPr>
            </w:pPr>
          </w:p>
        </w:tc>
      </w:tr>
      <w:tr>
        <w:trPr>
          <w:trHeight w:val="216"/>
        </w:trPr>
        <w:tc>
          <w:tcPr>
            <w:tcW w:w="9020" w:type="dxa"/>
            <w:vAlign w:val="bottom"/>
            <w:shd w:val="clear" w:color="auto" w:fill="CCEEFF"/>
          </w:tcPr>
          <w:p>
            <w:pPr>
              <w:spacing w:after="0"/>
              <w:rPr>
                <w:sz w:val="20"/>
                <w:szCs w:val="20"/>
                <w:color w:val="auto"/>
              </w:rPr>
            </w:pPr>
            <w:r>
              <w:rPr>
                <w:rFonts w:ascii="Arial" w:cs="Arial" w:eastAsia="Arial" w:hAnsi="Arial"/>
                <w:sz w:val="18"/>
                <w:szCs w:val="18"/>
                <w:color w:val="auto"/>
              </w:rPr>
              <w:t>Balance at December 31, 2019</w:t>
            </w:r>
          </w:p>
        </w:tc>
        <w:tc>
          <w:tcPr>
            <w:tcW w:w="600" w:type="dxa"/>
            <w:vAlign w:val="bottom"/>
            <w:shd w:val="clear" w:color="auto" w:fill="CCEEFF"/>
          </w:tcPr>
          <w:p>
            <w:pPr>
              <w:jc w:val="right"/>
              <w:ind w:right="447"/>
              <w:spacing w:after="0"/>
              <w:rPr>
                <w:sz w:val="20"/>
                <w:szCs w:val="20"/>
                <w:color w:val="auto"/>
              </w:rPr>
            </w:pPr>
            <w:r>
              <w:rPr>
                <w:rFonts w:ascii="Arial" w:cs="Arial" w:eastAsia="Arial" w:hAnsi="Arial"/>
                <w:sz w:val="15"/>
                <w:szCs w:val="15"/>
                <w:color w:val="auto"/>
                <w:w w:val="71"/>
              </w:rPr>
              <w:t>$</w:t>
            </w:r>
          </w:p>
        </w:tc>
        <w:tc>
          <w:tcPr>
            <w:tcW w:w="104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1,353</w:t>
            </w:r>
          </w:p>
        </w:tc>
      </w:tr>
      <w:tr>
        <w:trPr>
          <w:trHeight w:val="216"/>
        </w:trPr>
        <w:tc>
          <w:tcPr>
            <w:tcW w:w="9020" w:type="dxa"/>
            <w:vAlign w:val="bottom"/>
          </w:tcPr>
          <w:p>
            <w:pPr>
              <w:ind w:left="160"/>
              <w:spacing w:after="0"/>
              <w:rPr>
                <w:sz w:val="20"/>
                <w:szCs w:val="20"/>
                <w:color w:val="auto"/>
              </w:rPr>
            </w:pPr>
            <w:r>
              <w:rPr>
                <w:rFonts w:ascii="Arial" w:cs="Arial" w:eastAsia="Arial" w:hAnsi="Arial"/>
                <w:sz w:val="18"/>
                <w:szCs w:val="18"/>
                <w:color w:val="auto"/>
              </w:rPr>
              <w:t>Additions based on tax positions of prior years</w:t>
            </w:r>
          </w:p>
        </w:tc>
        <w:tc>
          <w:tcPr>
            <w:tcW w:w="600" w:type="dxa"/>
            <w:vAlign w:val="bottom"/>
          </w:tcPr>
          <w:p>
            <w:pPr>
              <w:spacing w:after="0"/>
              <w:rPr>
                <w:sz w:val="18"/>
                <w:szCs w:val="18"/>
                <w:color w:val="auto"/>
              </w:rPr>
            </w:pPr>
          </w:p>
        </w:tc>
        <w:tc>
          <w:tcPr>
            <w:tcW w:w="1040" w:type="dxa"/>
            <w:vAlign w:val="bottom"/>
          </w:tcPr>
          <w:p>
            <w:pPr>
              <w:jc w:val="right"/>
              <w:ind w:right="10"/>
              <w:spacing w:after="0"/>
              <w:rPr>
                <w:sz w:val="20"/>
                <w:szCs w:val="20"/>
                <w:color w:val="auto"/>
              </w:rPr>
            </w:pPr>
            <w:r>
              <w:rPr>
                <w:rFonts w:ascii="Arial" w:cs="Arial" w:eastAsia="Arial" w:hAnsi="Arial"/>
                <w:sz w:val="18"/>
                <w:szCs w:val="18"/>
                <w:color w:val="auto"/>
              </w:rPr>
              <w:t>157</w:t>
            </w:r>
          </w:p>
        </w:tc>
      </w:tr>
      <w:tr>
        <w:trPr>
          <w:trHeight w:val="216"/>
        </w:trPr>
        <w:tc>
          <w:tcPr>
            <w:tcW w:w="9020" w:type="dxa"/>
            <w:vAlign w:val="bottom"/>
            <w:shd w:val="clear" w:color="auto" w:fill="CCEEFF"/>
          </w:tcPr>
          <w:p>
            <w:pPr>
              <w:ind w:left="160"/>
              <w:spacing w:after="0"/>
              <w:rPr>
                <w:sz w:val="20"/>
                <w:szCs w:val="20"/>
                <w:color w:val="auto"/>
              </w:rPr>
            </w:pPr>
            <w:r>
              <w:rPr>
                <w:rFonts w:ascii="Arial" w:cs="Arial" w:eastAsia="Arial" w:hAnsi="Arial"/>
                <w:sz w:val="18"/>
                <w:szCs w:val="18"/>
                <w:color w:val="auto"/>
              </w:rPr>
              <w:t>Decreases based on tax positions of prior years</w:t>
            </w:r>
          </w:p>
        </w:tc>
        <w:tc>
          <w:tcPr>
            <w:tcW w:w="600" w:type="dxa"/>
            <w:vAlign w:val="bottom"/>
            <w:shd w:val="clear" w:color="auto" w:fill="CCEEFF"/>
          </w:tcPr>
          <w:p>
            <w:pPr>
              <w:spacing w:after="0"/>
              <w:rPr>
                <w:sz w:val="18"/>
                <w:szCs w:val="18"/>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w:t>
            </w:r>
          </w:p>
        </w:tc>
      </w:tr>
      <w:tr>
        <w:trPr>
          <w:trHeight w:val="216"/>
        </w:trPr>
        <w:tc>
          <w:tcPr>
            <w:tcW w:w="9020" w:type="dxa"/>
            <w:vAlign w:val="bottom"/>
          </w:tcPr>
          <w:p>
            <w:pPr>
              <w:ind w:left="160"/>
              <w:spacing w:after="0"/>
              <w:rPr>
                <w:sz w:val="20"/>
                <w:szCs w:val="20"/>
                <w:color w:val="auto"/>
              </w:rPr>
            </w:pPr>
            <w:r>
              <w:rPr>
                <w:rFonts w:ascii="Arial" w:cs="Arial" w:eastAsia="Arial" w:hAnsi="Arial"/>
                <w:sz w:val="18"/>
                <w:szCs w:val="18"/>
                <w:color w:val="auto"/>
              </w:rPr>
              <w:t>Additions based on tax positions of current years</w:t>
            </w:r>
          </w:p>
        </w:tc>
        <w:tc>
          <w:tcPr>
            <w:tcW w:w="600" w:type="dxa"/>
            <w:vAlign w:val="bottom"/>
          </w:tcPr>
          <w:p>
            <w:pPr>
              <w:spacing w:after="0"/>
              <w:rPr>
                <w:sz w:val="18"/>
                <w:szCs w:val="18"/>
                <w:color w:val="auto"/>
              </w:rPr>
            </w:pPr>
          </w:p>
        </w:tc>
        <w:tc>
          <w:tcPr>
            <w:tcW w:w="1040" w:type="dxa"/>
            <w:vAlign w:val="bottom"/>
          </w:tcPr>
          <w:p>
            <w:pPr>
              <w:jc w:val="right"/>
              <w:ind w:right="10"/>
              <w:spacing w:after="0"/>
              <w:rPr>
                <w:sz w:val="20"/>
                <w:szCs w:val="20"/>
                <w:color w:val="auto"/>
              </w:rPr>
            </w:pPr>
            <w:r>
              <w:rPr>
                <w:rFonts w:ascii="Arial" w:cs="Arial" w:eastAsia="Arial" w:hAnsi="Arial"/>
                <w:sz w:val="18"/>
                <w:szCs w:val="18"/>
                <w:color w:val="auto"/>
              </w:rPr>
              <w:t>213</w:t>
            </w:r>
          </w:p>
        </w:tc>
      </w:tr>
      <w:tr>
        <w:trPr>
          <w:trHeight w:val="216"/>
        </w:trPr>
        <w:tc>
          <w:tcPr>
            <w:tcW w:w="9020" w:type="dxa"/>
            <w:vAlign w:val="bottom"/>
            <w:tcBorders>
              <w:bottom w:val="single" w:sz="8" w:color="CCEEFF"/>
            </w:tcBorders>
            <w:shd w:val="clear" w:color="auto" w:fill="CCEEFF"/>
          </w:tcPr>
          <w:p>
            <w:pPr>
              <w:ind w:left="160"/>
              <w:spacing w:after="0"/>
              <w:rPr>
                <w:sz w:val="20"/>
                <w:szCs w:val="20"/>
                <w:color w:val="auto"/>
              </w:rPr>
            </w:pPr>
            <w:r>
              <w:rPr>
                <w:rFonts w:ascii="Arial" w:cs="Arial" w:eastAsia="Arial" w:hAnsi="Arial"/>
                <w:sz w:val="18"/>
                <w:szCs w:val="18"/>
                <w:color w:val="auto"/>
              </w:rPr>
              <w:t>Settlements and other</w:t>
            </w:r>
          </w:p>
        </w:tc>
        <w:tc>
          <w:tcPr>
            <w:tcW w:w="600" w:type="dxa"/>
            <w:vAlign w:val="bottom"/>
            <w:tcBorders>
              <w:bottom w:val="single" w:sz="8" w:color="auto"/>
            </w:tcBorders>
            <w:shd w:val="clear" w:color="auto" w:fill="CCEEFF"/>
          </w:tcPr>
          <w:p>
            <w:pPr>
              <w:spacing w:after="0"/>
              <w:rPr>
                <w:sz w:val="18"/>
                <w:szCs w:val="18"/>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(39)</w:t>
            </w:r>
          </w:p>
        </w:tc>
      </w:tr>
      <w:tr>
        <w:trPr>
          <w:trHeight w:val="209"/>
        </w:trPr>
        <w:tc>
          <w:tcPr>
            <w:tcW w:w="9020" w:type="dxa"/>
            <w:vAlign w:val="bottom"/>
          </w:tcPr>
          <w:p>
            <w:pPr>
              <w:spacing w:after="0"/>
              <w:rPr>
                <w:sz w:val="20"/>
                <w:szCs w:val="20"/>
                <w:color w:val="auto"/>
              </w:rPr>
            </w:pPr>
            <w:r>
              <w:rPr>
                <w:rFonts w:ascii="Arial" w:cs="Arial" w:eastAsia="Arial" w:hAnsi="Arial"/>
                <w:sz w:val="18"/>
                <w:szCs w:val="18"/>
                <w:color w:val="auto"/>
              </w:rPr>
              <w:t>Balance at December 31, 2020</w:t>
            </w:r>
          </w:p>
        </w:tc>
        <w:tc>
          <w:tcPr>
            <w:tcW w:w="600" w:type="dxa"/>
            <w:vAlign w:val="bottom"/>
          </w:tcPr>
          <w:p>
            <w:pPr>
              <w:spacing w:after="0"/>
              <w:rPr>
                <w:sz w:val="18"/>
                <w:szCs w:val="18"/>
                <w:color w:val="auto"/>
              </w:rPr>
            </w:pPr>
          </w:p>
        </w:tc>
        <w:tc>
          <w:tcPr>
            <w:tcW w:w="1040" w:type="dxa"/>
            <w:vAlign w:val="bottom"/>
          </w:tcPr>
          <w:p>
            <w:pPr>
              <w:jc w:val="right"/>
              <w:ind w:right="10"/>
              <w:spacing w:after="0"/>
              <w:rPr>
                <w:sz w:val="20"/>
                <w:szCs w:val="20"/>
                <w:color w:val="auto"/>
              </w:rPr>
            </w:pPr>
            <w:r>
              <w:rPr>
                <w:rFonts w:ascii="Arial" w:cs="Arial" w:eastAsia="Arial" w:hAnsi="Arial"/>
                <w:sz w:val="18"/>
                <w:szCs w:val="18"/>
                <w:color w:val="auto"/>
              </w:rPr>
              <w:t>1,673</w:t>
            </w:r>
          </w:p>
        </w:tc>
      </w:tr>
      <w:tr>
        <w:trPr>
          <w:trHeight w:val="216"/>
        </w:trPr>
        <w:tc>
          <w:tcPr>
            <w:tcW w:w="9020" w:type="dxa"/>
            <w:vAlign w:val="bottom"/>
            <w:shd w:val="clear" w:color="auto" w:fill="CCEEFF"/>
          </w:tcPr>
          <w:p>
            <w:pPr>
              <w:ind w:left="160"/>
              <w:spacing w:after="0"/>
              <w:rPr>
                <w:sz w:val="20"/>
                <w:szCs w:val="20"/>
                <w:color w:val="auto"/>
              </w:rPr>
            </w:pPr>
            <w:r>
              <w:rPr>
                <w:rFonts w:ascii="Arial" w:cs="Arial" w:eastAsia="Arial" w:hAnsi="Arial"/>
                <w:sz w:val="18"/>
                <w:szCs w:val="18"/>
                <w:color w:val="auto"/>
              </w:rPr>
              <w:t>Additions based on tax positions of prior years</w:t>
            </w:r>
          </w:p>
        </w:tc>
        <w:tc>
          <w:tcPr>
            <w:tcW w:w="600" w:type="dxa"/>
            <w:vAlign w:val="bottom"/>
            <w:shd w:val="clear" w:color="auto" w:fill="CCEEFF"/>
          </w:tcPr>
          <w:p>
            <w:pPr>
              <w:spacing w:after="0"/>
              <w:rPr>
                <w:sz w:val="18"/>
                <w:szCs w:val="18"/>
                <w:color w:val="auto"/>
              </w:rPr>
            </w:pPr>
          </w:p>
        </w:tc>
        <w:tc>
          <w:tcPr>
            <w:tcW w:w="104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w:t>
            </w:r>
          </w:p>
        </w:tc>
      </w:tr>
      <w:tr>
        <w:trPr>
          <w:trHeight w:val="216"/>
        </w:trPr>
        <w:tc>
          <w:tcPr>
            <w:tcW w:w="9020" w:type="dxa"/>
            <w:vAlign w:val="bottom"/>
          </w:tcPr>
          <w:p>
            <w:pPr>
              <w:ind w:left="160"/>
              <w:spacing w:after="0"/>
              <w:rPr>
                <w:sz w:val="20"/>
                <w:szCs w:val="20"/>
                <w:color w:val="auto"/>
              </w:rPr>
            </w:pPr>
            <w:r>
              <w:rPr>
                <w:rFonts w:ascii="Arial" w:cs="Arial" w:eastAsia="Arial" w:hAnsi="Arial"/>
                <w:sz w:val="18"/>
                <w:szCs w:val="18"/>
                <w:color w:val="auto"/>
              </w:rPr>
              <w:t>Decreases based on tax positions of prior years</w:t>
            </w:r>
          </w:p>
        </w:tc>
        <w:tc>
          <w:tcPr>
            <w:tcW w:w="60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(208)</w:t>
            </w:r>
          </w:p>
        </w:tc>
      </w:tr>
      <w:tr>
        <w:trPr>
          <w:trHeight w:val="216"/>
        </w:trPr>
        <w:tc>
          <w:tcPr>
            <w:tcW w:w="9020" w:type="dxa"/>
            <w:vAlign w:val="bottom"/>
            <w:shd w:val="clear" w:color="auto" w:fill="CCEEFF"/>
          </w:tcPr>
          <w:p>
            <w:pPr>
              <w:ind w:left="160"/>
              <w:spacing w:after="0"/>
              <w:rPr>
                <w:sz w:val="20"/>
                <w:szCs w:val="20"/>
                <w:color w:val="auto"/>
              </w:rPr>
            </w:pPr>
            <w:r>
              <w:rPr>
                <w:rFonts w:ascii="Arial" w:cs="Arial" w:eastAsia="Arial" w:hAnsi="Arial"/>
                <w:sz w:val="18"/>
                <w:szCs w:val="18"/>
                <w:color w:val="auto"/>
              </w:rPr>
              <w:t>Additions based on tax positions of current years</w:t>
            </w:r>
          </w:p>
        </w:tc>
        <w:tc>
          <w:tcPr>
            <w:tcW w:w="600" w:type="dxa"/>
            <w:vAlign w:val="bottom"/>
            <w:shd w:val="clear" w:color="auto" w:fill="CCEEFF"/>
          </w:tcPr>
          <w:p>
            <w:pPr>
              <w:spacing w:after="0"/>
              <w:rPr>
                <w:sz w:val="18"/>
                <w:szCs w:val="18"/>
                <w:color w:val="auto"/>
              </w:rPr>
            </w:pPr>
          </w:p>
        </w:tc>
        <w:tc>
          <w:tcPr>
            <w:tcW w:w="104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176</w:t>
            </w:r>
          </w:p>
        </w:tc>
      </w:tr>
      <w:tr>
        <w:trPr>
          <w:trHeight w:val="216"/>
        </w:trPr>
        <w:tc>
          <w:tcPr>
            <w:tcW w:w="9020" w:type="dxa"/>
            <w:vAlign w:val="bottom"/>
          </w:tcPr>
          <w:p>
            <w:pPr>
              <w:ind w:left="160"/>
              <w:spacing w:after="0"/>
              <w:rPr>
                <w:sz w:val="20"/>
                <w:szCs w:val="20"/>
                <w:color w:val="auto"/>
              </w:rPr>
            </w:pPr>
            <w:r>
              <w:rPr>
                <w:rFonts w:ascii="Arial" w:cs="Arial" w:eastAsia="Arial" w:hAnsi="Arial"/>
                <w:sz w:val="18"/>
                <w:szCs w:val="18"/>
                <w:color w:val="auto"/>
              </w:rPr>
              <w:t>Decreases based on expiration of statutes of limitation</w:t>
            </w:r>
          </w:p>
        </w:tc>
        <w:tc>
          <w:tcPr>
            <w:tcW w:w="60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(42)</w:t>
            </w:r>
          </w:p>
        </w:tc>
      </w:tr>
      <w:tr>
        <w:trPr>
          <w:trHeight w:val="216"/>
        </w:trPr>
        <w:tc>
          <w:tcPr>
            <w:tcW w:w="9020" w:type="dxa"/>
            <w:vAlign w:val="bottom"/>
            <w:tcBorders>
              <w:bottom w:val="single" w:sz="8" w:color="CCEEFF"/>
            </w:tcBorders>
            <w:shd w:val="clear" w:color="auto" w:fill="CCEEFF"/>
          </w:tcPr>
          <w:p>
            <w:pPr>
              <w:ind w:left="160"/>
              <w:spacing w:after="0"/>
              <w:rPr>
                <w:sz w:val="20"/>
                <w:szCs w:val="20"/>
                <w:color w:val="auto"/>
              </w:rPr>
            </w:pPr>
            <w:r>
              <w:rPr>
                <w:rFonts w:ascii="Arial" w:cs="Arial" w:eastAsia="Arial" w:hAnsi="Arial"/>
                <w:sz w:val="18"/>
                <w:szCs w:val="18"/>
                <w:color w:val="auto"/>
              </w:rPr>
              <w:t>Settlements and other</w:t>
            </w:r>
          </w:p>
        </w:tc>
        <w:tc>
          <w:tcPr>
            <w:tcW w:w="600" w:type="dxa"/>
            <w:vAlign w:val="bottom"/>
            <w:tcBorders>
              <w:bottom w:val="single" w:sz="8" w:color="auto"/>
            </w:tcBorders>
            <w:shd w:val="clear" w:color="auto" w:fill="CCEEFF"/>
          </w:tcPr>
          <w:p>
            <w:pPr>
              <w:spacing w:after="0"/>
              <w:rPr>
                <w:sz w:val="18"/>
                <w:szCs w:val="18"/>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(267)</w:t>
            </w:r>
          </w:p>
        </w:tc>
      </w:tr>
      <w:tr>
        <w:trPr>
          <w:trHeight w:val="210"/>
        </w:trPr>
        <w:tc>
          <w:tcPr>
            <w:tcW w:w="9020" w:type="dxa"/>
            <w:vAlign w:val="bottom"/>
          </w:tcPr>
          <w:p>
            <w:pPr>
              <w:spacing w:after="0"/>
              <w:rPr>
                <w:sz w:val="20"/>
                <w:szCs w:val="20"/>
                <w:color w:val="auto"/>
              </w:rPr>
            </w:pPr>
            <w:r>
              <w:rPr>
                <w:rFonts w:ascii="Arial" w:cs="Arial" w:eastAsia="Arial" w:hAnsi="Arial"/>
                <w:sz w:val="18"/>
                <w:szCs w:val="18"/>
                <w:color w:val="auto"/>
              </w:rPr>
              <w:t>Balance at December 31, 2021</w:t>
            </w:r>
          </w:p>
        </w:tc>
        <w:tc>
          <w:tcPr>
            <w:tcW w:w="600" w:type="dxa"/>
            <w:vAlign w:val="bottom"/>
            <w:tcBorders>
              <w:bottom w:val="single" w:sz="8" w:color="auto"/>
            </w:tcBorders>
          </w:tcPr>
          <w:p>
            <w:pPr>
              <w:jc w:val="right"/>
              <w:ind w:right="447"/>
              <w:spacing w:after="0"/>
              <w:rPr>
                <w:sz w:val="20"/>
                <w:szCs w:val="20"/>
                <w:color w:val="auto"/>
              </w:rPr>
            </w:pPr>
            <w:r>
              <w:rPr>
                <w:rFonts w:ascii="Arial" w:cs="Arial" w:eastAsia="Arial" w:hAnsi="Arial"/>
                <w:sz w:val="15"/>
                <w:szCs w:val="15"/>
                <w:color w:val="auto"/>
                <w:w w:val="71"/>
              </w:rPr>
              <w:t>$</w:t>
            </w:r>
          </w:p>
        </w:tc>
        <w:tc>
          <w:tcPr>
            <w:tcW w:w="104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1,332</w:t>
            </w:r>
          </w:p>
        </w:tc>
      </w:tr>
      <w:tr>
        <w:trPr>
          <w:trHeight w:val="20"/>
        </w:trPr>
        <w:tc>
          <w:tcPr>
            <w:tcW w:w="9020" w:type="dxa"/>
            <w:vAlign w:val="bottom"/>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r>
    </w:tbl>
    <w:p>
      <w:pPr>
        <w:spacing w:after="0" w:line="202" w:lineRule="exact"/>
        <w:rPr>
          <w:sz w:val="20"/>
          <w:szCs w:val="20"/>
          <w:color w:val="auto"/>
        </w:rPr>
      </w:pPr>
    </w:p>
    <w:p>
      <w:pPr>
        <w:jc w:val="both"/>
        <w:ind w:right="80" w:firstLine="648"/>
        <w:spacing w:after="0" w:line="259" w:lineRule="auto"/>
        <w:rPr>
          <w:sz w:val="20"/>
          <w:szCs w:val="20"/>
          <w:color w:val="auto"/>
        </w:rPr>
      </w:pPr>
      <w:r>
        <w:rPr>
          <w:rFonts w:ascii="Arial" w:cs="Arial" w:eastAsia="Arial" w:hAnsi="Arial"/>
          <w:sz w:val="18"/>
          <w:szCs w:val="18"/>
          <w:color w:val="auto"/>
        </w:rPr>
        <w:t>The Company does not anticipate that any portion of the total unrecognized tax benefits will be reduced within the next 12 months. The total amount of unrecognized tax benefits that, if recognized, would impact the effective tax rate is $1.3 million. The Company classifies interest and penalties related to unrecognized tax benefits as a component of income tax expense, which has not been significant during the years ended December 31, 2021 and 2020, respectively.</w:t>
      </w:r>
    </w:p>
    <w:p>
      <w:pPr>
        <w:spacing w:after="0" w:line="187" w:lineRule="exact"/>
        <w:rPr>
          <w:sz w:val="20"/>
          <w:szCs w:val="20"/>
          <w:color w:val="auto"/>
        </w:rPr>
      </w:pPr>
    </w:p>
    <w:p>
      <w:pPr>
        <w:jc w:val="both"/>
        <w:ind w:right="80" w:firstLine="648"/>
        <w:spacing w:after="0" w:line="279" w:lineRule="auto"/>
        <w:rPr>
          <w:sz w:val="20"/>
          <w:szCs w:val="20"/>
          <w:color w:val="auto"/>
        </w:rPr>
      </w:pPr>
      <w:r>
        <w:rPr>
          <w:rFonts w:ascii="Arial" w:cs="Arial" w:eastAsia="Arial" w:hAnsi="Arial"/>
          <w:sz w:val="17"/>
          <w:szCs w:val="17"/>
          <w:color w:val="auto"/>
        </w:rPr>
        <w:t>The Company or one of its subsidiaries files income tax returns in the U.S. federal jurisdiction, and various states and foreign jurisdictions. With few exceptions, the Company is no longer subject to income tax examinations by tax authorities in foreign jurisdictions for years before 2017. In the U.S., the Company's net operating loss and tax credit carryforward amounts remain subject to federal and state examination for tax years starting in 2002 as a result of tax losses incurred in prior years. There are currently no pending federal or state tax examinations.</w:t>
      </w:r>
    </w:p>
    <w:p>
      <w:pPr>
        <w:spacing w:after="0" w:line="171" w:lineRule="exact"/>
        <w:rPr>
          <w:sz w:val="20"/>
          <w:szCs w:val="20"/>
          <w:color w:val="auto"/>
        </w:rPr>
      </w:pPr>
    </w:p>
    <w:p>
      <w:pPr>
        <w:jc w:val="both"/>
        <w:ind w:right="80" w:firstLine="648"/>
        <w:spacing w:after="0" w:line="255" w:lineRule="auto"/>
        <w:rPr>
          <w:sz w:val="20"/>
          <w:szCs w:val="20"/>
          <w:color w:val="auto"/>
        </w:rPr>
      </w:pPr>
      <w:r>
        <w:rPr>
          <w:rFonts w:ascii="Arial" w:cs="Arial" w:eastAsia="Arial" w:hAnsi="Arial"/>
          <w:sz w:val="18"/>
          <w:szCs w:val="18"/>
          <w:color w:val="auto"/>
        </w:rPr>
        <w:t>On March 27, 2020, the CARES Act was signed into law. Under the CARES Act, the limitation on the deduction of business interest under Section 163j of the Internal Revenue Code was increased to 50% of adjusted taxable income (from 30%) for taxable years beginning in 2019 or 2020. In addition, the CARES Act corrected the Tax Cuts and Jobs Act to provide that net operating losses with unlimited carryover period are those arising in tax years beginning after December 31, 2017, rather than in tax years ending after that date. This change impacted $5.3 million of NOLs from the DSI acquisition in 2018, which no longer have an unlimited carryforward period. As a result, the Company increased the valuation allowance against these NOLs by $1.1 million.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9" w:lineRule="exact"/>
        <w:rPr>
          <w:sz w:val="20"/>
          <w:szCs w:val="20"/>
          <w:color w:val="auto"/>
        </w:rPr>
      </w:pPr>
    </w:p>
    <w:p>
      <w:pPr>
        <w:jc w:val="center"/>
        <w:ind w:right="80"/>
        <w:spacing w:after="0"/>
        <w:rPr>
          <w:sz w:val="20"/>
          <w:szCs w:val="20"/>
          <w:color w:val="auto"/>
        </w:rPr>
      </w:pPr>
      <w:r>
        <w:rPr>
          <w:rFonts w:ascii="Arial" w:cs="Arial" w:eastAsia="Arial" w:hAnsi="Arial"/>
          <w:sz w:val="22"/>
          <w:szCs w:val="22"/>
          <w:color w:val="auto"/>
        </w:rPr>
        <w:t>F- 29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75565</wp:posOffset>
            </wp:positionV>
            <wp:extent cx="7132320" cy="17145"/>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320"/>
          </w:cols>
          <w:pgMar w:left="320" w:top="125" w:right="259" w:bottom="1440" w:gutter="0" w:footer="0" w:header="0"/>
        </w:sectPr>
      </w:pPr>
    </w:p>
    <w:bookmarkStart w:id="58" w:name="page59"/>
    <w:bookmarkEnd w:id="58"/>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64" w:lineRule="exact"/>
        <w:rPr>
          <w:sz w:val="20"/>
          <w:szCs w:val="20"/>
          <w:color w:val="auto"/>
        </w:rPr>
      </w:pPr>
    </w:p>
    <w:p>
      <w:pPr>
        <w:ind w:left="1300" w:hanging="644"/>
        <w:spacing w:after="0"/>
        <w:tabs>
          <w:tab w:leader="none" w:pos="1300" w:val="left"/>
        </w:tabs>
        <w:numPr>
          <w:ilvl w:val="0"/>
          <w:numId w:val="26"/>
        </w:numPr>
        <w:rPr>
          <w:rFonts w:ascii="Arial" w:cs="Arial" w:eastAsia="Arial" w:hAnsi="Arial"/>
          <w:sz w:val="18"/>
          <w:szCs w:val="18"/>
          <w:b w:val="1"/>
          <w:bCs w:val="1"/>
          <w:color w:val="auto"/>
        </w:rPr>
      </w:pPr>
      <w:r>
        <w:rPr>
          <w:rFonts w:ascii="Arial" w:cs="Arial" w:eastAsia="Arial" w:hAnsi="Arial"/>
          <w:sz w:val="18"/>
          <w:szCs w:val="18"/>
          <w:b w:val="1"/>
          <w:bCs w:val="1"/>
          <w:color w:val="auto"/>
        </w:rPr>
        <w:t>Commitments and Contingent Liabilities</w:t>
      </w:r>
    </w:p>
    <w:p>
      <w:pPr>
        <w:spacing w:after="0" w:line="256" w:lineRule="exact"/>
        <w:rPr>
          <w:sz w:val="20"/>
          <w:szCs w:val="20"/>
          <w:color w:val="auto"/>
        </w:rPr>
      </w:pPr>
    </w:p>
    <w:p>
      <w:pPr>
        <w:jc w:val="both"/>
        <w:ind w:firstLine="648"/>
        <w:spacing w:after="0" w:line="255" w:lineRule="auto"/>
        <w:rPr>
          <w:sz w:val="20"/>
          <w:szCs w:val="20"/>
          <w:color w:val="auto"/>
        </w:rPr>
      </w:pPr>
      <w:r>
        <w:rPr>
          <w:rFonts w:ascii="Arial" w:cs="Arial" w:eastAsia="Arial" w:hAnsi="Arial"/>
          <w:sz w:val="18"/>
          <w:szCs w:val="18"/>
          <w:color w:val="auto"/>
        </w:rPr>
        <w:t>On April 14, 2017, representatives for the estate of an individual plaintiff filed a wrongful death complaint with the Suffolk Superior Court, in the County of Suffolk, Massachusetts (the “Court”), against the Company and other defendants, including Biostage, Inc. (f/k/a Harvard Apparatus Regenerative Technology, Inc.) (“Biostage”), a former subsidiary of the Company that was spun off in 2013, as well as another third party. The complaint seeks payment for an unspecified amount of damages and alleges that the plaintiff sustained terminal injuries allegedly caused by products, including one synthetic trachea scaffold and two bioreactors, provided by certain of the named defendants and utilized in connection with surgeries performed by third parties in Europe in 2012 and 2013.</w:t>
      </w:r>
    </w:p>
    <w:p>
      <w:pPr>
        <w:spacing w:after="0" w:line="192" w:lineRule="exact"/>
        <w:rPr>
          <w:sz w:val="20"/>
          <w:szCs w:val="20"/>
          <w:color w:val="auto"/>
        </w:rPr>
      </w:pPr>
    </w:p>
    <w:p>
      <w:pPr>
        <w:jc w:val="both"/>
        <w:ind w:firstLine="648"/>
        <w:spacing w:after="0" w:line="255" w:lineRule="auto"/>
        <w:rPr>
          <w:sz w:val="20"/>
          <w:szCs w:val="20"/>
          <w:color w:val="auto"/>
        </w:rPr>
      </w:pPr>
      <w:r>
        <w:rPr>
          <w:rFonts w:ascii="Arial" w:cs="Arial" w:eastAsia="Arial" w:hAnsi="Arial"/>
          <w:sz w:val="18"/>
          <w:szCs w:val="18"/>
          <w:color w:val="auto"/>
        </w:rPr>
        <w:t>On September 15, 2021, Biostage’s products liability insurance carrier, which insures the Company as an additional insured and which had appointed defense counsel and had been defending both Biostage and the Company on this case, notified the Company and Biostage that it was denying coverage under the applicable policy for the lawsuit and would no longer be providing a defense to the Company or Biostage with respect thereto, or covering related legal expenses incurred after September 30, 2021. The insurance carrier also filed a corresponding complaint for declaratory judgment with the Court asking the Court to declare that said insurance provider is not required to defend, indemnify or provide coverage to the Company or Biostage with respect to the lawsuit.</w:t>
      </w:r>
    </w:p>
    <w:p>
      <w:pPr>
        <w:spacing w:after="0" w:line="192" w:lineRule="exact"/>
        <w:rPr>
          <w:sz w:val="20"/>
          <w:szCs w:val="20"/>
          <w:color w:val="auto"/>
        </w:rPr>
      </w:pPr>
    </w:p>
    <w:p>
      <w:pPr>
        <w:jc w:val="both"/>
        <w:ind w:firstLine="648"/>
        <w:spacing w:after="0" w:line="279" w:lineRule="auto"/>
        <w:rPr>
          <w:sz w:val="20"/>
          <w:szCs w:val="20"/>
          <w:color w:val="auto"/>
        </w:rPr>
      </w:pPr>
      <w:r>
        <w:rPr>
          <w:rFonts w:ascii="Arial" w:cs="Arial" w:eastAsia="Arial" w:hAnsi="Arial"/>
          <w:sz w:val="17"/>
          <w:szCs w:val="17"/>
          <w:color w:val="auto"/>
        </w:rPr>
        <w:t>On January 24, 2022, the Superior Court, Suffolk County, granted the Company’s and Biostage’s jointly filed motion for a preliminary injunction against the insurance carrier requiring that it continue to pay legal expenses incurred by Biostage and the Company in connection with the underlying lawsuit during the pendency of the insurance coverage lawsuit, as well as awarding reasonable attorneys’ fees and costs incurred by the parties in connection with seeking the preliminary injunction. The insurance carrier has filed a notice of appeal of the preliminary injunction.</w:t>
      </w:r>
    </w:p>
    <w:p>
      <w:pPr>
        <w:spacing w:after="0" w:line="171" w:lineRule="exact"/>
        <w:rPr>
          <w:sz w:val="20"/>
          <w:szCs w:val="20"/>
          <w:color w:val="auto"/>
        </w:rPr>
      </w:pPr>
    </w:p>
    <w:p>
      <w:pPr>
        <w:jc w:val="both"/>
        <w:ind w:firstLine="648"/>
        <w:spacing w:after="0" w:line="273" w:lineRule="auto"/>
        <w:rPr>
          <w:sz w:val="20"/>
          <w:szCs w:val="20"/>
          <w:color w:val="auto"/>
        </w:rPr>
      </w:pPr>
      <w:r>
        <w:rPr>
          <w:rFonts w:ascii="Arial" w:cs="Arial" w:eastAsia="Arial" w:hAnsi="Arial"/>
          <w:sz w:val="17"/>
          <w:szCs w:val="17"/>
          <w:color w:val="auto"/>
        </w:rPr>
        <w:t>The Company continues to believe that the insurance carrier’s grounds for denying coverage are without merit, and intends to vigorously defend against this complaint for declaratory judgment and the insurance carrier’s denial of the claim and related matters in order to, among other things, restore the Company’s rights to seek insurance coverage for any damages awarded in the lawsuit. However, notwithstanding the preliminary injunction, there can be no assurance that the Company and Biostage will prevail in the insurance coverage litigation. As such, other than what has been ordered in the preliminary injunction, it is unclear at this point the full extent to which the Company’s liability insurance coverage will reimburse the Company for all or any portion of any defense costs or damages incurred in connection with the underlying case.</w:t>
      </w:r>
    </w:p>
    <w:p>
      <w:pPr>
        <w:spacing w:after="0" w:line="178" w:lineRule="exact"/>
        <w:rPr>
          <w:sz w:val="20"/>
          <w:szCs w:val="20"/>
          <w:color w:val="auto"/>
        </w:rPr>
      </w:pPr>
    </w:p>
    <w:p>
      <w:pPr>
        <w:jc w:val="both"/>
        <w:ind w:firstLine="648"/>
        <w:spacing w:after="0" w:line="289" w:lineRule="auto"/>
        <w:rPr>
          <w:sz w:val="20"/>
          <w:szCs w:val="20"/>
          <w:color w:val="auto"/>
        </w:rPr>
      </w:pPr>
      <w:r>
        <w:rPr>
          <w:rFonts w:ascii="Arial" w:cs="Arial" w:eastAsia="Arial" w:hAnsi="Arial"/>
          <w:sz w:val="16"/>
          <w:szCs w:val="16"/>
          <w:color w:val="auto"/>
        </w:rPr>
        <w:t>Additionally, while there can be no assurance of prevailing, the Company intends to defend the plaintiff’s claims against the Company in the underlying case vigorously. A trial date has been set for October 2022 and the parties are currently preparing for trial. If the Company loses on the merits and a jury awards damages, the Company does not know the exact amount of compensatory and, potentially, punitive damages that could be awarded, but the amounts could be substantial. Further, while Biostage has agreed to indemnify the Company for claims and losses relating to certain liabilities that it has assumed from the Company, including liabilities in connection with the sale of Biostage’s products and other liabilities related to the operation of Biostage’s business, the Company cannot be assured that Biostage will have the ability to indemnify the Company against the liabilities the Company may incur in this lawsuit, in particular due to Biostage’s overall financial condition. If Biostage is unable to satisfy its obligations under its indemnity to the Company and if the insurance carrier does not fund the defense of the case, the Company may have to fund the entire defense of the case and satisfy the liabilities in this lawsuit, which could have an adverse impact on the Company’s financial condition or cash flows.</w:t>
      </w:r>
    </w:p>
    <w:p>
      <w:pPr>
        <w:spacing w:after="0" w:line="166" w:lineRule="exact"/>
        <w:rPr>
          <w:sz w:val="20"/>
          <w:szCs w:val="20"/>
          <w:color w:val="auto"/>
        </w:rPr>
      </w:pPr>
    </w:p>
    <w:p>
      <w:pPr>
        <w:jc w:val="both"/>
        <w:ind w:firstLine="648"/>
        <w:spacing w:after="0" w:line="255" w:lineRule="auto"/>
        <w:rPr>
          <w:sz w:val="20"/>
          <w:szCs w:val="20"/>
          <w:color w:val="auto"/>
        </w:rPr>
      </w:pPr>
      <w:r>
        <w:rPr>
          <w:rFonts w:ascii="Arial" w:cs="Arial" w:eastAsia="Arial" w:hAnsi="Arial"/>
          <w:sz w:val="18"/>
          <w:szCs w:val="18"/>
          <w:color w:val="auto"/>
        </w:rPr>
        <w:t>The Company is involved in various other claims and legal proceedings arising in the ordinary course of business. After consultation with legal counsel, the Company has determined that the ultimate disposition of such proceedings is not likely to have a material adverse effect on its business, financial condition, results of operations or cash flows. Although unfavorable outcomes in the proceedings are possible, the Company has not accrued for loss contingencies relating to any such matters as they are not considered to be probable and reasonably estimable. If one or more of these matters are resolved in a manner adverse to the Company, the impact on the Company’s business, financial condition, results of operations and cash flows could be material.</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9"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F- 30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75565</wp:posOffset>
            </wp:positionV>
            <wp:extent cx="7132320" cy="17145"/>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59" w:name="page60"/>
    <w:bookmarkEnd w:id="59"/>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64" w:lineRule="exact"/>
        <w:rPr>
          <w:sz w:val="20"/>
          <w:szCs w:val="20"/>
          <w:color w:val="auto"/>
        </w:rPr>
      </w:pPr>
    </w:p>
    <w:p>
      <w:pPr>
        <w:ind w:left="1300" w:hanging="644"/>
        <w:spacing w:after="0"/>
        <w:tabs>
          <w:tab w:leader="none" w:pos="1300" w:val="left"/>
        </w:tabs>
        <w:numPr>
          <w:ilvl w:val="0"/>
          <w:numId w:val="27"/>
        </w:numPr>
        <w:rPr>
          <w:rFonts w:ascii="Arial" w:cs="Arial" w:eastAsia="Arial" w:hAnsi="Arial"/>
          <w:sz w:val="18"/>
          <w:szCs w:val="18"/>
          <w:b w:val="1"/>
          <w:bCs w:val="1"/>
          <w:color w:val="auto"/>
        </w:rPr>
      </w:pPr>
      <w:r>
        <w:rPr>
          <w:rFonts w:ascii="Arial" w:cs="Arial" w:eastAsia="Arial" w:hAnsi="Arial"/>
          <w:sz w:val="18"/>
          <w:szCs w:val="18"/>
          <w:b w:val="1"/>
          <w:bCs w:val="1"/>
          <w:color w:val="auto"/>
        </w:rPr>
        <w:t>Segment and Related Information</w:t>
      </w:r>
    </w:p>
    <w:p>
      <w:pPr>
        <w:spacing w:after="0" w:line="256" w:lineRule="exact"/>
        <w:rPr>
          <w:sz w:val="20"/>
          <w:szCs w:val="20"/>
          <w:color w:val="auto"/>
        </w:rPr>
      </w:pPr>
    </w:p>
    <w:p>
      <w:pPr>
        <w:jc w:val="both"/>
        <w:ind w:right="80" w:firstLine="648"/>
        <w:spacing w:after="0" w:line="259" w:lineRule="auto"/>
        <w:rPr>
          <w:sz w:val="20"/>
          <w:szCs w:val="20"/>
          <w:color w:val="auto"/>
        </w:rPr>
      </w:pPr>
      <w:r>
        <w:rPr>
          <w:rFonts w:ascii="Arial" w:cs="Arial" w:eastAsia="Arial" w:hAnsi="Arial"/>
          <w:sz w:val="18"/>
          <w:szCs w:val="18"/>
          <w:color w:val="auto"/>
        </w:rPr>
        <w:t>Operating segments are determined by products and services provided by each segment, internal organization structure, the manner in which operations are managed, criteria used by the Chief Operating Decision Maker, or CODM, to assess the segment performance, as well as resource allocation and the availability of discrete financial information. The Company has one operating segment and therefore segment results and consolidated results are the same.</w:t>
      </w:r>
    </w:p>
    <w:p>
      <w:pPr>
        <w:spacing w:after="0" w:line="187"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The following tables summarize additional selected financial information of the Company’s operations by geographic location.</w:t>
      </w:r>
    </w:p>
    <w:p>
      <w:pPr>
        <w:spacing w:after="0" w:line="225" w:lineRule="exact"/>
        <w:rPr>
          <w:sz w:val="20"/>
          <w:szCs w:val="20"/>
          <w:color w:val="auto"/>
        </w:rPr>
      </w:pPr>
    </w:p>
    <w:tbl>
      <w:tblPr>
        <w:tblLayout w:type="fixed"/>
        <w:tblInd w:w="660" w:type="dxa"/>
        <w:tblCellMar>
          <w:top w:w="0" w:type="dxa"/>
          <w:left w:w="0" w:type="dxa"/>
          <w:bottom w:w="0" w:type="dxa"/>
          <w:right w:w="0" w:type="dxa"/>
        </w:tblCellMar>
      </w:tblPr>
      <w:tr>
        <w:trPr>
          <w:trHeight w:val="230"/>
        </w:trPr>
        <w:tc>
          <w:tcPr>
            <w:tcW w:w="7360" w:type="dxa"/>
            <w:vAlign w:val="bottom"/>
          </w:tcPr>
          <w:p>
            <w:pPr>
              <w:spacing w:after="0"/>
              <w:rPr>
                <w:sz w:val="20"/>
                <w:szCs w:val="20"/>
                <w:color w:val="auto"/>
              </w:rPr>
            </w:pPr>
            <w:r>
              <w:rPr>
                <w:rFonts w:ascii="Arial" w:cs="Arial" w:eastAsia="Arial" w:hAnsi="Arial"/>
                <w:sz w:val="18"/>
                <w:szCs w:val="18"/>
                <w:color w:val="auto"/>
              </w:rPr>
              <w:t>Revenues by geographic destination are as follows:</w:t>
            </w:r>
          </w:p>
        </w:tc>
        <w:tc>
          <w:tcPr>
            <w:tcW w:w="340" w:type="dxa"/>
            <w:vAlign w:val="bottom"/>
          </w:tcPr>
          <w:p>
            <w:pPr>
              <w:spacing w:after="0"/>
              <w:rPr>
                <w:sz w:val="20"/>
                <w:szCs w:val="20"/>
                <w:color w:val="auto"/>
              </w:rPr>
            </w:pPr>
          </w:p>
        </w:tc>
        <w:tc>
          <w:tcPr>
            <w:tcW w:w="12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260" w:type="dxa"/>
            <w:vAlign w:val="bottom"/>
          </w:tcPr>
          <w:p>
            <w:pPr>
              <w:spacing w:after="0"/>
              <w:rPr>
                <w:sz w:val="20"/>
                <w:szCs w:val="20"/>
                <w:color w:val="auto"/>
              </w:rPr>
            </w:pPr>
          </w:p>
        </w:tc>
      </w:tr>
      <w:tr>
        <w:trPr>
          <w:trHeight w:val="432"/>
        </w:trPr>
        <w:tc>
          <w:tcPr>
            <w:tcW w:w="7360" w:type="dxa"/>
            <w:vAlign w:val="bottom"/>
          </w:tcPr>
          <w:p>
            <w:pPr>
              <w:spacing w:after="0"/>
              <w:rPr>
                <w:sz w:val="24"/>
                <w:szCs w:val="24"/>
                <w:color w:val="auto"/>
              </w:rPr>
            </w:pPr>
          </w:p>
        </w:tc>
        <w:tc>
          <w:tcPr>
            <w:tcW w:w="340" w:type="dxa"/>
            <w:vAlign w:val="bottom"/>
            <w:tcBorders>
              <w:bottom w:val="single" w:sz="8" w:color="auto"/>
            </w:tcBorders>
          </w:tcPr>
          <w:p>
            <w:pPr>
              <w:spacing w:after="0"/>
              <w:rPr>
                <w:sz w:val="24"/>
                <w:szCs w:val="24"/>
                <w:color w:val="auto"/>
              </w:rPr>
            </w:pPr>
          </w:p>
        </w:tc>
        <w:tc>
          <w:tcPr>
            <w:tcW w:w="2960" w:type="dxa"/>
            <w:vAlign w:val="bottom"/>
            <w:tcBorders>
              <w:bottom w:val="single" w:sz="8" w:color="auto"/>
            </w:tcBorders>
            <w:gridSpan w:val="4"/>
          </w:tcPr>
          <w:p>
            <w:pPr>
              <w:jc w:val="right"/>
              <w:ind w:right="610"/>
              <w:spacing w:after="0"/>
              <w:rPr>
                <w:sz w:val="20"/>
                <w:szCs w:val="20"/>
                <w:color w:val="auto"/>
              </w:rPr>
            </w:pPr>
            <w:r>
              <w:rPr>
                <w:rFonts w:ascii="Arial" w:cs="Arial" w:eastAsia="Arial" w:hAnsi="Arial"/>
                <w:sz w:val="18"/>
                <w:szCs w:val="18"/>
                <w:b w:val="1"/>
                <w:bCs w:val="1"/>
                <w:color w:val="auto"/>
              </w:rPr>
              <w:t>Year Ended December 31,</w:t>
            </w:r>
          </w:p>
        </w:tc>
      </w:tr>
      <w:tr>
        <w:trPr>
          <w:trHeight w:val="210"/>
        </w:trPr>
        <w:tc>
          <w:tcPr>
            <w:tcW w:w="7360" w:type="dxa"/>
            <w:vAlign w:val="bottom"/>
          </w:tcPr>
          <w:p>
            <w:pPr>
              <w:spacing w:after="0"/>
              <w:rPr>
                <w:sz w:val="20"/>
                <w:szCs w:val="20"/>
                <w:color w:val="auto"/>
              </w:rPr>
            </w:pPr>
            <w:r>
              <w:rPr>
                <w:rFonts w:ascii="Arial" w:cs="Arial" w:eastAsia="Arial" w:hAnsi="Arial"/>
                <w:sz w:val="18"/>
                <w:szCs w:val="18"/>
                <w:color w:val="auto"/>
              </w:rPr>
              <w:t>(in thousands)</w:t>
            </w:r>
          </w:p>
        </w:tc>
        <w:tc>
          <w:tcPr>
            <w:tcW w:w="340" w:type="dxa"/>
            <w:vAlign w:val="bottom"/>
            <w:tcBorders>
              <w:bottom w:val="single" w:sz="8" w:color="auto"/>
            </w:tcBorders>
          </w:tcPr>
          <w:p>
            <w:pPr>
              <w:spacing w:after="0"/>
              <w:rPr>
                <w:sz w:val="18"/>
                <w:szCs w:val="18"/>
                <w:color w:val="auto"/>
              </w:rPr>
            </w:pPr>
          </w:p>
        </w:tc>
        <w:tc>
          <w:tcPr>
            <w:tcW w:w="1280" w:type="dxa"/>
            <w:vAlign w:val="bottom"/>
            <w:tcBorders>
              <w:bottom w:val="single" w:sz="8" w:color="auto"/>
            </w:tcBorders>
          </w:tcPr>
          <w:p>
            <w:pPr>
              <w:jc w:val="right"/>
              <w:ind w:right="590"/>
              <w:spacing w:after="0"/>
              <w:rPr>
                <w:sz w:val="20"/>
                <w:szCs w:val="20"/>
                <w:color w:val="auto"/>
              </w:rPr>
            </w:pPr>
            <w:r>
              <w:rPr>
                <w:rFonts w:ascii="Arial" w:cs="Arial" w:eastAsia="Arial" w:hAnsi="Arial"/>
                <w:sz w:val="18"/>
                <w:szCs w:val="18"/>
                <w:b w:val="1"/>
                <w:bCs w:val="1"/>
                <w:color w:val="auto"/>
              </w:rPr>
              <w:t>2021</w:t>
            </w:r>
          </w:p>
        </w:tc>
        <w:tc>
          <w:tcPr>
            <w:tcW w:w="100" w:type="dxa"/>
            <w:vAlign w:val="bottom"/>
          </w:tcPr>
          <w:p>
            <w:pPr>
              <w:spacing w:after="0"/>
              <w:rPr>
                <w:sz w:val="18"/>
                <w:szCs w:val="18"/>
                <w:color w:val="auto"/>
              </w:rPr>
            </w:pPr>
          </w:p>
        </w:tc>
        <w:tc>
          <w:tcPr>
            <w:tcW w:w="320" w:type="dxa"/>
            <w:vAlign w:val="bottom"/>
            <w:tcBorders>
              <w:bottom w:val="single" w:sz="8" w:color="auto"/>
            </w:tcBorders>
          </w:tcPr>
          <w:p>
            <w:pPr>
              <w:spacing w:after="0"/>
              <w:rPr>
                <w:sz w:val="18"/>
                <w:szCs w:val="18"/>
                <w:color w:val="auto"/>
              </w:rPr>
            </w:pPr>
          </w:p>
        </w:tc>
        <w:tc>
          <w:tcPr>
            <w:tcW w:w="1260" w:type="dxa"/>
            <w:vAlign w:val="bottom"/>
            <w:tcBorders>
              <w:bottom w:val="single" w:sz="8" w:color="auto"/>
            </w:tcBorders>
          </w:tcPr>
          <w:p>
            <w:pPr>
              <w:jc w:val="right"/>
              <w:ind w:right="570"/>
              <w:spacing w:after="0"/>
              <w:rPr>
                <w:sz w:val="20"/>
                <w:szCs w:val="20"/>
                <w:color w:val="auto"/>
              </w:rPr>
            </w:pPr>
            <w:r>
              <w:rPr>
                <w:rFonts w:ascii="Arial" w:cs="Arial" w:eastAsia="Arial" w:hAnsi="Arial"/>
                <w:sz w:val="18"/>
                <w:szCs w:val="18"/>
                <w:b w:val="1"/>
                <w:bCs w:val="1"/>
                <w:color w:val="auto"/>
              </w:rPr>
              <w:t>2020</w:t>
            </w:r>
          </w:p>
        </w:tc>
      </w:tr>
      <w:tr>
        <w:trPr>
          <w:trHeight w:val="209"/>
        </w:trPr>
        <w:tc>
          <w:tcPr>
            <w:tcW w:w="7360" w:type="dxa"/>
            <w:vAlign w:val="bottom"/>
            <w:shd w:val="clear" w:color="auto" w:fill="CCEEFF"/>
          </w:tcPr>
          <w:p>
            <w:pPr>
              <w:spacing w:after="0"/>
              <w:rPr>
                <w:sz w:val="20"/>
                <w:szCs w:val="20"/>
                <w:color w:val="auto"/>
              </w:rPr>
            </w:pPr>
            <w:r>
              <w:rPr>
                <w:rFonts w:ascii="Arial" w:cs="Arial" w:eastAsia="Arial" w:hAnsi="Arial"/>
                <w:sz w:val="18"/>
                <w:szCs w:val="18"/>
                <w:color w:val="auto"/>
              </w:rPr>
              <w:t>United States</w:t>
            </w:r>
          </w:p>
        </w:tc>
        <w:tc>
          <w:tcPr>
            <w:tcW w:w="340" w:type="dxa"/>
            <w:vAlign w:val="bottom"/>
            <w:shd w:val="clear" w:color="auto" w:fill="CCEEFF"/>
          </w:tcPr>
          <w:p>
            <w:pPr>
              <w:jc w:val="right"/>
              <w:ind w:right="150"/>
              <w:spacing w:after="0"/>
              <w:rPr>
                <w:sz w:val="20"/>
                <w:szCs w:val="20"/>
                <w:color w:val="auto"/>
              </w:rPr>
            </w:pPr>
            <w:r>
              <w:rPr>
                <w:rFonts w:ascii="Arial" w:cs="Arial" w:eastAsia="Arial" w:hAnsi="Arial"/>
                <w:sz w:val="18"/>
                <w:szCs w:val="18"/>
                <w:color w:val="auto"/>
                <w:w w:val="79"/>
              </w:rPr>
              <w:t>$</w:t>
            </w:r>
          </w:p>
        </w:tc>
        <w:tc>
          <w:tcPr>
            <w:tcW w:w="128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49,831</w:t>
            </w:r>
          </w:p>
        </w:tc>
        <w:tc>
          <w:tcPr>
            <w:tcW w:w="420" w:type="dxa"/>
            <w:vAlign w:val="bottom"/>
            <w:gridSpan w:val="2"/>
            <w:shd w:val="clear" w:color="auto" w:fill="CCEEFF"/>
          </w:tcPr>
          <w:p>
            <w:pPr>
              <w:jc w:val="right"/>
              <w:ind w:right="130"/>
              <w:spacing w:after="0"/>
              <w:rPr>
                <w:sz w:val="20"/>
                <w:szCs w:val="20"/>
                <w:color w:val="auto"/>
              </w:rPr>
            </w:pPr>
            <w:r>
              <w:rPr>
                <w:rFonts w:ascii="Arial" w:cs="Arial" w:eastAsia="Arial" w:hAnsi="Arial"/>
                <w:sz w:val="18"/>
                <w:szCs w:val="18"/>
                <w:color w:val="auto"/>
              </w:rPr>
              <w:t>$</w:t>
            </w:r>
          </w:p>
        </w:tc>
        <w:tc>
          <w:tcPr>
            <w:tcW w:w="126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42,054</w:t>
            </w:r>
          </w:p>
        </w:tc>
      </w:tr>
      <w:tr>
        <w:trPr>
          <w:trHeight w:val="216"/>
        </w:trPr>
        <w:tc>
          <w:tcPr>
            <w:tcW w:w="7360" w:type="dxa"/>
            <w:vAlign w:val="bottom"/>
          </w:tcPr>
          <w:p>
            <w:pPr>
              <w:spacing w:after="0"/>
              <w:rPr>
                <w:sz w:val="20"/>
                <w:szCs w:val="20"/>
                <w:color w:val="auto"/>
              </w:rPr>
            </w:pPr>
            <w:r>
              <w:rPr>
                <w:rFonts w:ascii="Arial" w:cs="Arial" w:eastAsia="Arial" w:hAnsi="Arial"/>
                <w:sz w:val="18"/>
                <w:szCs w:val="18"/>
                <w:color w:val="auto"/>
              </w:rPr>
              <w:t>Europe</w:t>
            </w:r>
          </w:p>
        </w:tc>
        <w:tc>
          <w:tcPr>
            <w:tcW w:w="340" w:type="dxa"/>
            <w:vAlign w:val="bottom"/>
          </w:tcPr>
          <w:p>
            <w:pPr>
              <w:spacing w:after="0"/>
              <w:rPr>
                <w:sz w:val="18"/>
                <w:szCs w:val="18"/>
                <w:color w:val="auto"/>
              </w:rPr>
            </w:pPr>
          </w:p>
        </w:tc>
        <w:tc>
          <w:tcPr>
            <w:tcW w:w="1280" w:type="dxa"/>
            <w:vAlign w:val="bottom"/>
          </w:tcPr>
          <w:p>
            <w:pPr>
              <w:jc w:val="right"/>
              <w:ind w:right="30"/>
              <w:spacing w:after="0"/>
              <w:rPr>
                <w:sz w:val="20"/>
                <w:szCs w:val="20"/>
                <w:color w:val="auto"/>
              </w:rPr>
            </w:pPr>
            <w:r>
              <w:rPr>
                <w:rFonts w:ascii="Arial" w:cs="Arial" w:eastAsia="Arial" w:hAnsi="Arial"/>
                <w:sz w:val="18"/>
                <w:szCs w:val="18"/>
                <w:color w:val="auto"/>
              </w:rPr>
              <w:t>35,767</w:t>
            </w: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260" w:type="dxa"/>
            <w:vAlign w:val="bottom"/>
          </w:tcPr>
          <w:p>
            <w:pPr>
              <w:jc w:val="right"/>
              <w:ind w:right="10"/>
              <w:spacing w:after="0"/>
              <w:rPr>
                <w:sz w:val="20"/>
                <w:szCs w:val="20"/>
                <w:color w:val="auto"/>
              </w:rPr>
            </w:pPr>
            <w:r>
              <w:rPr>
                <w:rFonts w:ascii="Arial" w:cs="Arial" w:eastAsia="Arial" w:hAnsi="Arial"/>
                <w:sz w:val="18"/>
                <w:szCs w:val="18"/>
                <w:color w:val="auto"/>
              </w:rPr>
              <w:t>29,938</w:t>
            </w:r>
          </w:p>
        </w:tc>
      </w:tr>
      <w:tr>
        <w:trPr>
          <w:trHeight w:val="216"/>
        </w:trPr>
        <w:tc>
          <w:tcPr>
            <w:tcW w:w="7360" w:type="dxa"/>
            <w:vAlign w:val="bottom"/>
            <w:shd w:val="clear" w:color="auto" w:fill="CCEEFF"/>
          </w:tcPr>
          <w:p>
            <w:pPr>
              <w:spacing w:after="0"/>
              <w:rPr>
                <w:sz w:val="20"/>
                <w:szCs w:val="20"/>
                <w:color w:val="auto"/>
              </w:rPr>
            </w:pPr>
            <w:r>
              <w:rPr>
                <w:rFonts w:ascii="Arial" w:cs="Arial" w:eastAsia="Arial" w:hAnsi="Arial"/>
                <w:sz w:val="18"/>
                <w:szCs w:val="18"/>
                <w:color w:val="auto"/>
              </w:rPr>
              <w:t>Asia</w:t>
            </w:r>
          </w:p>
        </w:tc>
        <w:tc>
          <w:tcPr>
            <w:tcW w:w="340" w:type="dxa"/>
            <w:vAlign w:val="bottom"/>
            <w:shd w:val="clear" w:color="auto" w:fill="CCEEFF"/>
          </w:tcPr>
          <w:p>
            <w:pPr>
              <w:spacing w:after="0"/>
              <w:rPr>
                <w:sz w:val="18"/>
                <w:szCs w:val="18"/>
                <w:color w:val="auto"/>
              </w:rPr>
            </w:pPr>
          </w:p>
        </w:tc>
        <w:tc>
          <w:tcPr>
            <w:tcW w:w="128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24,816</w:t>
            </w:r>
          </w:p>
        </w:tc>
        <w:tc>
          <w:tcPr>
            <w:tcW w:w="1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26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23,884</w:t>
            </w:r>
          </w:p>
        </w:tc>
      </w:tr>
      <w:tr>
        <w:trPr>
          <w:trHeight w:val="216"/>
        </w:trPr>
        <w:tc>
          <w:tcPr>
            <w:tcW w:w="7360" w:type="dxa"/>
            <w:vAlign w:val="bottom"/>
          </w:tcPr>
          <w:p>
            <w:pPr>
              <w:spacing w:after="0"/>
              <w:rPr>
                <w:sz w:val="20"/>
                <w:szCs w:val="20"/>
                <w:color w:val="auto"/>
              </w:rPr>
            </w:pPr>
            <w:r>
              <w:rPr>
                <w:rFonts w:ascii="Arial" w:cs="Arial" w:eastAsia="Arial" w:hAnsi="Arial"/>
                <w:sz w:val="18"/>
                <w:szCs w:val="18"/>
                <w:color w:val="auto"/>
              </w:rPr>
              <w:t>Rest of World</w:t>
            </w:r>
          </w:p>
        </w:tc>
        <w:tc>
          <w:tcPr>
            <w:tcW w:w="340" w:type="dxa"/>
            <w:vAlign w:val="bottom"/>
            <w:tcBorders>
              <w:bottom w:val="single" w:sz="8" w:color="auto"/>
            </w:tcBorders>
          </w:tcPr>
          <w:p>
            <w:pPr>
              <w:spacing w:after="0"/>
              <w:rPr>
                <w:sz w:val="18"/>
                <w:szCs w:val="18"/>
                <w:color w:val="auto"/>
              </w:rPr>
            </w:pPr>
          </w:p>
        </w:tc>
        <w:tc>
          <w:tcPr>
            <w:tcW w:w="128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8,490</w:t>
            </w:r>
          </w:p>
        </w:tc>
        <w:tc>
          <w:tcPr>
            <w:tcW w:w="100" w:type="dxa"/>
            <w:vAlign w:val="bottom"/>
          </w:tcPr>
          <w:p>
            <w:pPr>
              <w:spacing w:after="0"/>
              <w:rPr>
                <w:sz w:val="18"/>
                <w:szCs w:val="18"/>
                <w:color w:val="auto"/>
              </w:rPr>
            </w:pPr>
          </w:p>
        </w:tc>
        <w:tc>
          <w:tcPr>
            <w:tcW w:w="320" w:type="dxa"/>
            <w:vAlign w:val="bottom"/>
            <w:tcBorders>
              <w:bottom w:val="single" w:sz="8" w:color="auto"/>
            </w:tcBorders>
          </w:tcPr>
          <w:p>
            <w:pPr>
              <w:spacing w:after="0"/>
              <w:rPr>
                <w:sz w:val="18"/>
                <w:szCs w:val="18"/>
                <w:color w:val="auto"/>
              </w:rPr>
            </w:pPr>
          </w:p>
        </w:tc>
        <w:tc>
          <w:tcPr>
            <w:tcW w:w="126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6,224</w:t>
            </w:r>
          </w:p>
        </w:tc>
      </w:tr>
      <w:tr>
        <w:trPr>
          <w:trHeight w:val="249"/>
        </w:trPr>
        <w:tc>
          <w:tcPr>
            <w:tcW w:w="736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Total revenues</w:t>
            </w:r>
          </w:p>
        </w:tc>
        <w:tc>
          <w:tcPr>
            <w:tcW w:w="340" w:type="dxa"/>
            <w:vAlign w:val="bottom"/>
            <w:tcBorders>
              <w:bottom w:val="single" w:sz="8" w:color="auto"/>
            </w:tcBorders>
            <w:shd w:val="clear" w:color="auto" w:fill="CCEEFF"/>
          </w:tcPr>
          <w:p>
            <w:pPr>
              <w:jc w:val="right"/>
              <w:ind w:right="150"/>
              <w:spacing w:after="0"/>
              <w:rPr>
                <w:sz w:val="20"/>
                <w:szCs w:val="20"/>
                <w:color w:val="auto"/>
              </w:rPr>
            </w:pPr>
            <w:r>
              <w:rPr>
                <w:rFonts w:ascii="Arial" w:cs="Arial" w:eastAsia="Arial" w:hAnsi="Arial"/>
                <w:sz w:val="18"/>
                <w:szCs w:val="18"/>
                <w:color w:val="auto"/>
                <w:w w:val="79"/>
              </w:rPr>
              <w:t>$</w:t>
            </w:r>
          </w:p>
        </w:tc>
        <w:tc>
          <w:tcPr>
            <w:tcW w:w="128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rPr>
              <w:t>118,904</w:t>
            </w: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auto"/>
            </w:tcBorders>
            <w:shd w:val="clear" w:color="auto" w:fill="CCEEFF"/>
          </w:tcPr>
          <w:p>
            <w:pPr>
              <w:jc w:val="right"/>
              <w:ind w:right="130"/>
              <w:spacing w:after="0"/>
              <w:rPr>
                <w:sz w:val="20"/>
                <w:szCs w:val="20"/>
                <w:color w:val="auto"/>
              </w:rPr>
            </w:pPr>
            <w:r>
              <w:rPr>
                <w:rFonts w:ascii="Arial" w:cs="Arial" w:eastAsia="Arial" w:hAnsi="Arial"/>
                <w:sz w:val="18"/>
                <w:szCs w:val="18"/>
                <w:color w:val="auto"/>
                <w:w w:val="79"/>
              </w:rPr>
              <w:t>$</w:t>
            </w:r>
          </w:p>
        </w:tc>
        <w:tc>
          <w:tcPr>
            <w:tcW w:w="126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102,100</w:t>
            </w:r>
          </w:p>
        </w:tc>
      </w:tr>
    </w:tbl>
    <w:p>
      <w:pPr>
        <w:spacing w:after="0" w:line="202" w:lineRule="exact"/>
        <w:rPr>
          <w:sz w:val="20"/>
          <w:szCs w:val="20"/>
          <w:color w:val="auto"/>
        </w:rPr>
      </w:pPr>
    </w:p>
    <w:p>
      <w:pPr>
        <w:jc w:val="both"/>
        <w:ind w:right="100" w:firstLine="648"/>
        <w:spacing w:after="0" w:line="277" w:lineRule="auto"/>
        <w:rPr>
          <w:sz w:val="20"/>
          <w:szCs w:val="20"/>
          <w:color w:val="auto"/>
        </w:rPr>
      </w:pPr>
      <w:r>
        <w:rPr>
          <w:rFonts w:ascii="Arial" w:cs="Arial" w:eastAsia="Arial" w:hAnsi="Arial"/>
          <w:sz w:val="18"/>
          <w:szCs w:val="18"/>
          <w:color w:val="auto"/>
        </w:rPr>
        <w:t>Long-lived assets by geographic area include operating lease right-of-use assets, property, plant and equipment, and amortizable intangible assets, are as follows:</w:t>
      </w:r>
    </w:p>
    <w:p>
      <w:pPr>
        <w:spacing w:after="0" w:line="166" w:lineRule="exact"/>
        <w:rPr>
          <w:sz w:val="20"/>
          <w:szCs w:val="20"/>
          <w:color w:val="auto"/>
        </w:rPr>
      </w:pPr>
    </w:p>
    <w:tbl>
      <w:tblPr>
        <w:tblLayout w:type="fixed"/>
        <w:tblInd w:w="660" w:type="dxa"/>
        <w:tblCellMar>
          <w:top w:w="0" w:type="dxa"/>
          <w:left w:w="0" w:type="dxa"/>
          <w:bottom w:w="0" w:type="dxa"/>
          <w:right w:w="0" w:type="dxa"/>
        </w:tblCellMar>
      </w:tblPr>
      <w:tr>
        <w:trPr>
          <w:trHeight w:val="234"/>
        </w:trPr>
        <w:tc>
          <w:tcPr>
            <w:tcW w:w="7360" w:type="dxa"/>
            <w:vAlign w:val="bottom"/>
          </w:tcPr>
          <w:p>
            <w:pPr>
              <w:spacing w:after="0"/>
              <w:rPr>
                <w:sz w:val="20"/>
                <w:szCs w:val="20"/>
                <w:color w:val="auto"/>
              </w:rPr>
            </w:pPr>
          </w:p>
        </w:tc>
        <w:tc>
          <w:tcPr>
            <w:tcW w:w="340" w:type="dxa"/>
            <w:vAlign w:val="bottom"/>
            <w:tcBorders>
              <w:bottom w:val="single" w:sz="8" w:color="auto"/>
            </w:tcBorders>
          </w:tcPr>
          <w:p>
            <w:pPr>
              <w:spacing w:after="0"/>
              <w:rPr>
                <w:sz w:val="20"/>
                <w:szCs w:val="20"/>
                <w:color w:val="auto"/>
              </w:rPr>
            </w:pPr>
          </w:p>
        </w:tc>
        <w:tc>
          <w:tcPr>
            <w:tcW w:w="1860" w:type="dxa"/>
            <w:vAlign w:val="bottom"/>
            <w:tcBorders>
              <w:bottom w:val="single" w:sz="8" w:color="auto"/>
            </w:tcBorders>
            <w:gridSpan w:val="3"/>
          </w:tcPr>
          <w:p>
            <w:pPr>
              <w:jc w:val="right"/>
              <w:ind w:right="60"/>
              <w:spacing w:after="0"/>
              <w:rPr>
                <w:sz w:val="20"/>
                <w:szCs w:val="20"/>
                <w:color w:val="auto"/>
              </w:rPr>
            </w:pPr>
            <w:r>
              <w:rPr>
                <w:rFonts w:ascii="Arial" w:cs="Arial" w:eastAsia="Arial" w:hAnsi="Arial"/>
                <w:sz w:val="18"/>
                <w:szCs w:val="18"/>
                <w:b w:val="1"/>
                <w:bCs w:val="1"/>
                <w:color w:val="auto"/>
              </w:rPr>
              <w:t>December 31,</w:t>
            </w:r>
          </w:p>
        </w:tc>
        <w:tc>
          <w:tcPr>
            <w:tcW w:w="1100" w:type="dxa"/>
            <w:vAlign w:val="bottom"/>
            <w:tcBorders>
              <w:bottom w:val="single" w:sz="8" w:color="auto"/>
            </w:tcBorders>
          </w:tcPr>
          <w:p>
            <w:pPr>
              <w:spacing w:after="0"/>
              <w:rPr>
                <w:sz w:val="20"/>
                <w:szCs w:val="20"/>
                <w:color w:val="auto"/>
              </w:rPr>
            </w:pPr>
          </w:p>
        </w:tc>
      </w:tr>
      <w:tr>
        <w:trPr>
          <w:trHeight w:val="210"/>
        </w:trPr>
        <w:tc>
          <w:tcPr>
            <w:tcW w:w="7360" w:type="dxa"/>
            <w:vAlign w:val="bottom"/>
          </w:tcPr>
          <w:p>
            <w:pPr>
              <w:spacing w:after="0"/>
              <w:rPr>
                <w:sz w:val="20"/>
                <w:szCs w:val="20"/>
                <w:color w:val="auto"/>
              </w:rPr>
            </w:pPr>
            <w:r>
              <w:rPr>
                <w:rFonts w:ascii="Arial" w:cs="Arial" w:eastAsia="Arial" w:hAnsi="Arial"/>
                <w:sz w:val="18"/>
                <w:szCs w:val="18"/>
                <w:color w:val="auto"/>
              </w:rPr>
              <w:t>(in thousands)</w:t>
            </w:r>
          </w:p>
        </w:tc>
        <w:tc>
          <w:tcPr>
            <w:tcW w:w="340" w:type="dxa"/>
            <w:vAlign w:val="bottom"/>
            <w:tcBorders>
              <w:bottom w:val="single" w:sz="8" w:color="auto"/>
            </w:tcBorders>
          </w:tcPr>
          <w:p>
            <w:pPr>
              <w:spacing w:after="0"/>
              <w:rPr>
                <w:sz w:val="18"/>
                <w:szCs w:val="18"/>
                <w:color w:val="auto"/>
              </w:rPr>
            </w:pPr>
          </w:p>
        </w:tc>
        <w:tc>
          <w:tcPr>
            <w:tcW w:w="1280" w:type="dxa"/>
            <w:vAlign w:val="bottom"/>
            <w:tcBorders>
              <w:bottom w:val="single" w:sz="8" w:color="auto"/>
            </w:tcBorders>
          </w:tcPr>
          <w:p>
            <w:pPr>
              <w:jc w:val="right"/>
              <w:ind w:right="590"/>
              <w:spacing w:after="0"/>
              <w:rPr>
                <w:sz w:val="20"/>
                <w:szCs w:val="20"/>
                <w:color w:val="auto"/>
              </w:rPr>
            </w:pPr>
            <w:r>
              <w:rPr>
                <w:rFonts w:ascii="Arial" w:cs="Arial" w:eastAsia="Arial" w:hAnsi="Arial"/>
                <w:sz w:val="18"/>
                <w:szCs w:val="18"/>
                <w:b w:val="1"/>
                <w:bCs w:val="1"/>
                <w:color w:val="auto"/>
              </w:rPr>
              <w:t>2021</w:t>
            </w:r>
          </w:p>
        </w:tc>
        <w:tc>
          <w:tcPr>
            <w:tcW w:w="100" w:type="dxa"/>
            <w:vAlign w:val="bottom"/>
          </w:tcPr>
          <w:p>
            <w:pPr>
              <w:spacing w:after="0"/>
              <w:rPr>
                <w:sz w:val="18"/>
                <w:szCs w:val="18"/>
                <w:color w:val="auto"/>
              </w:rPr>
            </w:pPr>
          </w:p>
        </w:tc>
        <w:tc>
          <w:tcPr>
            <w:tcW w:w="480" w:type="dxa"/>
            <w:vAlign w:val="bottom"/>
            <w:tcBorders>
              <w:bottom w:val="single" w:sz="8" w:color="auto"/>
            </w:tcBorders>
          </w:tcPr>
          <w:p>
            <w:pPr>
              <w:spacing w:after="0"/>
              <w:rPr>
                <w:sz w:val="18"/>
                <w:szCs w:val="18"/>
                <w:color w:val="auto"/>
              </w:rPr>
            </w:pPr>
          </w:p>
        </w:tc>
        <w:tc>
          <w:tcPr>
            <w:tcW w:w="1100" w:type="dxa"/>
            <w:vAlign w:val="bottom"/>
            <w:tcBorders>
              <w:bottom w:val="single" w:sz="8" w:color="auto"/>
            </w:tcBorders>
          </w:tcPr>
          <w:p>
            <w:pPr>
              <w:jc w:val="right"/>
              <w:ind w:right="570"/>
              <w:spacing w:after="0"/>
              <w:rPr>
                <w:sz w:val="20"/>
                <w:szCs w:val="20"/>
                <w:color w:val="auto"/>
              </w:rPr>
            </w:pPr>
            <w:r>
              <w:rPr>
                <w:rFonts w:ascii="Arial" w:cs="Arial" w:eastAsia="Arial" w:hAnsi="Arial"/>
                <w:sz w:val="18"/>
                <w:szCs w:val="18"/>
                <w:b w:val="1"/>
                <w:bCs w:val="1"/>
                <w:color w:val="auto"/>
              </w:rPr>
              <w:t>2020</w:t>
            </w:r>
          </w:p>
        </w:tc>
      </w:tr>
      <w:tr>
        <w:trPr>
          <w:trHeight w:val="209"/>
        </w:trPr>
        <w:tc>
          <w:tcPr>
            <w:tcW w:w="7360" w:type="dxa"/>
            <w:vAlign w:val="bottom"/>
            <w:shd w:val="clear" w:color="auto" w:fill="CCEEFF"/>
          </w:tcPr>
          <w:p>
            <w:pPr>
              <w:spacing w:after="0"/>
              <w:rPr>
                <w:sz w:val="20"/>
                <w:szCs w:val="20"/>
                <w:color w:val="auto"/>
              </w:rPr>
            </w:pPr>
            <w:r>
              <w:rPr>
                <w:rFonts w:ascii="Arial" w:cs="Arial" w:eastAsia="Arial" w:hAnsi="Arial"/>
                <w:sz w:val="18"/>
                <w:szCs w:val="18"/>
                <w:color w:val="auto"/>
              </w:rPr>
              <w:t>United States</w:t>
            </w:r>
          </w:p>
        </w:tc>
        <w:tc>
          <w:tcPr>
            <w:tcW w:w="340" w:type="dxa"/>
            <w:vAlign w:val="bottom"/>
            <w:shd w:val="clear" w:color="auto" w:fill="CCEEFF"/>
          </w:tcPr>
          <w:p>
            <w:pPr>
              <w:jc w:val="right"/>
              <w:ind w:right="150"/>
              <w:spacing w:after="0"/>
              <w:rPr>
                <w:sz w:val="20"/>
                <w:szCs w:val="20"/>
                <w:color w:val="auto"/>
              </w:rPr>
            </w:pPr>
            <w:r>
              <w:rPr>
                <w:rFonts w:ascii="Arial" w:cs="Arial" w:eastAsia="Arial" w:hAnsi="Arial"/>
                <w:sz w:val="18"/>
                <w:szCs w:val="18"/>
                <w:color w:val="auto"/>
                <w:w w:val="79"/>
              </w:rPr>
              <w:t>$</w:t>
            </w:r>
          </w:p>
        </w:tc>
        <w:tc>
          <w:tcPr>
            <w:tcW w:w="128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31,512</w:t>
            </w:r>
          </w:p>
        </w:tc>
        <w:tc>
          <w:tcPr>
            <w:tcW w:w="58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w:t>
            </w:r>
          </w:p>
        </w:tc>
        <w:tc>
          <w:tcPr>
            <w:tcW w:w="110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36,568</w:t>
            </w:r>
          </w:p>
        </w:tc>
      </w:tr>
      <w:tr>
        <w:trPr>
          <w:trHeight w:val="216"/>
        </w:trPr>
        <w:tc>
          <w:tcPr>
            <w:tcW w:w="7360" w:type="dxa"/>
            <w:vAlign w:val="bottom"/>
          </w:tcPr>
          <w:p>
            <w:pPr>
              <w:spacing w:after="0"/>
              <w:rPr>
                <w:sz w:val="20"/>
                <w:szCs w:val="20"/>
                <w:color w:val="auto"/>
              </w:rPr>
            </w:pPr>
            <w:r>
              <w:rPr>
                <w:rFonts w:ascii="Arial" w:cs="Arial" w:eastAsia="Arial" w:hAnsi="Arial"/>
                <w:sz w:val="18"/>
                <w:szCs w:val="18"/>
                <w:color w:val="auto"/>
              </w:rPr>
              <w:t>Germany</w:t>
            </w:r>
          </w:p>
        </w:tc>
        <w:tc>
          <w:tcPr>
            <w:tcW w:w="340" w:type="dxa"/>
            <w:vAlign w:val="bottom"/>
          </w:tcPr>
          <w:p>
            <w:pPr>
              <w:spacing w:after="0"/>
              <w:rPr>
                <w:sz w:val="18"/>
                <w:szCs w:val="18"/>
                <w:color w:val="auto"/>
              </w:rPr>
            </w:pPr>
          </w:p>
        </w:tc>
        <w:tc>
          <w:tcPr>
            <w:tcW w:w="1280" w:type="dxa"/>
            <w:vAlign w:val="bottom"/>
          </w:tcPr>
          <w:p>
            <w:pPr>
              <w:jc w:val="right"/>
              <w:ind w:right="30"/>
              <w:spacing w:after="0"/>
              <w:rPr>
                <w:sz w:val="20"/>
                <w:szCs w:val="20"/>
                <w:color w:val="auto"/>
              </w:rPr>
            </w:pPr>
            <w:r>
              <w:rPr>
                <w:rFonts w:ascii="Arial" w:cs="Arial" w:eastAsia="Arial" w:hAnsi="Arial"/>
                <w:sz w:val="18"/>
                <w:szCs w:val="18"/>
                <w:color w:val="auto"/>
              </w:rPr>
              <w:t>3,501</w:t>
            </w:r>
          </w:p>
        </w:tc>
        <w:tc>
          <w:tcPr>
            <w:tcW w:w="10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1100" w:type="dxa"/>
            <w:vAlign w:val="bottom"/>
          </w:tcPr>
          <w:p>
            <w:pPr>
              <w:jc w:val="right"/>
              <w:ind w:right="10"/>
              <w:spacing w:after="0"/>
              <w:rPr>
                <w:sz w:val="20"/>
                <w:szCs w:val="20"/>
                <w:color w:val="auto"/>
              </w:rPr>
            </w:pPr>
            <w:r>
              <w:rPr>
                <w:rFonts w:ascii="Arial" w:cs="Arial" w:eastAsia="Arial" w:hAnsi="Arial"/>
                <w:sz w:val="18"/>
                <w:szCs w:val="18"/>
                <w:color w:val="auto"/>
              </w:rPr>
              <w:t>4,958</w:t>
            </w:r>
          </w:p>
        </w:tc>
      </w:tr>
      <w:tr>
        <w:trPr>
          <w:trHeight w:val="216"/>
        </w:trPr>
        <w:tc>
          <w:tcPr>
            <w:tcW w:w="736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Rest of World</w:t>
            </w:r>
          </w:p>
        </w:tc>
        <w:tc>
          <w:tcPr>
            <w:tcW w:w="340" w:type="dxa"/>
            <w:vAlign w:val="bottom"/>
            <w:tcBorders>
              <w:bottom w:val="single" w:sz="8" w:color="auto"/>
            </w:tcBorders>
            <w:shd w:val="clear" w:color="auto" w:fill="CCEEFF"/>
          </w:tcPr>
          <w:p>
            <w:pPr>
              <w:spacing w:after="0"/>
              <w:rPr>
                <w:sz w:val="18"/>
                <w:szCs w:val="18"/>
                <w:color w:val="auto"/>
              </w:rPr>
            </w:pPr>
          </w:p>
        </w:tc>
        <w:tc>
          <w:tcPr>
            <w:tcW w:w="128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rPr>
              <w:t>2,446</w:t>
            </w:r>
          </w:p>
        </w:tc>
        <w:tc>
          <w:tcPr>
            <w:tcW w:w="100" w:type="dxa"/>
            <w:vAlign w:val="bottom"/>
            <w:tcBorders>
              <w:bottom w:val="single" w:sz="8" w:color="CCEEFF"/>
            </w:tcBorders>
            <w:shd w:val="clear" w:color="auto" w:fill="CCEEFF"/>
          </w:tcPr>
          <w:p>
            <w:pPr>
              <w:spacing w:after="0"/>
              <w:rPr>
                <w:sz w:val="18"/>
                <w:szCs w:val="18"/>
                <w:color w:val="auto"/>
              </w:rPr>
            </w:pPr>
          </w:p>
        </w:tc>
        <w:tc>
          <w:tcPr>
            <w:tcW w:w="480" w:type="dxa"/>
            <w:vAlign w:val="bottom"/>
            <w:tcBorders>
              <w:bottom w:val="single" w:sz="8" w:color="auto"/>
            </w:tcBorders>
            <w:shd w:val="clear" w:color="auto" w:fill="CCEEFF"/>
          </w:tcPr>
          <w:p>
            <w:pPr>
              <w:spacing w:after="0"/>
              <w:rPr>
                <w:sz w:val="18"/>
                <w:szCs w:val="18"/>
                <w:color w:val="auto"/>
              </w:rPr>
            </w:pPr>
          </w:p>
        </w:tc>
        <w:tc>
          <w:tcPr>
            <w:tcW w:w="110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3,092</w:t>
            </w:r>
          </w:p>
        </w:tc>
      </w:tr>
      <w:tr>
        <w:trPr>
          <w:trHeight w:val="210"/>
        </w:trPr>
        <w:tc>
          <w:tcPr>
            <w:tcW w:w="7360" w:type="dxa"/>
            <w:vAlign w:val="bottom"/>
          </w:tcPr>
          <w:p>
            <w:pPr>
              <w:spacing w:after="0"/>
              <w:rPr>
                <w:sz w:val="20"/>
                <w:szCs w:val="20"/>
                <w:color w:val="auto"/>
              </w:rPr>
            </w:pPr>
            <w:r>
              <w:rPr>
                <w:rFonts w:ascii="Arial" w:cs="Arial" w:eastAsia="Arial" w:hAnsi="Arial"/>
                <w:sz w:val="18"/>
                <w:szCs w:val="18"/>
                <w:color w:val="auto"/>
              </w:rPr>
              <w:t>Total long-lived assets</w:t>
            </w:r>
          </w:p>
        </w:tc>
        <w:tc>
          <w:tcPr>
            <w:tcW w:w="340" w:type="dxa"/>
            <w:vAlign w:val="bottom"/>
          </w:tcPr>
          <w:p>
            <w:pPr>
              <w:jc w:val="right"/>
              <w:ind w:right="150"/>
              <w:spacing w:after="0"/>
              <w:rPr>
                <w:sz w:val="20"/>
                <w:szCs w:val="20"/>
                <w:color w:val="auto"/>
              </w:rPr>
            </w:pPr>
            <w:r>
              <w:rPr>
                <w:rFonts w:ascii="Arial" w:cs="Arial" w:eastAsia="Arial" w:hAnsi="Arial"/>
                <w:sz w:val="18"/>
                <w:szCs w:val="18"/>
                <w:color w:val="auto"/>
                <w:w w:val="79"/>
              </w:rPr>
              <w:t>$</w:t>
            </w:r>
          </w:p>
        </w:tc>
        <w:tc>
          <w:tcPr>
            <w:tcW w:w="1280" w:type="dxa"/>
            <w:vAlign w:val="bottom"/>
          </w:tcPr>
          <w:p>
            <w:pPr>
              <w:jc w:val="right"/>
              <w:ind w:right="30"/>
              <w:spacing w:after="0"/>
              <w:rPr>
                <w:sz w:val="20"/>
                <w:szCs w:val="20"/>
                <w:color w:val="auto"/>
              </w:rPr>
            </w:pPr>
            <w:r>
              <w:rPr>
                <w:rFonts w:ascii="Arial" w:cs="Arial" w:eastAsia="Arial" w:hAnsi="Arial"/>
                <w:sz w:val="18"/>
                <w:szCs w:val="18"/>
                <w:color w:val="auto"/>
              </w:rPr>
              <w:t>37,459</w:t>
            </w:r>
          </w:p>
        </w:tc>
        <w:tc>
          <w:tcPr>
            <w:tcW w:w="580" w:type="dxa"/>
            <w:vAlign w:val="bottom"/>
            <w:gridSpan w:val="2"/>
          </w:tcPr>
          <w:p>
            <w:pPr>
              <w:jc w:val="right"/>
              <w:ind w:right="380"/>
              <w:spacing w:after="0"/>
              <w:rPr>
                <w:sz w:val="20"/>
                <w:szCs w:val="20"/>
                <w:color w:val="auto"/>
              </w:rPr>
            </w:pPr>
            <w:r>
              <w:rPr>
                <w:rFonts w:ascii="Arial" w:cs="Arial" w:eastAsia="Arial" w:hAnsi="Arial"/>
                <w:sz w:val="18"/>
                <w:szCs w:val="18"/>
                <w:color w:val="auto"/>
              </w:rPr>
              <w:t>$</w:t>
            </w:r>
          </w:p>
        </w:tc>
        <w:tc>
          <w:tcPr>
            <w:tcW w:w="1100" w:type="dxa"/>
            <w:vAlign w:val="bottom"/>
          </w:tcPr>
          <w:p>
            <w:pPr>
              <w:jc w:val="right"/>
              <w:ind w:right="10"/>
              <w:spacing w:after="0"/>
              <w:rPr>
                <w:sz w:val="20"/>
                <w:szCs w:val="20"/>
                <w:color w:val="auto"/>
              </w:rPr>
            </w:pPr>
            <w:r>
              <w:rPr>
                <w:rFonts w:ascii="Arial" w:cs="Arial" w:eastAsia="Arial" w:hAnsi="Arial"/>
                <w:sz w:val="18"/>
                <w:szCs w:val="18"/>
                <w:color w:val="auto"/>
              </w:rPr>
              <w:t>44,618</w:t>
            </w:r>
          </w:p>
        </w:tc>
      </w:tr>
      <w:tr>
        <w:trPr>
          <w:trHeight w:val="20"/>
        </w:trPr>
        <w:tc>
          <w:tcPr>
            <w:tcW w:w="7360" w:type="dxa"/>
            <w:vAlign w:val="bottom"/>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12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ectPr>
          <w:pgSz w:w="11900" w:h="16838" w:orient="portrait"/>
          <w:cols w:equalWidth="0" w:num="1">
            <w:col w:w="11320"/>
          </w:cols>
          <w:pgMar w:left="320" w:top="125" w:right="259" w:bottom="1440" w:gutter="0" w:footer="0" w:header="0"/>
        </w:sectPr>
      </w:pPr>
    </w:p>
    <w:p>
      <w:pPr>
        <w:spacing w:after="0" w:line="2" w:lineRule="exact"/>
        <w:rPr>
          <w:sz w:val="20"/>
          <w:szCs w:val="20"/>
          <w:color w:val="auto"/>
        </w:rPr>
      </w:pPr>
    </w:p>
    <w:p>
      <w:pPr>
        <w:ind w:left="660"/>
        <w:spacing w:after="0"/>
        <w:rPr>
          <w:sz w:val="20"/>
          <w:szCs w:val="20"/>
          <w:color w:val="auto"/>
        </w:rPr>
      </w:pPr>
      <w:r>
        <w:rPr>
          <w:rFonts w:ascii="Arial" w:cs="Arial" w:eastAsia="Arial" w:hAnsi="Arial"/>
          <w:sz w:val="15"/>
          <w:szCs w:val="15"/>
          <w:color w:val="auto"/>
        </w:rPr>
        <w:t>Net assets by geographic area are as follows:</w:t>
      </w:r>
    </w:p>
    <w:p>
      <w:pPr>
        <w:spacing w:after="0" w:line="200" w:lineRule="exact"/>
        <w:rPr>
          <w:sz w:val="20"/>
          <w:szCs w:val="20"/>
          <w:color w:val="auto"/>
        </w:rPr>
      </w:pPr>
    </w:p>
    <w:p>
      <w:pPr>
        <w:spacing w:after="0" w:line="303" w:lineRule="exact"/>
        <w:rPr>
          <w:sz w:val="20"/>
          <w:szCs w:val="20"/>
          <w:color w:val="auto"/>
        </w:rPr>
      </w:pPr>
    </w:p>
    <w:p>
      <w:pPr>
        <w:ind w:left="660"/>
        <w:spacing w:after="0"/>
        <w:rPr>
          <w:sz w:val="20"/>
          <w:szCs w:val="20"/>
          <w:color w:val="auto"/>
        </w:rPr>
      </w:pPr>
      <w:r>
        <w:rPr>
          <w:rFonts w:ascii="Arial" w:cs="Arial" w:eastAsia="Arial" w:hAnsi="Arial"/>
          <w:sz w:val="18"/>
          <w:szCs w:val="18"/>
          <w:color w:val="auto"/>
        </w:rPr>
        <w:t>(in thousands)</w:t>
      </w:r>
    </w:p>
    <w:p>
      <w:pPr>
        <w:spacing w:after="0" w:line="23" w:lineRule="exact"/>
        <w:rPr>
          <w:sz w:val="20"/>
          <w:szCs w:val="20"/>
          <w:color w:val="auto"/>
        </w:rPr>
      </w:pPr>
    </w:p>
    <w:p>
      <w:pPr>
        <w:ind w:left="660"/>
        <w:spacing w:after="0"/>
        <w:rPr>
          <w:sz w:val="20"/>
          <w:szCs w:val="20"/>
          <w:color w:val="auto"/>
        </w:rPr>
      </w:pPr>
      <w:r>
        <w:rPr>
          <w:rFonts w:ascii="Arial" w:cs="Arial" w:eastAsia="Arial" w:hAnsi="Arial"/>
          <w:sz w:val="18"/>
          <w:szCs w:val="18"/>
          <w:color w:val="auto"/>
        </w:rPr>
        <w:t>United States</w:t>
      </w:r>
    </w:p>
    <w:p>
      <w:pPr>
        <w:spacing w:after="0" w:line="9" w:lineRule="exact"/>
        <w:rPr>
          <w:sz w:val="20"/>
          <w:szCs w:val="20"/>
          <w:color w:val="auto"/>
        </w:rPr>
      </w:pPr>
    </w:p>
    <w:p>
      <w:pPr>
        <w:ind w:left="660"/>
        <w:spacing w:after="0"/>
        <w:rPr>
          <w:sz w:val="20"/>
          <w:szCs w:val="20"/>
          <w:color w:val="auto"/>
        </w:rPr>
      </w:pPr>
      <w:r>
        <w:rPr>
          <w:rFonts w:ascii="Arial" w:cs="Arial" w:eastAsia="Arial" w:hAnsi="Arial"/>
          <w:sz w:val="18"/>
          <w:szCs w:val="18"/>
          <w:color w:val="auto"/>
        </w:rPr>
        <w:t>Germany</w:t>
      </w:r>
    </w:p>
    <w:p>
      <w:pPr>
        <w:spacing w:after="0" w:line="9" w:lineRule="exact"/>
        <w:rPr>
          <w:sz w:val="20"/>
          <w:szCs w:val="20"/>
          <w:color w:val="auto"/>
        </w:rPr>
      </w:pPr>
    </w:p>
    <w:p>
      <w:pPr>
        <w:ind w:left="660"/>
        <w:spacing w:after="0"/>
        <w:rPr>
          <w:sz w:val="20"/>
          <w:szCs w:val="20"/>
          <w:color w:val="auto"/>
        </w:rPr>
      </w:pPr>
      <w:r>
        <w:rPr>
          <w:rFonts w:ascii="Arial" w:cs="Arial" w:eastAsia="Arial" w:hAnsi="Arial"/>
          <w:sz w:val="18"/>
          <w:szCs w:val="18"/>
          <w:color w:val="auto"/>
        </w:rPr>
        <w:t>United Kingdom</w:t>
      </w:r>
    </w:p>
    <w:p>
      <w:pPr>
        <w:spacing w:after="0" w:line="9" w:lineRule="exact"/>
        <w:rPr>
          <w:sz w:val="20"/>
          <w:szCs w:val="20"/>
          <w:color w:val="auto"/>
        </w:rPr>
      </w:pPr>
    </w:p>
    <w:p>
      <w:pPr>
        <w:ind w:left="660"/>
        <w:spacing w:after="0"/>
        <w:rPr>
          <w:sz w:val="20"/>
          <w:szCs w:val="20"/>
          <w:color w:val="auto"/>
        </w:rPr>
      </w:pPr>
      <w:r>
        <w:rPr>
          <w:rFonts w:ascii="Arial" w:cs="Arial" w:eastAsia="Arial" w:hAnsi="Arial"/>
          <w:sz w:val="18"/>
          <w:szCs w:val="18"/>
          <w:color w:val="auto"/>
        </w:rPr>
        <w:t>Rest of World</w:t>
      </w:r>
    </w:p>
    <w:p>
      <w:pPr>
        <w:spacing w:after="0" w:line="49"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Total net assets</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10" w:lineRule="exact"/>
        <w:rPr>
          <w:sz w:val="20"/>
          <w:szCs w:val="20"/>
          <w:color w:val="auto"/>
        </w:rPr>
      </w:pPr>
    </w:p>
    <w:p>
      <w:pPr>
        <w:ind w:left="1080"/>
        <w:spacing w:after="0"/>
        <w:rPr>
          <w:sz w:val="20"/>
          <w:szCs w:val="20"/>
          <w:color w:val="auto"/>
        </w:rPr>
      </w:pPr>
      <w:r>
        <w:rPr>
          <w:rFonts w:ascii="Arial" w:cs="Arial" w:eastAsia="Arial" w:hAnsi="Arial"/>
          <w:sz w:val="18"/>
          <w:szCs w:val="18"/>
          <w:b w:val="1"/>
          <w:bCs w:val="1"/>
          <w:color w:val="auto"/>
        </w:rPr>
        <w:t>December 31,</w:t>
      </w:r>
    </w:p>
    <w:p>
      <w:pPr>
        <w:spacing w:after="0" w:line="27" w:lineRule="exact"/>
        <w:rPr>
          <w:sz w:val="20"/>
          <w:szCs w:val="20"/>
          <w:color w:val="auto"/>
        </w:rPr>
      </w:pPr>
    </w:p>
    <w:tbl>
      <w:tblPr>
        <w:tblLayout w:type="fixed"/>
        <w:tblInd w:w="0" w:type="dxa"/>
        <w:tblCellMar>
          <w:top w:w="0" w:type="dxa"/>
          <w:left w:w="0" w:type="dxa"/>
          <w:bottom w:w="0" w:type="dxa"/>
          <w:right w:w="0" w:type="dxa"/>
        </w:tblCellMar>
      </w:tblPr>
      <w:tr>
        <w:trPr>
          <w:trHeight w:val="209"/>
        </w:trPr>
        <w:tc>
          <w:tcPr>
            <w:tcW w:w="340" w:type="dxa"/>
            <w:vAlign w:val="bottom"/>
            <w:tcBorders>
              <w:top w:val="single" w:sz="8" w:color="auto"/>
              <w:bottom w:val="single" w:sz="8" w:color="auto"/>
            </w:tcBorders>
          </w:tcPr>
          <w:p>
            <w:pPr>
              <w:spacing w:after="0"/>
              <w:rPr>
                <w:sz w:val="18"/>
                <w:szCs w:val="18"/>
                <w:color w:val="auto"/>
              </w:rPr>
            </w:pPr>
          </w:p>
        </w:tc>
        <w:tc>
          <w:tcPr>
            <w:tcW w:w="1280" w:type="dxa"/>
            <w:vAlign w:val="bottom"/>
            <w:tcBorders>
              <w:top w:val="single" w:sz="8" w:color="auto"/>
              <w:bottom w:val="single" w:sz="8" w:color="auto"/>
            </w:tcBorders>
          </w:tcPr>
          <w:p>
            <w:pPr>
              <w:jc w:val="right"/>
              <w:ind w:right="590"/>
              <w:spacing w:after="0"/>
              <w:rPr>
                <w:sz w:val="20"/>
                <w:szCs w:val="20"/>
                <w:color w:val="auto"/>
              </w:rPr>
            </w:pPr>
            <w:r>
              <w:rPr>
                <w:rFonts w:ascii="Arial" w:cs="Arial" w:eastAsia="Arial" w:hAnsi="Arial"/>
                <w:sz w:val="18"/>
                <w:szCs w:val="18"/>
                <w:b w:val="1"/>
                <w:bCs w:val="1"/>
                <w:color w:val="auto"/>
              </w:rPr>
              <w:t>2021</w:t>
            </w:r>
          </w:p>
        </w:tc>
        <w:tc>
          <w:tcPr>
            <w:tcW w:w="100" w:type="dxa"/>
            <w:vAlign w:val="bottom"/>
            <w:tcBorders>
              <w:top w:val="single" w:sz="8" w:color="auto"/>
            </w:tcBorders>
          </w:tcPr>
          <w:p>
            <w:pPr>
              <w:spacing w:after="0"/>
              <w:rPr>
                <w:sz w:val="18"/>
                <w:szCs w:val="18"/>
                <w:color w:val="auto"/>
              </w:rPr>
            </w:pPr>
          </w:p>
        </w:tc>
        <w:tc>
          <w:tcPr>
            <w:tcW w:w="320" w:type="dxa"/>
            <w:vAlign w:val="bottom"/>
            <w:tcBorders>
              <w:top w:val="single" w:sz="8" w:color="auto"/>
              <w:bottom w:val="single" w:sz="8" w:color="auto"/>
            </w:tcBorders>
          </w:tcPr>
          <w:p>
            <w:pPr>
              <w:spacing w:after="0"/>
              <w:rPr>
                <w:sz w:val="18"/>
                <w:szCs w:val="18"/>
                <w:color w:val="auto"/>
              </w:rPr>
            </w:pPr>
          </w:p>
        </w:tc>
        <w:tc>
          <w:tcPr>
            <w:tcW w:w="1260" w:type="dxa"/>
            <w:vAlign w:val="bottom"/>
            <w:tcBorders>
              <w:top w:val="single" w:sz="8" w:color="auto"/>
              <w:bottom w:val="single" w:sz="8" w:color="auto"/>
            </w:tcBorders>
          </w:tcPr>
          <w:p>
            <w:pPr>
              <w:jc w:val="right"/>
              <w:ind w:right="570"/>
              <w:spacing w:after="0"/>
              <w:rPr>
                <w:sz w:val="20"/>
                <w:szCs w:val="20"/>
                <w:color w:val="auto"/>
              </w:rPr>
            </w:pPr>
            <w:r>
              <w:rPr>
                <w:rFonts w:ascii="Arial" w:cs="Arial" w:eastAsia="Arial" w:hAnsi="Arial"/>
                <w:sz w:val="18"/>
                <w:szCs w:val="18"/>
                <w:b w:val="1"/>
                <w:bCs w:val="1"/>
                <w:color w:val="auto"/>
              </w:rPr>
              <w:t>2020</w:t>
            </w:r>
          </w:p>
        </w:tc>
      </w:tr>
      <w:tr>
        <w:trPr>
          <w:trHeight w:val="195"/>
        </w:trPr>
        <w:tc>
          <w:tcPr>
            <w:tcW w:w="340" w:type="dxa"/>
            <w:vAlign w:val="bottom"/>
          </w:tcPr>
          <w:p>
            <w:pPr>
              <w:jc w:val="right"/>
              <w:ind w:right="150"/>
              <w:spacing w:after="0" w:line="195" w:lineRule="exact"/>
              <w:rPr>
                <w:sz w:val="20"/>
                <w:szCs w:val="20"/>
                <w:color w:val="auto"/>
              </w:rPr>
            </w:pPr>
            <w:r>
              <w:rPr>
                <w:rFonts w:ascii="Arial" w:cs="Arial" w:eastAsia="Arial" w:hAnsi="Arial"/>
                <w:sz w:val="18"/>
                <w:szCs w:val="18"/>
                <w:color w:val="auto"/>
                <w:w w:val="79"/>
              </w:rPr>
              <w:t>$</w:t>
            </w:r>
          </w:p>
        </w:tc>
        <w:tc>
          <w:tcPr>
            <w:tcW w:w="1280" w:type="dxa"/>
            <w:vAlign w:val="bottom"/>
          </w:tcPr>
          <w:p>
            <w:pPr>
              <w:jc w:val="right"/>
              <w:ind w:right="30"/>
              <w:spacing w:after="0" w:line="195" w:lineRule="exact"/>
              <w:rPr>
                <w:sz w:val="20"/>
                <w:szCs w:val="20"/>
                <w:color w:val="auto"/>
              </w:rPr>
            </w:pPr>
            <w:r>
              <w:rPr>
                <w:rFonts w:ascii="Arial" w:cs="Arial" w:eastAsia="Arial" w:hAnsi="Arial"/>
                <w:sz w:val="18"/>
                <w:szCs w:val="18"/>
                <w:color w:val="auto"/>
              </w:rPr>
              <w:t>38,641</w:t>
            </w:r>
          </w:p>
        </w:tc>
        <w:tc>
          <w:tcPr>
            <w:tcW w:w="100" w:type="dxa"/>
            <w:vAlign w:val="bottom"/>
          </w:tcPr>
          <w:p>
            <w:pPr>
              <w:spacing w:after="0"/>
              <w:rPr>
                <w:sz w:val="16"/>
                <w:szCs w:val="16"/>
                <w:color w:val="auto"/>
              </w:rPr>
            </w:pPr>
          </w:p>
        </w:tc>
        <w:tc>
          <w:tcPr>
            <w:tcW w:w="320" w:type="dxa"/>
            <w:vAlign w:val="bottom"/>
          </w:tcPr>
          <w:p>
            <w:pPr>
              <w:jc w:val="right"/>
              <w:ind w:right="130"/>
              <w:spacing w:after="0" w:line="195" w:lineRule="exact"/>
              <w:rPr>
                <w:sz w:val="20"/>
                <w:szCs w:val="20"/>
                <w:color w:val="auto"/>
              </w:rPr>
            </w:pPr>
            <w:r>
              <w:rPr>
                <w:rFonts w:ascii="Arial" w:cs="Arial" w:eastAsia="Arial" w:hAnsi="Arial"/>
                <w:sz w:val="18"/>
                <w:szCs w:val="18"/>
                <w:color w:val="auto"/>
                <w:w w:val="79"/>
              </w:rPr>
              <w:t>$</w:t>
            </w:r>
          </w:p>
        </w:tc>
        <w:tc>
          <w:tcPr>
            <w:tcW w:w="1260" w:type="dxa"/>
            <w:vAlign w:val="bottom"/>
          </w:tcPr>
          <w:p>
            <w:pPr>
              <w:jc w:val="right"/>
              <w:ind w:right="10"/>
              <w:spacing w:after="0" w:line="195" w:lineRule="exact"/>
              <w:rPr>
                <w:sz w:val="20"/>
                <w:szCs w:val="20"/>
                <w:color w:val="auto"/>
              </w:rPr>
            </w:pPr>
            <w:r>
              <w:rPr>
                <w:rFonts w:ascii="Arial" w:cs="Arial" w:eastAsia="Arial" w:hAnsi="Arial"/>
                <w:sz w:val="18"/>
                <w:szCs w:val="18"/>
                <w:color w:val="auto"/>
              </w:rPr>
              <w:t>32,457</w:t>
            </w:r>
          </w:p>
        </w:tc>
      </w:tr>
      <w:tr>
        <w:trPr>
          <w:trHeight w:val="216"/>
        </w:trPr>
        <w:tc>
          <w:tcPr>
            <w:tcW w:w="340" w:type="dxa"/>
            <w:vAlign w:val="bottom"/>
          </w:tcPr>
          <w:p>
            <w:pPr>
              <w:spacing w:after="0"/>
              <w:rPr>
                <w:sz w:val="18"/>
                <w:szCs w:val="18"/>
                <w:color w:val="auto"/>
              </w:rPr>
            </w:pPr>
          </w:p>
        </w:tc>
        <w:tc>
          <w:tcPr>
            <w:tcW w:w="1280" w:type="dxa"/>
            <w:vAlign w:val="bottom"/>
          </w:tcPr>
          <w:p>
            <w:pPr>
              <w:jc w:val="right"/>
              <w:ind w:right="30"/>
              <w:spacing w:after="0"/>
              <w:rPr>
                <w:sz w:val="20"/>
                <w:szCs w:val="20"/>
                <w:color w:val="auto"/>
              </w:rPr>
            </w:pPr>
            <w:r>
              <w:rPr>
                <w:rFonts w:ascii="Arial" w:cs="Arial" w:eastAsia="Arial" w:hAnsi="Arial"/>
                <w:sz w:val="18"/>
                <w:szCs w:val="18"/>
                <w:color w:val="auto"/>
              </w:rPr>
              <w:t>15,501</w:t>
            </w: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260" w:type="dxa"/>
            <w:vAlign w:val="bottom"/>
          </w:tcPr>
          <w:p>
            <w:pPr>
              <w:jc w:val="right"/>
              <w:ind w:right="10"/>
              <w:spacing w:after="0"/>
              <w:rPr>
                <w:sz w:val="20"/>
                <w:szCs w:val="20"/>
                <w:color w:val="auto"/>
              </w:rPr>
            </w:pPr>
            <w:r>
              <w:rPr>
                <w:rFonts w:ascii="Arial" w:cs="Arial" w:eastAsia="Arial" w:hAnsi="Arial"/>
                <w:sz w:val="18"/>
                <w:szCs w:val="18"/>
                <w:color w:val="auto"/>
              </w:rPr>
              <w:t>18,697</w:t>
            </w:r>
          </w:p>
        </w:tc>
      </w:tr>
      <w:tr>
        <w:trPr>
          <w:trHeight w:val="216"/>
        </w:trPr>
        <w:tc>
          <w:tcPr>
            <w:tcW w:w="340" w:type="dxa"/>
            <w:vAlign w:val="bottom"/>
          </w:tcPr>
          <w:p>
            <w:pPr>
              <w:spacing w:after="0"/>
              <w:rPr>
                <w:sz w:val="18"/>
                <w:szCs w:val="18"/>
                <w:color w:val="auto"/>
              </w:rPr>
            </w:pPr>
          </w:p>
        </w:tc>
        <w:tc>
          <w:tcPr>
            <w:tcW w:w="1280" w:type="dxa"/>
            <w:vAlign w:val="bottom"/>
          </w:tcPr>
          <w:p>
            <w:pPr>
              <w:jc w:val="right"/>
              <w:ind w:right="30"/>
              <w:spacing w:after="0"/>
              <w:rPr>
                <w:sz w:val="20"/>
                <w:szCs w:val="20"/>
                <w:color w:val="auto"/>
              </w:rPr>
            </w:pPr>
            <w:r>
              <w:rPr>
                <w:rFonts w:ascii="Arial" w:cs="Arial" w:eastAsia="Arial" w:hAnsi="Arial"/>
                <w:sz w:val="18"/>
                <w:szCs w:val="18"/>
                <w:color w:val="auto"/>
              </w:rPr>
              <w:t>13,999</w:t>
            </w: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260" w:type="dxa"/>
            <w:vAlign w:val="bottom"/>
          </w:tcPr>
          <w:p>
            <w:pPr>
              <w:jc w:val="right"/>
              <w:ind w:right="10"/>
              <w:spacing w:after="0"/>
              <w:rPr>
                <w:sz w:val="20"/>
                <w:szCs w:val="20"/>
                <w:color w:val="auto"/>
              </w:rPr>
            </w:pPr>
            <w:r>
              <w:rPr>
                <w:rFonts w:ascii="Arial" w:cs="Arial" w:eastAsia="Arial" w:hAnsi="Arial"/>
                <w:sz w:val="18"/>
                <w:szCs w:val="18"/>
                <w:color w:val="auto"/>
              </w:rPr>
              <w:t>8,867</w:t>
            </w:r>
          </w:p>
        </w:tc>
      </w:tr>
      <w:tr>
        <w:trPr>
          <w:trHeight w:val="230"/>
        </w:trPr>
        <w:tc>
          <w:tcPr>
            <w:tcW w:w="340" w:type="dxa"/>
            <w:vAlign w:val="bottom"/>
            <w:tcBorders>
              <w:bottom w:val="single" w:sz="8" w:color="auto"/>
            </w:tcBorders>
          </w:tcPr>
          <w:p>
            <w:pPr>
              <w:spacing w:after="0"/>
              <w:rPr>
                <w:sz w:val="20"/>
                <w:szCs w:val="20"/>
                <w:color w:val="auto"/>
              </w:rPr>
            </w:pPr>
          </w:p>
        </w:tc>
        <w:tc>
          <w:tcPr>
            <w:tcW w:w="128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15,260</w:t>
            </w:r>
          </w:p>
        </w:tc>
        <w:tc>
          <w:tcPr>
            <w:tcW w:w="100" w:type="dxa"/>
            <w:vAlign w:val="bottom"/>
          </w:tcPr>
          <w:p>
            <w:pPr>
              <w:spacing w:after="0"/>
              <w:rPr>
                <w:sz w:val="20"/>
                <w:szCs w:val="20"/>
                <w:color w:val="auto"/>
              </w:rPr>
            </w:pPr>
          </w:p>
        </w:tc>
        <w:tc>
          <w:tcPr>
            <w:tcW w:w="320" w:type="dxa"/>
            <w:vAlign w:val="bottom"/>
            <w:tcBorders>
              <w:bottom w:val="single" w:sz="8" w:color="auto"/>
            </w:tcBorders>
          </w:tcPr>
          <w:p>
            <w:pPr>
              <w:spacing w:after="0"/>
              <w:rPr>
                <w:sz w:val="20"/>
                <w:szCs w:val="20"/>
                <w:color w:val="auto"/>
              </w:rPr>
            </w:pPr>
          </w:p>
        </w:tc>
        <w:tc>
          <w:tcPr>
            <w:tcW w:w="126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16,660</w:t>
            </w:r>
          </w:p>
        </w:tc>
      </w:tr>
      <w:tr>
        <w:trPr>
          <w:trHeight w:val="210"/>
        </w:trPr>
        <w:tc>
          <w:tcPr>
            <w:tcW w:w="340" w:type="dxa"/>
            <w:vAlign w:val="bottom"/>
            <w:tcBorders>
              <w:bottom w:val="single" w:sz="8" w:color="auto"/>
            </w:tcBorders>
          </w:tcPr>
          <w:p>
            <w:pPr>
              <w:jc w:val="right"/>
              <w:ind w:right="150"/>
              <w:spacing w:after="0"/>
              <w:rPr>
                <w:sz w:val="20"/>
                <w:szCs w:val="20"/>
                <w:color w:val="auto"/>
              </w:rPr>
            </w:pPr>
            <w:r>
              <w:rPr>
                <w:rFonts w:ascii="Arial" w:cs="Arial" w:eastAsia="Arial" w:hAnsi="Arial"/>
                <w:sz w:val="18"/>
                <w:szCs w:val="18"/>
                <w:color w:val="auto"/>
                <w:w w:val="79"/>
              </w:rPr>
              <w:t>$</w:t>
            </w:r>
          </w:p>
        </w:tc>
        <w:tc>
          <w:tcPr>
            <w:tcW w:w="128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83,401</w:t>
            </w:r>
          </w:p>
        </w:tc>
        <w:tc>
          <w:tcPr>
            <w:tcW w:w="100" w:type="dxa"/>
            <w:vAlign w:val="bottom"/>
          </w:tcPr>
          <w:p>
            <w:pPr>
              <w:spacing w:after="0"/>
              <w:rPr>
                <w:sz w:val="18"/>
                <w:szCs w:val="18"/>
                <w:color w:val="auto"/>
              </w:rPr>
            </w:pPr>
          </w:p>
        </w:tc>
        <w:tc>
          <w:tcPr>
            <w:tcW w:w="320" w:type="dxa"/>
            <w:vAlign w:val="bottom"/>
            <w:tcBorders>
              <w:bottom w:val="single" w:sz="8" w:color="auto"/>
            </w:tcBorders>
          </w:tcPr>
          <w:p>
            <w:pPr>
              <w:jc w:val="right"/>
              <w:ind w:right="130"/>
              <w:spacing w:after="0"/>
              <w:rPr>
                <w:sz w:val="20"/>
                <w:szCs w:val="20"/>
                <w:color w:val="auto"/>
              </w:rPr>
            </w:pPr>
            <w:r>
              <w:rPr>
                <w:rFonts w:ascii="Arial" w:cs="Arial" w:eastAsia="Arial" w:hAnsi="Arial"/>
                <w:sz w:val="18"/>
                <w:szCs w:val="18"/>
                <w:color w:val="auto"/>
                <w:w w:val="79"/>
              </w:rPr>
              <w:t>$</w:t>
            </w:r>
          </w:p>
        </w:tc>
        <w:tc>
          <w:tcPr>
            <w:tcW w:w="126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76,681</w:t>
            </w:r>
          </w:p>
        </w:tc>
      </w:tr>
      <w:tr>
        <w:trPr>
          <w:trHeight w:val="20"/>
        </w:trPr>
        <w:tc>
          <w:tcPr>
            <w:tcW w:w="34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-4675505</wp:posOffset>
            </wp:positionH>
            <wp:positionV relativeFrom="paragraph">
              <wp:posOffset>-719455</wp:posOffset>
            </wp:positionV>
            <wp:extent cx="6772275" cy="137160"/>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6772275" cy="137160"/>
                    </a:xfrm>
                    <a:prstGeom prst="rect">
                      <a:avLst/>
                    </a:prstGeom>
                    <a:noFill/>
                  </pic:spPr>
                </pic:pic>
              </a:graphicData>
            </a:graphic>
          </wp:anchor>
        </w:drawing>
        <w:drawing>
          <wp:anchor simplePos="0" relativeHeight="251657728" behindDoc="1" locked="0" layoutInCell="0" allowOverlap="1">
            <wp:simplePos x="0" y="0"/>
            <wp:positionH relativeFrom="column">
              <wp:posOffset>-4675505</wp:posOffset>
            </wp:positionH>
            <wp:positionV relativeFrom="paragraph">
              <wp:posOffset>-445135</wp:posOffset>
            </wp:positionV>
            <wp:extent cx="6772275" cy="137160"/>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6772275" cy="137160"/>
                    </a:xfrm>
                    <a:prstGeom prst="rect">
                      <a:avLst/>
                    </a:prstGeom>
                    <a:noFill/>
                  </pic:spPr>
                </pic:pic>
              </a:graphicData>
            </a:graphic>
          </wp:anchor>
        </w:drawing>
        <w:drawing>
          <wp:anchor simplePos="0" relativeHeight="251657728" behindDoc="1" locked="0" layoutInCell="0" allowOverlap="1">
            <wp:simplePos x="0" y="0"/>
            <wp:positionH relativeFrom="column">
              <wp:posOffset>-4675505</wp:posOffset>
            </wp:positionH>
            <wp:positionV relativeFrom="paragraph">
              <wp:posOffset>-161925</wp:posOffset>
            </wp:positionV>
            <wp:extent cx="6772275" cy="162560"/>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6772275" cy="162560"/>
                    </a:xfrm>
                    <a:prstGeom prst="rect">
                      <a:avLst/>
                    </a:prstGeom>
                    <a:noFill/>
                  </pic:spPr>
                </pic:pic>
              </a:graphicData>
            </a:graphic>
          </wp:anchor>
        </w:drawing>
      </w:r>
    </w:p>
    <w:p>
      <w:pPr>
        <w:spacing w:after="0" w:line="200" w:lineRule="exact"/>
        <w:rPr>
          <w:sz w:val="20"/>
          <w:szCs w:val="20"/>
          <w:color w:val="auto"/>
        </w:rPr>
      </w:pPr>
    </w:p>
    <w:p>
      <w:pPr>
        <w:sectPr>
          <w:pgSz w:w="11900" w:h="16838" w:orient="portrait"/>
          <w:cols w:equalWidth="0" w:num="2">
            <w:col w:w="7300" w:space="720"/>
            <w:col w:w="3300"/>
          </w:cols>
          <w:pgMar w:left="320" w:top="125" w:right="259" w:bottom="1440" w:gutter="0" w:footer="0" w:header="0"/>
          <w:type w:val="continuous"/>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9" w:lineRule="exact"/>
        <w:rPr>
          <w:sz w:val="20"/>
          <w:szCs w:val="20"/>
          <w:color w:val="auto"/>
        </w:rPr>
      </w:pPr>
    </w:p>
    <w:p>
      <w:pPr>
        <w:jc w:val="center"/>
        <w:ind w:right="60"/>
        <w:spacing w:after="0"/>
        <w:rPr>
          <w:sz w:val="20"/>
          <w:szCs w:val="20"/>
          <w:color w:val="auto"/>
        </w:rPr>
      </w:pPr>
      <w:r>
        <w:rPr>
          <w:rFonts w:ascii="Arial" w:cs="Arial" w:eastAsia="Arial" w:hAnsi="Arial"/>
          <w:sz w:val="19"/>
          <w:szCs w:val="19"/>
          <w:color w:val="auto"/>
        </w:rPr>
        <w:t>F- 31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97790</wp:posOffset>
            </wp:positionV>
            <wp:extent cx="7132320" cy="17145"/>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320"/>
          </w:cols>
          <w:pgMar w:left="320" w:top="125" w:right="259" w:bottom="1440" w:gutter="0" w:footer="0" w:header="0"/>
          <w:type w:val="continuous"/>
        </w:sectPr>
      </w:pPr>
    </w:p>
    <w:bookmarkStart w:id="60" w:name="page61"/>
    <w:bookmarkEnd w:id="60"/>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9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SIGNATURES</w:t>
      </w:r>
    </w:p>
    <w:p>
      <w:pPr>
        <w:spacing w:after="0" w:line="229" w:lineRule="exact"/>
        <w:rPr>
          <w:sz w:val="20"/>
          <w:szCs w:val="20"/>
          <w:color w:val="auto"/>
        </w:rPr>
      </w:pPr>
    </w:p>
    <w:p>
      <w:pPr>
        <w:ind w:firstLine="648"/>
        <w:spacing w:after="0" w:line="277" w:lineRule="auto"/>
        <w:rPr>
          <w:sz w:val="20"/>
          <w:szCs w:val="20"/>
          <w:color w:val="auto"/>
        </w:rPr>
      </w:pPr>
      <w:r>
        <w:rPr>
          <w:rFonts w:ascii="Arial" w:cs="Arial" w:eastAsia="Arial" w:hAnsi="Arial"/>
          <w:sz w:val="18"/>
          <w:szCs w:val="18"/>
          <w:color w:val="auto"/>
        </w:rPr>
        <w:t>Pursuant to the requirements of Section 13 or 15(d) of the Securities Exchange Act of 1934, the registrant has duly caused this report to be signed on its behalf by the undersigned thereunto duly authorized.</w:t>
      </w:r>
    </w:p>
    <w:p>
      <w:pPr>
        <w:spacing w:after="0" w:line="170"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3600" w:type="dxa"/>
            <w:vAlign w:val="bottom"/>
          </w:tcPr>
          <w:p>
            <w:pPr>
              <w:spacing w:after="0"/>
              <w:rPr>
                <w:sz w:val="20"/>
                <w:szCs w:val="20"/>
                <w:color w:val="auto"/>
              </w:rPr>
            </w:pPr>
          </w:p>
        </w:tc>
        <w:tc>
          <w:tcPr>
            <w:tcW w:w="7640" w:type="dxa"/>
            <w:vAlign w:val="bottom"/>
            <w:gridSpan w:val="2"/>
          </w:tcPr>
          <w:p>
            <w:pPr>
              <w:ind w:left="2040"/>
              <w:spacing w:after="0"/>
              <w:rPr>
                <w:sz w:val="20"/>
                <w:szCs w:val="20"/>
                <w:color w:val="auto"/>
              </w:rPr>
            </w:pPr>
            <w:r>
              <w:rPr>
                <w:rFonts w:ascii="Arial" w:cs="Arial" w:eastAsia="Arial" w:hAnsi="Arial"/>
                <w:sz w:val="18"/>
                <w:szCs w:val="18"/>
                <w:color w:val="auto"/>
              </w:rPr>
              <w:t>HARVARD BIOSCIENCE, INC.</w:t>
            </w:r>
          </w:p>
        </w:tc>
      </w:tr>
      <w:tr>
        <w:trPr>
          <w:trHeight w:val="432"/>
        </w:trPr>
        <w:tc>
          <w:tcPr>
            <w:tcW w:w="3600" w:type="dxa"/>
            <w:vAlign w:val="bottom"/>
          </w:tcPr>
          <w:p>
            <w:pPr>
              <w:spacing w:after="0"/>
              <w:rPr>
                <w:sz w:val="20"/>
                <w:szCs w:val="20"/>
                <w:color w:val="auto"/>
              </w:rPr>
            </w:pPr>
            <w:r>
              <w:rPr>
                <w:rFonts w:ascii="Arial" w:cs="Arial" w:eastAsia="Arial" w:hAnsi="Arial"/>
                <w:sz w:val="18"/>
                <w:szCs w:val="18"/>
                <w:color w:val="auto"/>
              </w:rPr>
              <w:t>Date: March 11, 2022</w:t>
            </w:r>
          </w:p>
        </w:tc>
        <w:tc>
          <w:tcPr>
            <w:tcW w:w="7640" w:type="dxa"/>
            <w:vAlign w:val="bottom"/>
            <w:gridSpan w:val="2"/>
          </w:tcPr>
          <w:p>
            <w:pPr>
              <w:ind w:left="2040"/>
              <w:spacing w:after="0"/>
              <w:rPr>
                <w:sz w:val="20"/>
                <w:szCs w:val="20"/>
                <w:color w:val="auto"/>
              </w:rPr>
            </w:pPr>
            <w:r>
              <w:rPr>
                <w:rFonts w:ascii="Arial" w:cs="Arial" w:eastAsia="Arial" w:hAnsi="Arial"/>
                <w:sz w:val="18"/>
                <w:szCs w:val="18"/>
                <w:color w:val="auto"/>
              </w:rPr>
              <w:t>By:   /s/ JAMES GREEN</w:t>
            </w:r>
          </w:p>
        </w:tc>
      </w:tr>
      <w:tr>
        <w:trPr>
          <w:trHeight w:val="195"/>
        </w:trPr>
        <w:tc>
          <w:tcPr>
            <w:tcW w:w="3600" w:type="dxa"/>
            <w:vAlign w:val="bottom"/>
          </w:tcPr>
          <w:p>
            <w:pPr>
              <w:spacing w:after="0"/>
              <w:rPr>
                <w:sz w:val="16"/>
                <w:szCs w:val="16"/>
                <w:color w:val="auto"/>
              </w:rPr>
            </w:pPr>
          </w:p>
        </w:tc>
        <w:tc>
          <w:tcPr>
            <w:tcW w:w="2600" w:type="dxa"/>
            <w:vAlign w:val="bottom"/>
          </w:tcPr>
          <w:p>
            <w:pPr>
              <w:spacing w:after="0"/>
              <w:rPr>
                <w:sz w:val="16"/>
                <w:szCs w:val="16"/>
                <w:color w:val="auto"/>
              </w:rPr>
            </w:pPr>
          </w:p>
        </w:tc>
        <w:tc>
          <w:tcPr>
            <w:tcW w:w="5040" w:type="dxa"/>
            <w:vAlign w:val="bottom"/>
            <w:tcBorders>
              <w:top w:val="single" w:sz="8" w:color="auto"/>
            </w:tcBorders>
          </w:tcPr>
          <w:p>
            <w:pPr>
              <w:spacing w:after="0" w:line="195" w:lineRule="exact"/>
              <w:rPr>
                <w:sz w:val="20"/>
                <w:szCs w:val="20"/>
                <w:color w:val="auto"/>
              </w:rPr>
            </w:pPr>
            <w:r>
              <w:rPr>
                <w:rFonts w:ascii="Arial" w:cs="Arial" w:eastAsia="Arial" w:hAnsi="Arial"/>
                <w:sz w:val="18"/>
                <w:szCs w:val="18"/>
                <w:color w:val="auto"/>
              </w:rPr>
              <w:t>James Green</w:t>
            </w:r>
          </w:p>
        </w:tc>
      </w:tr>
      <w:tr>
        <w:trPr>
          <w:trHeight w:val="230"/>
        </w:trPr>
        <w:tc>
          <w:tcPr>
            <w:tcW w:w="3600" w:type="dxa"/>
            <w:vAlign w:val="bottom"/>
          </w:tcPr>
          <w:p>
            <w:pPr>
              <w:spacing w:after="0"/>
              <w:rPr>
                <w:sz w:val="20"/>
                <w:szCs w:val="20"/>
                <w:color w:val="auto"/>
              </w:rPr>
            </w:pPr>
          </w:p>
        </w:tc>
        <w:tc>
          <w:tcPr>
            <w:tcW w:w="2600" w:type="dxa"/>
            <w:vAlign w:val="bottom"/>
          </w:tcPr>
          <w:p>
            <w:pPr>
              <w:spacing w:after="0"/>
              <w:rPr>
                <w:sz w:val="20"/>
                <w:szCs w:val="20"/>
                <w:color w:val="auto"/>
              </w:rPr>
            </w:pPr>
          </w:p>
        </w:tc>
        <w:tc>
          <w:tcPr>
            <w:tcW w:w="5040" w:type="dxa"/>
            <w:vAlign w:val="bottom"/>
          </w:tcPr>
          <w:p>
            <w:pPr>
              <w:spacing w:after="0"/>
              <w:rPr>
                <w:sz w:val="20"/>
                <w:szCs w:val="20"/>
                <w:color w:val="auto"/>
              </w:rPr>
            </w:pPr>
            <w:r>
              <w:rPr>
                <w:rFonts w:ascii="Arial" w:cs="Arial" w:eastAsia="Arial" w:hAnsi="Arial"/>
                <w:sz w:val="18"/>
                <w:szCs w:val="18"/>
                <w:color w:val="auto"/>
              </w:rPr>
              <w:t>Chief Executive Officer</w:t>
            </w:r>
          </w:p>
        </w:tc>
      </w:tr>
    </w:tbl>
    <w:p>
      <w:pPr>
        <w:spacing w:after="0" w:line="200" w:lineRule="exact"/>
        <w:rPr>
          <w:sz w:val="20"/>
          <w:szCs w:val="20"/>
          <w:color w:val="auto"/>
        </w:rPr>
      </w:pPr>
    </w:p>
    <w:p>
      <w:pPr>
        <w:spacing w:after="0" w:line="218" w:lineRule="exact"/>
        <w:rPr>
          <w:sz w:val="20"/>
          <w:szCs w:val="20"/>
          <w:color w:val="auto"/>
        </w:rPr>
      </w:pPr>
    </w:p>
    <w:p>
      <w:pPr>
        <w:ind w:left="160" w:right="20" w:firstLine="414"/>
        <w:spacing w:after="0" w:line="277" w:lineRule="auto"/>
        <w:rPr>
          <w:sz w:val="20"/>
          <w:szCs w:val="20"/>
          <w:color w:val="auto"/>
        </w:rPr>
      </w:pPr>
      <w:r>
        <w:rPr>
          <w:rFonts w:ascii="Arial" w:cs="Arial" w:eastAsia="Arial" w:hAnsi="Arial"/>
          <w:sz w:val="18"/>
          <w:szCs w:val="18"/>
          <w:color w:val="auto"/>
        </w:rPr>
        <w:t>Pursuant to the requirements of Section 13 or 15(d) of the Securities Exchange Act of 1934, this report has been signed below by the following persons on behalf of the registrant and in the capacities and on the dates indicated</w:t>
      </w:r>
    </w:p>
    <w:p>
      <w:pPr>
        <w:spacing w:after="0" w:line="382"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3360" w:type="dxa"/>
            <w:vAlign w:val="bottom"/>
          </w:tcPr>
          <w:p>
            <w:pPr>
              <w:spacing w:after="0"/>
              <w:rPr>
                <w:sz w:val="20"/>
                <w:szCs w:val="20"/>
                <w:color w:val="auto"/>
              </w:rPr>
            </w:pPr>
            <w:r>
              <w:rPr>
                <w:rFonts w:ascii="Arial" w:cs="Arial" w:eastAsia="Arial" w:hAnsi="Arial"/>
                <w:sz w:val="18"/>
                <w:szCs w:val="18"/>
                <w:b w:val="1"/>
                <w:bCs w:val="1"/>
                <w:color w:val="auto"/>
              </w:rPr>
              <w:t>Signature</w:t>
            </w:r>
          </w:p>
        </w:tc>
        <w:tc>
          <w:tcPr>
            <w:tcW w:w="540" w:type="dxa"/>
            <w:vAlign w:val="bottom"/>
          </w:tcPr>
          <w:p>
            <w:pPr>
              <w:spacing w:after="0"/>
              <w:rPr>
                <w:sz w:val="20"/>
                <w:szCs w:val="20"/>
                <w:color w:val="auto"/>
              </w:rPr>
            </w:pPr>
          </w:p>
        </w:tc>
        <w:tc>
          <w:tcPr>
            <w:tcW w:w="3380" w:type="dxa"/>
            <w:vAlign w:val="bottom"/>
          </w:tcPr>
          <w:p>
            <w:pPr>
              <w:ind w:left="1660"/>
              <w:spacing w:after="0"/>
              <w:rPr>
                <w:sz w:val="20"/>
                <w:szCs w:val="20"/>
                <w:color w:val="auto"/>
              </w:rPr>
            </w:pPr>
            <w:r>
              <w:rPr>
                <w:rFonts w:ascii="Arial" w:cs="Arial" w:eastAsia="Arial" w:hAnsi="Arial"/>
                <w:sz w:val="18"/>
                <w:szCs w:val="18"/>
                <w:b w:val="1"/>
                <w:bCs w:val="1"/>
                <w:color w:val="auto"/>
              </w:rPr>
              <w:t>Title</w:t>
            </w:r>
          </w:p>
        </w:tc>
        <w:tc>
          <w:tcPr>
            <w:tcW w:w="3900" w:type="dxa"/>
            <w:vAlign w:val="bottom"/>
            <w:gridSpan w:val="2"/>
          </w:tcPr>
          <w:p>
            <w:pPr>
              <w:ind w:left="540"/>
              <w:spacing w:after="0"/>
              <w:rPr>
                <w:sz w:val="20"/>
                <w:szCs w:val="20"/>
                <w:color w:val="auto"/>
              </w:rPr>
            </w:pPr>
            <w:r>
              <w:rPr>
                <w:rFonts w:ascii="Arial" w:cs="Arial" w:eastAsia="Arial" w:hAnsi="Arial"/>
                <w:sz w:val="18"/>
                <w:szCs w:val="18"/>
                <w:b w:val="1"/>
                <w:bCs w:val="1"/>
                <w:color w:val="auto"/>
              </w:rPr>
              <w:t>Date</w:t>
            </w:r>
          </w:p>
        </w:tc>
        <w:tc>
          <w:tcPr>
            <w:tcW w:w="0" w:type="dxa"/>
            <w:vAlign w:val="bottom"/>
          </w:tcPr>
          <w:p>
            <w:pPr>
              <w:spacing w:after="0"/>
              <w:rPr>
                <w:sz w:val="1"/>
                <w:szCs w:val="1"/>
                <w:color w:val="auto"/>
              </w:rPr>
            </w:pPr>
          </w:p>
        </w:tc>
      </w:tr>
      <w:tr>
        <w:trPr>
          <w:trHeight w:val="195"/>
        </w:trPr>
        <w:tc>
          <w:tcPr>
            <w:tcW w:w="3360" w:type="dxa"/>
            <w:vAlign w:val="bottom"/>
            <w:tcBorders>
              <w:top w:val="single" w:sz="8" w:color="auto"/>
            </w:tcBorders>
            <w:vMerge w:val="restart"/>
          </w:tcPr>
          <w:p>
            <w:pPr>
              <w:spacing w:after="0"/>
              <w:rPr>
                <w:sz w:val="20"/>
                <w:szCs w:val="20"/>
                <w:color w:val="auto"/>
              </w:rPr>
            </w:pPr>
            <w:r>
              <w:rPr>
                <w:rFonts w:ascii="Arial" w:cs="Arial" w:eastAsia="Arial" w:hAnsi="Arial"/>
                <w:sz w:val="18"/>
                <w:szCs w:val="18"/>
                <w:color w:val="auto"/>
              </w:rPr>
              <w:t>/s/ JAMES GREEN</w:t>
            </w:r>
          </w:p>
        </w:tc>
        <w:tc>
          <w:tcPr>
            <w:tcW w:w="540" w:type="dxa"/>
            <w:vAlign w:val="bottom"/>
          </w:tcPr>
          <w:p>
            <w:pPr>
              <w:spacing w:after="0"/>
              <w:rPr>
                <w:sz w:val="16"/>
                <w:szCs w:val="16"/>
                <w:color w:val="auto"/>
              </w:rPr>
            </w:pPr>
          </w:p>
        </w:tc>
        <w:tc>
          <w:tcPr>
            <w:tcW w:w="3380" w:type="dxa"/>
            <w:vAlign w:val="bottom"/>
            <w:tcBorders>
              <w:top w:val="single" w:sz="8" w:color="auto"/>
            </w:tcBorders>
          </w:tcPr>
          <w:p>
            <w:pPr>
              <w:ind w:left="120"/>
              <w:spacing w:after="0" w:line="195" w:lineRule="exact"/>
              <w:rPr>
                <w:sz w:val="20"/>
                <w:szCs w:val="20"/>
                <w:color w:val="auto"/>
              </w:rPr>
            </w:pPr>
            <w:r>
              <w:rPr>
                <w:rFonts w:ascii="Arial" w:cs="Arial" w:eastAsia="Arial" w:hAnsi="Arial"/>
                <w:sz w:val="18"/>
                <w:szCs w:val="18"/>
                <w:color w:val="auto"/>
              </w:rPr>
              <w:t>Chief Executive Officer and Director</w:t>
            </w:r>
          </w:p>
        </w:tc>
        <w:tc>
          <w:tcPr>
            <w:tcW w:w="540" w:type="dxa"/>
            <w:vAlign w:val="bottom"/>
          </w:tcPr>
          <w:p>
            <w:pPr>
              <w:spacing w:after="0"/>
              <w:rPr>
                <w:sz w:val="16"/>
                <w:szCs w:val="16"/>
                <w:color w:val="auto"/>
              </w:rPr>
            </w:pPr>
          </w:p>
        </w:tc>
        <w:tc>
          <w:tcPr>
            <w:tcW w:w="3360" w:type="dxa"/>
            <w:vAlign w:val="bottom"/>
            <w:tcBorders>
              <w:top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222"/>
        </w:trPr>
        <w:tc>
          <w:tcPr>
            <w:tcW w:w="3360" w:type="dxa"/>
            <w:vAlign w:val="bottom"/>
            <w:tcBorders>
              <w:bottom w:val="single" w:sz="8" w:color="auto"/>
            </w:tcBorders>
            <w:vMerge w:val="continue"/>
          </w:tcPr>
          <w:p>
            <w:pPr>
              <w:spacing w:after="0"/>
              <w:rPr>
                <w:sz w:val="18"/>
                <w:szCs w:val="18"/>
                <w:color w:val="auto"/>
              </w:rPr>
            </w:pPr>
          </w:p>
        </w:tc>
        <w:tc>
          <w:tcPr>
            <w:tcW w:w="540" w:type="dxa"/>
            <w:vAlign w:val="bottom"/>
          </w:tcPr>
          <w:p>
            <w:pPr>
              <w:spacing w:after="0"/>
              <w:rPr>
                <w:sz w:val="18"/>
                <w:szCs w:val="18"/>
                <w:color w:val="auto"/>
              </w:rPr>
            </w:pPr>
          </w:p>
        </w:tc>
        <w:tc>
          <w:tcPr>
            <w:tcW w:w="3380" w:type="dxa"/>
            <w:vAlign w:val="bottom"/>
          </w:tcPr>
          <w:p>
            <w:pPr>
              <w:ind w:left="120"/>
              <w:spacing w:after="0"/>
              <w:rPr>
                <w:sz w:val="20"/>
                <w:szCs w:val="20"/>
                <w:color w:val="auto"/>
              </w:rPr>
            </w:pPr>
            <w:r>
              <w:rPr>
                <w:rFonts w:ascii="Arial" w:cs="Arial" w:eastAsia="Arial" w:hAnsi="Arial"/>
                <w:sz w:val="18"/>
                <w:szCs w:val="18"/>
                <w:color w:val="auto"/>
              </w:rPr>
              <w:t>(Principal Executive Officer)</w:t>
            </w:r>
          </w:p>
        </w:tc>
        <w:tc>
          <w:tcPr>
            <w:tcW w:w="3900" w:type="dxa"/>
            <w:vAlign w:val="bottom"/>
            <w:gridSpan w:val="2"/>
          </w:tcPr>
          <w:p>
            <w:pPr>
              <w:ind w:left="540"/>
              <w:spacing w:after="0"/>
              <w:rPr>
                <w:sz w:val="20"/>
                <w:szCs w:val="20"/>
                <w:color w:val="auto"/>
              </w:rPr>
            </w:pPr>
            <w:r>
              <w:rPr>
                <w:rFonts w:ascii="Arial" w:cs="Arial" w:eastAsia="Arial" w:hAnsi="Arial"/>
                <w:sz w:val="18"/>
                <w:szCs w:val="18"/>
                <w:color w:val="auto"/>
              </w:rPr>
              <w:t>March 11, 2022</w:t>
            </w:r>
          </w:p>
        </w:tc>
        <w:tc>
          <w:tcPr>
            <w:tcW w:w="0" w:type="dxa"/>
            <w:vAlign w:val="bottom"/>
          </w:tcPr>
          <w:p>
            <w:pPr>
              <w:spacing w:after="0"/>
              <w:rPr>
                <w:sz w:val="1"/>
                <w:szCs w:val="1"/>
                <w:color w:val="auto"/>
              </w:rPr>
            </w:pPr>
          </w:p>
        </w:tc>
      </w:tr>
      <w:tr>
        <w:trPr>
          <w:trHeight w:val="228"/>
        </w:trPr>
        <w:tc>
          <w:tcPr>
            <w:tcW w:w="3360" w:type="dxa"/>
            <w:vAlign w:val="bottom"/>
          </w:tcPr>
          <w:p>
            <w:pPr>
              <w:spacing w:after="0"/>
              <w:rPr>
                <w:sz w:val="20"/>
                <w:szCs w:val="20"/>
                <w:color w:val="auto"/>
              </w:rPr>
            </w:pPr>
            <w:r>
              <w:rPr>
                <w:rFonts w:ascii="Arial" w:cs="Arial" w:eastAsia="Arial" w:hAnsi="Arial"/>
                <w:sz w:val="18"/>
                <w:szCs w:val="18"/>
                <w:b w:val="1"/>
                <w:bCs w:val="1"/>
                <w:color w:val="auto"/>
              </w:rPr>
              <w:t>James Green</w:t>
            </w:r>
          </w:p>
        </w:tc>
        <w:tc>
          <w:tcPr>
            <w:tcW w:w="540" w:type="dxa"/>
            <w:vAlign w:val="bottom"/>
          </w:tcPr>
          <w:p>
            <w:pPr>
              <w:spacing w:after="0"/>
              <w:rPr>
                <w:sz w:val="19"/>
                <w:szCs w:val="19"/>
                <w:color w:val="auto"/>
              </w:rPr>
            </w:pPr>
          </w:p>
        </w:tc>
        <w:tc>
          <w:tcPr>
            <w:tcW w:w="338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33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399"/>
        </w:trPr>
        <w:tc>
          <w:tcPr>
            <w:tcW w:w="336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3380" w:type="dxa"/>
            <w:vAlign w:val="bottom"/>
          </w:tcPr>
          <w:p>
            <w:pPr>
              <w:ind w:left="120"/>
              <w:spacing w:after="0"/>
              <w:rPr>
                <w:sz w:val="20"/>
                <w:szCs w:val="20"/>
                <w:color w:val="auto"/>
              </w:rPr>
            </w:pPr>
            <w:r>
              <w:rPr>
                <w:rFonts w:ascii="Arial" w:cs="Arial" w:eastAsia="Arial" w:hAnsi="Arial"/>
                <w:sz w:val="18"/>
                <w:szCs w:val="18"/>
                <w:color w:val="auto"/>
              </w:rPr>
              <w:t>Chief Financial Officer</w:t>
            </w:r>
          </w:p>
        </w:tc>
        <w:tc>
          <w:tcPr>
            <w:tcW w:w="540" w:type="dxa"/>
            <w:vAlign w:val="bottom"/>
          </w:tcPr>
          <w:p>
            <w:pPr>
              <w:spacing w:after="0"/>
              <w:rPr>
                <w:sz w:val="24"/>
                <w:szCs w:val="24"/>
                <w:color w:val="auto"/>
              </w:rPr>
            </w:pPr>
          </w:p>
        </w:tc>
        <w:tc>
          <w:tcPr>
            <w:tcW w:w="33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3360" w:type="dxa"/>
            <w:vAlign w:val="bottom"/>
            <w:vMerge w:val="restart"/>
          </w:tcPr>
          <w:p>
            <w:pPr>
              <w:spacing w:after="0"/>
              <w:rPr>
                <w:sz w:val="20"/>
                <w:szCs w:val="20"/>
                <w:color w:val="auto"/>
              </w:rPr>
            </w:pPr>
            <w:r>
              <w:rPr>
                <w:rFonts w:ascii="Arial" w:cs="Arial" w:eastAsia="Arial" w:hAnsi="Arial"/>
                <w:sz w:val="18"/>
                <w:szCs w:val="18"/>
                <w:color w:val="auto"/>
              </w:rPr>
              <w:t>/s/ MICHAEL A. ROSSI</w:t>
            </w:r>
          </w:p>
        </w:tc>
        <w:tc>
          <w:tcPr>
            <w:tcW w:w="540" w:type="dxa"/>
            <w:vAlign w:val="bottom"/>
          </w:tcPr>
          <w:p>
            <w:pPr>
              <w:spacing w:after="0"/>
              <w:rPr>
                <w:sz w:val="18"/>
                <w:szCs w:val="18"/>
                <w:color w:val="auto"/>
              </w:rPr>
            </w:pPr>
          </w:p>
        </w:tc>
        <w:tc>
          <w:tcPr>
            <w:tcW w:w="3380" w:type="dxa"/>
            <w:vAlign w:val="bottom"/>
          </w:tcPr>
          <w:p>
            <w:pPr>
              <w:ind w:left="120"/>
              <w:spacing w:after="0"/>
              <w:rPr>
                <w:sz w:val="20"/>
                <w:szCs w:val="20"/>
                <w:color w:val="auto"/>
              </w:rPr>
            </w:pPr>
            <w:r>
              <w:rPr>
                <w:rFonts w:ascii="Arial" w:cs="Arial" w:eastAsia="Arial" w:hAnsi="Arial"/>
                <w:sz w:val="18"/>
                <w:szCs w:val="18"/>
                <w:color w:val="auto"/>
              </w:rPr>
              <w:t>(Principal Financial Officer and Principal</w:t>
            </w:r>
          </w:p>
        </w:tc>
        <w:tc>
          <w:tcPr>
            <w:tcW w:w="540" w:type="dxa"/>
            <w:vAlign w:val="bottom"/>
          </w:tcPr>
          <w:p>
            <w:pPr>
              <w:spacing w:after="0"/>
              <w:rPr>
                <w:sz w:val="18"/>
                <w:szCs w:val="18"/>
                <w:color w:val="auto"/>
              </w:rPr>
            </w:pPr>
          </w:p>
        </w:tc>
        <w:tc>
          <w:tcPr>
            <w:tcW w:w="33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3360" w:type="dxa"/>
            <w:vAlign w:val="bottom"/>
            <w:tcBorders>
              <w:bottom w:val="single" w:sz="8" w:color="auto"/>
            </w:tcBorders>
            <w:vMerge w:val="continue"/>
          </w:tcPr>
          <w:p>
            <w:pPr>
              <w:spacing w:after="0"/>
              <w:rPr>
                <w:sz w:val="18"/>
                <w:szCs w:val="18"/>
                <w:color w:val="auto"/>
              </w:rPr>
            </w:pPr>
          </w:p>
        </w:tc>
        <w:tc>
          <w:tcPr>
            <w:tcW w:w="540" w:type="dxa"/>
            <w:vAlign w:val="bottom"/>
          </w:tcPr>
          <w:p>
            <w:pPr>
              <w:spacing w:after="0"/>
              <w:rPr>
                <w:sz w:val="18"/>
                <w:szCs w:val="18"/>
                <w:color w:val="auto"/>
              </w:rPr>
            </w:pPr>
          </w:p>
        </w:tc>
        <w:tc>
          <w:tcPr>
            <w:tcW w:w="3380" w:type="dxa"/>
            <w:vAlign w:val="bottom"/>
          </w:tcPr>
          <w:p>
            <w:pPr>
              <w:ind w:left="120"/>
              <w:spacing w:after="0"/>
              <w:rPr>
                <w:sz w:val="20"/>
                <w:szCs w:val="20"/>
                <w:color w:val="auto"/>
              </w:rPr>
            </w:pPr>
            <w:r>
              <w:rPr>
                <w:rFonts w:ascii="Arial" w:cs="Arial" w:eastAsia="Arial" w:hAnsi="Arial"/>
                <w:sz w:val="18"/>
                <w:szCs w:val="18"/>
                <w:color w:val="auto"/>
              </w:rPr>
              <w:t>Accounting Officer)</w:t>
            </w:r>
          </w:p>
        </w:tc>
        <w:tc>
          <w:tcPr>
            <w:tcW w:w="3900" w:type="dxa"/>
            <w:vAlign w:val="bottom"/>
            <w:gridSpan w:val="2"/>
          </w:tcPr>
          <w:p>
            <w:pPr>
              <w:ind w:left="540"/>
              <w:spacing w:after="0"/>
              <w:rPr>
                <w:sz w:val="20"/>
                <w:szCs w:val="20"/>
                <w:color w:val="auto"/>
              </w:rPr>
            </w:pPr>
            <w:r>
              <w:rPr>
                <w:rFonts w:ascii="Arial" w:cs="Arial" w:eastAsia="Arial" w:hAnsi="Arial"/>
                <w:sz w:val="18"/>
                <w:szCs w:val="18"/>
                <w:color w:val="auto"/>
              </w:rPr>
              <w:t>March 11, 2022</w:t>
            </w:r>
          </w:p>
        </w:tc>
        <w:tc>
          <w:tcPr>
            <w:tcW w:w="0" w:type="dxa"/>
            <w:vAlign w:val="bottom"/>
          </w:tcPr>
          <w:p>
            <w:pPr>
              <w:spacing w:after="0"/>
              <w:rPr>
                <w:sz w:val="1"/>
                <w:szCs w:val="1"/>
                <w:color w:val="auto"/>
              </w:rPr>
            </w:pPr>
          </w:p>
        </w:tc>
      </w:tr>
      <w:tr>
        <w:trPr>
          <w:trHeight w:val="228"/>
        </w:trPr>
        <w:tc>
          <w:tcPr>
            <w:tcW w:w="3360" w:type="dxa"/>
            <w:vAlign w:val="bottom"/>
          </w:tcPr>
          <w:p>
            <w:pPr>
              <w:spacing w:after="0"/>
              <w:rPr>
                <w:sz w:val="20"/>
                <w:szCs w:val="20"/>
                <w:color w:val="auto"/>
              </w:rPr>
            </w:pPr>
            <w:r>
              <w:rPr>
                <w:rFonts w:ascii="Arial" w:cs="Arial" w:eastAsia="Arial" w:hAnsi="Arial"/>
                <w:sz w:val="18"/>
                <w:szCs w:val="18"/>
                <w:b w:val="1"/>
                <w:bCs w:val="1"/>
                <w:color w:val="auto"/>
              </w:rPr>
              <w:t>Michael A. Rossi</w:t>
            </w:r>
          </w:p>
        </w:tc>
        <w:tc>
          <w:tcPr>
            <w:tcW w:w="540" w:type="dxa"/>
            <w:vAlign w:val="bottom"/>
          </w:tcPr>
          <w:p>
            <w:pPr>
              <w:spacing w:after="0"/>
              <w:rPr>
                <w:sz w:val="19"/>
                <w:szCs w:val="19"/>
                <w:color w:val="auto"/>
              </w:rPr>
            </w:pPr>
          </w:p>
        </w:tc>
        <w:tc>
          <w:tcPr>
            <w:tcW w:w="338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33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414"/>
        </w:trPr>
        <w:tc>
          <w:tcPr>
            <w:tcW w:w="336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KATHERINE A. EADE</w:t>
            </w:r>
          </w:p>
        </w:tc>
        <w:tc>
          <w:tcPr>
            <w:tcW w:w="540" w:type="dxa"/>
            <w:vAlign w:val="bottom"/>
          </w:tcPr>
          <w:p>
            <w:pPr>
              <w:spacing w:after="0"/>
              <w:rPr>
                <w:sz w:val="24"/>
                <w:szCs w:val="24"/>
                <w:color w:val="auto"/>
              </w:rPr>
            </w:pPr>
          </w:p>
        </w:tc>
        <w:tc>
          <w:tcPr>
            <w:tcW w:w="3380" w:type="dxa"/>
            <w:vAlign w:val="bottom"/>
          </w:tcPr>
          <w:p>
            <w:pPr>
              <w:ind w:left="120"/>
              <w:spacing w:after="0"/>
              <w:rPr>
                <w:sz w:val="20"/>
                <w:szCs w:val="20"/>
                <w:color w:val="auto"/>
              </w:rPr>
            </w:pPr>
            <w:r>
              <w:rPr>
                <w:rFonts w:ascii="Arial" w:cs="Arial" w:eastAsia="Arial" w:hAnsi="Arial"/>
                <w:sz w:val="18"/>
                <w:szCs w:val="18"/>
                <w:color w:val="auto"/>
              </w:rPr>
              <w:t>Director</w:t>
            </w:r>
          </w:p>
        </w:tc>
        <w:tc>
          <w:tcPr>
            <w:tcW w:w="3900" w:type="dxa"/>
            <w:vAlign w:val="bottom"/>
            <w:gridSpan w:val="2"/>
          </w:tcPr>
          <w:p>
            <w:pPr>
              <w:ind w:left="540"/>
              <w:spacing w:after="0"/>
              <w:rPr>
                <w:sz w:val="20"/>
                <w:szCs w:val="20"/>
                <w:color w:val="auto"/>
              </w:rPr>
            </w:pPr>
            <w:r>
              <w:rPr>
                <w:rFonts w:ascii="Arial" w:cs="Arial" w:eastAsia="Arial" w:hAnsi="Arial"/>
                <w:sz w:val="18"/>
                <w:szCs w:val="18"/>
                <w:color w:val="auto"/>
              </w:rPr>
              <w:t>March 11, 2022</w:t>
            </w:r>
          </w:p>
        </w:tc>
        <w:tc>
          <w:tcPr>
            <w:tcW w:w="0" w:type="dxa"/>
            <w:vAlign w:val="bottom"/>
          </w:tcPr>
          <w:p>
            <w:pPr>
              <w:spacing w:after="0"/>
              <w:rPr>
                <w:sz w:val="1"/>
                <w:szCs w:val="1"/>
                <w:color w:val="auto"/>
              </w:rPr>
            </w:pPr>
          </w:p>
        </w:tc>
      </w:tr>
      <w:tr>
        <w:trPr>
          <w:trHeight w:val="228"/>
        </w:trPr>
        <w:tc>
          <w:tcPr>
            <w:tcW w:w="3360" w:type="dxa"/>
            <w:vAlign w:val="bottom"/>
          </w:tcPr>
          <w:p>
            <w:pPr>
              <w:spacing w:after="0"/>
              <w:rPr>
                <w:sz w:val="20"/>
                <w:szCs w:val="20"/>
                <w:color w:val="auto"/>
              </w:rPr>
            </w:pPr>
            <w:r>
              <w:rPr>
                <w:rFonts w:ascii="Arial" w:cs="Arial" w:eastAsia="Arial" w:hAnsi="Arial"/>
                <w:sz w:val="18"/>
                <w:szCs w:val="18"/>
                <w:b w:val="1"/>
                <w:bCs w:val="1"/>
                <w:color w:val="auto"/>
              </w:rPr>
              <w:t>Katherine A. Eade</w:t>
            </w:r>
          </w:p>
        </w:tc>
        <w:tc>
          <w:tcPr>
            <w:tcW w:w="540" w:type="dxa"/>
            <w:vAlign w:val="bottom"/>
          </w:tcPr>
          <w:p>
            <w:pPr>
              <w:spacing w:after="0"/>
              <w:rPr>
                <w:sz w:val="19"/>
                <w:szCs w:val="19"/>
                <w:color w:val="auto"/>
              </w:rPr>
            </w:pPr>
          </w:p>
        </w:tc>
        <w:tc>
          <w:tcPr>
            <w:tcW w:w="338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33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414"/>
        </w:trPr>
        <w:tc>
          <w:tcPr>
            <w:tcW w:w="336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ALAN EDRICK</w:t>
            </w:r>
          </w:p>
        </w:tc>
        <w:tc>
          <w:tcPr>
            <w:tcW w:w="540" w:type="dxa"/>
            <w:vAlign w:val="bottom"/>
          </w:tcPr>
          <w:p>
            <w:pPr>
              <w:spacing w:after="0"/>
              <w:rPr>
                <w:sz w:val="24"/>
                <w:szCs w:val="24"/>
                <w:color w:val="auto"/>
              </w:rPr>
            </w:pPr>
          </w:p>
        </w:tc>
        <w:tc>
          <w:tcPr>
            <w:tcW w:w="3380" w:type="dxa"/>
            <w:vAlign w:val="bottom"/>
          </w:tcPr>
          <w:p>
            <w:pPr>
              <w:ind w:left="120"/>
              <w:spacing w:after="0"/>
              <w:rPr>
                <w:sz w:val="20"/>
                <w:szCs w:val="20"/>
                <w:color w:val="auto"/>
              </w:rPr>
            </w:pPr>
            <w:r>
              <w:rPr>
                <w:rFonts w:ascii="Arial" w:cs="Arial" w:eastAsia="Arial" w:hAnsi="Arial"/>
                <w:sz w:val="18"/>
                <w:szCs w:val="18"/>
                <w:color w:val="auto"/>
              </w:rPr>
              <w:t>Director</w:t>
            </w:r>
          </w:p>
        </w:tc>
        <w:tc>
          <w:tcPr>
            <w:tcW w:w="3900" w:type="dxa"/>
            <w:vAlign w:val="bottom"/>
            <w:gridSpan w:val="2"/>
          </w:tcPr>
          <w:p>
            <w:pPr>
              <w:ind w:left="540"/>
              <w:spacing w:after="0"/>
              <w:rPr>
                <w:sz w:val="20"/>
                <w:szCs w:val="20"/>
                <w:color w:val="auto"/>
              </w:rPr>
            </w:pPr>
            <w:r>
              <w:rPr>
                <w:rFonts w:ascii="Arial" w:cs="Arial" w:eastAsia="Arial" w:hAnsi="Arial"/>
                <w:sz w:val="18"/>
                <w:szCs w:val="18"/>
                <w:color w:val="auto"/>
              </w:rPr>
              <w:t>March 11, 2022</w:t>
            </w:r>
          </w:p>
        </w:tc>
        <w:tc>
          <w:tcPr>
            <w:tcW w:w="0" w:type="dxa"/>
            <w:vAlign w:val="bottom"/>
          </w:tcPr>
          <w:p>
            <w:pPr>
              <w:spacing w:after="0"/>
              <w:rPr>
                <w:sz w:val="1"/>
                <w:szCs w:val="1"/>
                <w:color w:val="auto"/>
              </w:rPr>
            </w:pPr>
          </w:p>
        </w:tc>
      </w:tr>
      <w:tr>
        <w:trPr>
          <w:trHeight w:val="228"/>
        </w:trPr>
        <w:tc>
          <w:tcPr>
            <w:tcW w:w="3360" w:type="dxa"/>
            <w:vAlign w:val="bottom"/>
          </w:tcPr>
          <w:p>
            <w:pPr>
              <w:spacing w:after="0"/>
              <w:rPr>
                <w:sz w:val="20"/>
                <w:szCs w:val="20"/>
                <w:color w:val="auto"/>
              </w:rPr>
            </w:pPr>
            <w:r>
              <w:rPr>
                <w:rFonts w:ascii="Arial" w:cs="Arial" w:eastAsia="Arial" w:hAnsi="Arial"/>
                <w:sz w:val="18"/>
                <w:szCs w:val="18"/>
                <w:b w:val="1"/>
                <w:bCs w:val="1"/>
                <w:color w:val="auto"/>
              </w:rPr>
              <w:t>Alan Edrick</w:t>
            </w:r>
          </w:p>
        </w:tc>
        <w:tc>
          <w:tcPr>
            <w:tcW w:w="540" w:type="dxa"/>
            <w:vAlign w:val="bottom"/>
          </w:tcPr>
          <w:p>
            <w:pPr>
              <w:spacing w:after="0"/>
              <w:rPr>
                <w:sz w:val="19"/>
                <w:szCs w:val="19"/>
                <w:color w:val="auto"/>
              </w:rPr>
            </w:pPr>
          </w:p>
        </w:tc>
        <w:tc>
          <w:tcPr>
            <w:tcW w:w="338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33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414"/>
        </w:trPr>
        <w:tc>
          <w:tcPr>
            <w:tcW w:w="336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THOMAS W. LOEWALD</w:t>
            </w:r>
          </w:p>
        </w:tc>
        <w:tc>
          <w:tcPr>
            <w:tcW w:w="540" w:type="dxa"/>
            <w:vAlign w:val="bottom"/>
          </w:tcPr>
          <w:p>
            <w:pPr>
              <w:spacing w:after="0"/>
              <w:rPr>
                <w:sz w:val="24"/>
                <w:szCs w:val="24"/>
                <w:color w:val="auto"/>
              </w:rPr>
            </w:pPr>
          </w:p>
        </w:tc>
        <w:tc>
          <w:tcPr>
            <w:tcW w:w="3380" w:type="dxa"/>
            <w:vAlign w:val="bottom"/>
          </w:tcPr>
          <w:p>
            <w:pPr>
              <w:ind w:left="120"/>
              <w:spacing w:after="0"/>
              <w:rPr>
                <w:sz w:val="20"/>
                <w:szCs w:val="20"/>
                <w:color w:val="auto"/>
              </w:rPr>
            </w:pPr>
            <w:r>
              <w:rPr>
                <w:rFonts w:ascii="Arial" w:cs="Arial" w:eastAsia="Arial" w:hAnsi="Arial"/>
                <w:sz w:val="18"/>
                <w:szCs w:val="18"/>
                <w:color w:val="auto"/>
              </w:rPr>
              <w:t>Director</w:t>
            </w:r>
          </w:p>
        </w:tc>
        <w:tc>
          <w:tcPr>
            <w:tcW w:w="3900" w:type="dxa"/>
            <w:vAlign w:val="bottom"/>
            <w:gridSpan w:val="2"/>
          </w:tcPr>
          <w:p>
            <w:pPr>
              <w:ind w:left="540"/>
              <w:spacing w:after="0"/>
              <w:rPr>
                <w:sz w:val="20"/>
                <w:szCs w:val="20"/>
                <w:color w:val="auto"/>
              </w:rPr>
            </w:pPr>
            <w:r>
              <w:rPr>
                <w:rFonts w:ascii="Arial" w:cs="Arial" w:eastAsia="Arial" w:hAnsi="Arial"/>
                <w:sz w:val="18"/>
                <w:szCs w:val="18"/>
                <w:color w:val="auto"/>
              </w:rPr>
              <w:t>March 11, 2022</w:t>
            </w:r>
          </w:p>
        </w:tc>
        <w:tc>
          <w:tcPr>
            <w:tcW w:w="0" w:type="dxa"/>
            <w:vAlign w:val="bottom"/>
          </w:tcPr>
          <w:p>
            <w:pPr>
              <w:spacing w:after="0"/>
              <w:rPr>
                <w:sz w:val="1"/>
                <w:szCs w:val="1"/>
                <w:color w:val="auto"/>
              </w:rPr>
            </w:pPr>
          </w:p>
        </w:tc>
      </w:tr>
      <w:tr>
        <w:trPr>
          <w:trHeight w:val="228"/>
        </w:trPr>
        <w:tc>
          <w:tcPr>
            <w:tcW w:w="3360" w:type="dxa"/>
            <w:vAlign w:val="bottom"/>
          </w:tcPr>
          <w:p>
            <w:pPr>
              <w:spacing w:after="0"/>
              <w:rPr>
                <w:sz w:val="20"/>
                <w:szCs w:val="20"/>
                <w:color w:val="auto"/>
              </w:rPr>
            </w:pPr>
            <w:r>
              <w:rPr>
                <w:rFonts w:ascii="Arial" w:cs="Arial" w:eastAsia="Arial" w:hAnsi="Arial"/>
                <w:sz w:val="18"/>
                <w:szCs w:val="18"/>
                <w:b w:val="1"/>
                <w:bCs w:val="1"/>
                <w:color w:val="auto"/>
              </w:rPr>
              <w:t>Thomas W. Loewald</w:t>
            </w:r>
          </w:p>
        </w:tc>
        <w:tc>
          <w:tcPr>
            <w:tcW w:w="540" w:type="dxa"/>
            <w:vAlign w:val="bottom"/>
          </w:tcPr>
          <w:p>
            <w:pPr>
              <w:spacing w:after="0"/>
              <w:rPr>
                <w:sz w:val="19"/>
                <w:szCs w:val="19"/>
                <w:color w:val="auto"/>
              </w:rPr>
            </w:pPr>
          </w:p>
        </w:tc>
        <w:tc>
          <w:tcPr>
            <w:tcW w:w="338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33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414"/>
        </w:trPr>
        <w:tc>
          <w:tcPr>
            <w:tcW w:w="336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BERTRAND LOY</w:t>
            </w:r>
          </w:p>
        </w:tc>
        <w:tc>
          <w:tcPr>
            <w:tcW w:w="540" w:type="dxa"/>
            <w:vAlign w:val="bottom"/>
          </w:tcPr>
          <w:p>
            <w:pPr>
              <w:spacing w:after="0"/>
              <w:rPr>
                <w:sz w:val="24"/>
                <w:szCs w:val="24"/>
                <w:color w:val="auto"/>
              </w:rPr>
            </w:pPr>
          </w:p>
        </w:tc>
        <w:tc>
          <w:tcPr>
            <w:tcW w:w="3380" w:type="dxa"/>
            <w:vAlign w:val="bottom"/>
          </w:tcPr>
          <w:p>
            <w:pPr>
              <w:ind w:left="120"/>
              <w:spacing w:after="0"/>
              <w:rPr>
                <w:sz w:val="20"/>
                <w:szCs w:val="20"/>
                <w:color w:val="auto"/>
              </w:rPr>
            </w:pPr>
            <w:r>
              <w:rPr>
                <w:rFonts w:ascii="Arial" w:cs="Arial" w:eastAsia="Arial" w:hAnsi="Arial"/>
                <w:sz w:val="18"/>
                <w:szCs w:val="18"/>
                <w:color w:val="auto"/>
              </w:rPr>
              <w:t>Director</w:t>
            </w:r>
          </w:p>
        </w:tc>
        <w:tc>
          <w:tcPr>
            <w:tcW w:w="3900" w:type="dxa"/>
            <w:vAlign w:val="bottom"/>
            <w:gridSpan w:val="2"/>
          </w:tcPr>
          <w:p>
            <w:pPr>
              <w:ind w:left="540"/>
              <w:spacing w:after="0"/>
              <w:rPr>
                <w:sz w:val="20"/>
                <w:szCs w:val="20"/>
                <w:color w:val="auto"/>
              </w:rPr>
            </w:pPr>
            <w:r>
              <w:rPr>
                <w:rFonts w:ascii="Arial" w:cs="Arial" w:eastAsia="Arial" w:hAnsi="Arial"/>
                <w:sz w:val="18"/>
                <w:szCs w:val="18"/>
                <w:color w:val="auto"/>
              </w:rPr>
              <w:t>March 11, 2022</w:t>
            </w:r>
          </w:p>
        </w:tc>
        <w:tc>
          <w:tcPr>
            <w:tcW w:w="0" w:type="dxa"/>
            <w:vAlign w:val="bottom"/>
          </w:tcPr>
          <w:p>
            <w:pPr>
              <w:spacing w:after="0"/>
              <w:rPr>
                <w:sz w:val="1"/>
                <w:szCs w:val="1"/>
                <w:color w:val="auto"/>
              </w:rPr>
            </w:pPr>
          </w:p>
        </w:tc>
      </w:tr>
      <w:tr>
        <w:trPr>
          <w:trHeight w:val="228"/>
        </w:trPr>
        <w:tc>
          <w:tcPr>
            <w:tcW w:w="3360" w:type="dxa"/>
            <w:vAlign w:val="bottom"/>
          </w:tcPr>
          <w:p>
            <w:pPr>
              <w:spacing w:after="0"/>
              <w:rPr>
                <w:sz w:val="20"/>
                <w:szCs w:val="20"/>
                <w:color w:val="auto"/>
              </w:rPr>
            </w:pPr>
            <w:r>
              <w:rPr>
                <w:rFonts w:ascii="Arial" w:cs="Arial" w:eastAsia="Arial" w:hAnsi="Arial"/>
                <w:sz w:val="18"/>
                <w:szCs w:val="18"/>
                <w:b w:val="1"/>
                <w:bCs w:val="1"/>
                <w:color w:val="auto"/>
              </w:rPr>
              <w:t>Bertrand Loy</w:t>
            </w:r>
          </w:p>
        </w:tc>
        <w:tc>
          <w:tcPr>
            <w:tcW w:w="540" w:type="dxa"/>
            <w:vAlign w:val="bottom"/>
          </w:tcPr>
          <w:p>
            <w:pPr>
              <w:spacing w:after="0"/>
              <w:rPr>
                <w:sz w:val="19"/>
                <w:szCs w:val="19"/>
                <w:color w:val="auto"/>
              </w:rPr>
            </w:pPr>
          </w:p>
        </w:tc>
        <w:tc>
          <w:tcPr>
            <w:tcW w:w="338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3360" w:type="dxa"/>
            <w:vAlign w:val="bottom"/>
          </w:tcPr>
          <w:p>
            <w:pPr>
              <w:spacing w:after="0"/>
              <w:rPr>
                <w:sz w:val="19"/>
                <w:szCs w:val="19"/>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2817495</wp:posOffset>
            </wp:positionV>
            <wp:extent cx="7132320" cy="17145"/>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61" w:name="page62"/>
    <w:bookmarkEnd w:id="61"/>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EXHIBIT INDEX</w:t>
      </w:r>
    </w:p>
    <w:p>
      <w:pPr>
        <w:spacing w:after="0" w:line="229" w:lineRule="exact"/>
        <w:rPr>
          <w:sz w:val="20"/>
          <w:szCs w:val="20"/>
          <w:color w:val="auto"/>
        </w:rPr>
      </w:pPr>
    </w:p>
    <w:p>
      <w:pPr>
        <w:ind w:left="160" w:firstLine="486"/>
        <w:spacing w:after="0" w:line="277" w:lineRule="auto"/>
        <w:rPr>
          <w:sz w:val="20"/>
          <w:szCs w:val="20"/>
          <w:color w:val="auto"/>
        </w:rPr>
      </w:pPr>
      <w:r>
        <w:rPr>
          <w:rFonts w:ascii="Arial" w:cs="Arial" w:eastAsia="Arial" w:hAnsi="Arial"/>
          <w:sz w:val="18"/>
          <w:szCs w:val="18"/>
          <w:color w:val="auto"/>
        </w:rPr>
        <w:t>The following exhibits are filed as part of this Annual Report on Form 10-K. Where such filing is made by incorporation by reference to a previously filed document, such document is identified.</w:t>
      </w:r>
    </w:p>
    <w:p>
      <w:pPr>
        <w:sectPr>
          <w:pgSz w:w="11900" w:h="16838" w:orient="portrait"/>
          <w:cols w:equalWidth="0" w:num="1">
            <w:col w:w="11240"/>
          </w:cols>
          <w:pgMar w:left="320" w:top="125" w:right="339" w:bottom="393" w:gutter="0" w:footer="0" w:header="0"/>
        </w:sectPr>
      </w:pPr>
    </w:p>
    <w:p>
      <w:pPr>
        <w:spacing w:after="0" w:line="153" w:lineRule="exact"/>
        <w:rPr>
          <w:sz w:val="20"/>
          <w:szCs w:val="20"/>
          <w:color w:val="auto"/>
        </w:rPr>
      </w:pPr>
    </w:p>
    <w:tbl>
      <w:tblPr>
        <w:tblLayout w:type="fixed"/>
        <w:tblInd w:w="300" w:type="dxa"/>
        <w:tblCellMar>
          <w:top w:w="0" w:type="dxa"/>
          <w:left w:w="0" w:type="dxa"/>
          <w:bottom w:w="0" w:type="dxa"/>
          <w:right w:w="0" w:type="dxa"/>
        </w:tblCellMar>
      </w:tblPr>
      <w:tr>
        <w:trPr>
          <w:trHeight w:val="207"/>
        </w:trPr>
        <w:tc>
          <w:tcPr>
            <w:tcW w:w="1080" w:type="dxa"/>
            <w:vAlign w:val="bottom"/>
            <w:gridSpan w:val="7"/>
          </w:tcPr>
          <w:p>
            <w:pPr>
              <w:ind w:left="20"/>
              <w:spacing w:after="0"/>
              <w:rPr>
                <w:sz w:val="20"/>
                <w:szCs w:val="20"/>
                <w:color w:val="auto"/>
              </w:rPr>
            </w:pPr>
            <w:r>
              <w:rPr>
                <w:rFonts w:ascii="Arial" w:cs="Arial" w:eastAsia="Arial" w:hAnsi="Arial"/>
                <w:sz w:val="18"/>
                <w:szCs w:val="18"/>
                <w:color w:val="auto"/>
              </w:rPr>
              <w:t>Exhibit</w:t>
            </w:r>
          </w:p>
        </w:tc>
        <w:tc>
          <w:tcPr>
            <w:tcW w:w="6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2840" w:type="dxa"/>
            <w:vAlign w:val="bottom"/>
            <w:gridSpan w:val="26"/>
          </w:tcPr>
          <w:p>
            <w:pPr>
              <w:spacing w:after="0"/>
              <w:rPr>
                <w:sz w:val="20"/>
                <w:szCs w:val="20"/>
                <w:color w:val="auto"/>
              </w:rPr>
            </w:pPr>
            <w:r>
              <w:rPr>
                <w:rFonts w:ascii="Arial" w:cs="Arial" w:eastAsia="Arial" w:hAnsi="Arial"/>
                <w:sz w:val="18"/>
                <w:szCs w:val="18"/>
                <w:color w:val="auto"/>
              </w:rPr>
              <w:t>Description</w:t>
            </w:r>
          </w:p>
        </w:tc>
      </w:tr>
      <w:tr>
        <w:trPr>
          <w:trHeight w:val="20"/>
        </w:trPr>
        <w:tc>
          <w:tcPr>
            <w:tcW w:w="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00" w:type="dxa"/>
            <w:vAlign w:val="bottom"/>
            <w:shd w:val="clear" w:color="auto" w:fill="000000"/>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360" w:type="dxa"/>
            <w:vAlign w:val="bottom"/>
            <w:shd w:val="clear" w:color="auto" w:fill="000000"/>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r>
        <w:trPr>
          <w:trHeight w:val="196"/>
        </w:trPr>
        <w:tc>
          <w:tcPr>
            <w:tcW w:w="380" w:type="dxa"/>
            <w:vAlign w:val="bottom"/>
            <w:gridSpan w:val="3"/>
          </w:tcPr>
          <w:p>
            <w:pPr>
              <w:jc w:val="center"/>
              <w:spacing w:after="0" w:line="196" w:lineRule="exact"/>
              <w:rPr>
                <w:rFonts w:ascii="Arial" w:cs="Arial" w:eastAsia="Arial" w:hAnsi="Arial"/>
                <w:sz w:val="18"/>
                <w:szCs w:val="18"/>
                <w:color w:val="0000EE"/>
                <w:w w:val="91"/>
              </w:rPr>
            </w:pPr>
            <w:hyperlink r:id="rId77">
              <w:r>
                <w:rPr>
                  <w:rFonts w:ascii="Arial" w:cs="Arial" w:eastAsia="Arial" w:hAnsi="Arial"/>
                  <w:sz w:val="18"/>
                  <w:szCs w:val="18"/>
                  <w:color w:val="0000EE"/>
                  <w:w w:val="91"/>
                </w:rPr>
                <w:t>2.</w:t>
              </w:r>
              <w:r>
                <w:rPr>
                  <w:rFonts w:ascii="Arial" w:cs="Arial" w:eastAsia="Arial" w:hAnsi="Arial"/>
                  <w:sz w:val="18"/>
                  <w:szCs w:val="18"/>
                  <w:u w:val="single" w:color="auto"/>
                  <w:color w:val="0000EE"/>
                  <w:w w:val="91"/>
                </w:rPr>
                <w:t>1§</w:t>
              </w:r>
            </w:hyperlink>
          </w:p>
        </w:tc>
        <w:tc>
          <w:tcPr>
            <w:tcW w:w="10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4820" w:type="dxa"/>
            <w:vAlign w:val="bottom"/>
            <w:gridSpan w:val="35"/>
          </w:tcPr>
          <w:p>
            <w:pPr>
              <w:spacing w:after="0" w:line="196" w:lineRule="exact"/>
              <w:rPr>
                <w:rFonts w:ascii="Arial" w:cs="Arial" w:eastAsia="Arial" w:hAnsi="Arial"/>
                <w:sz w:val="18"/>
                <w:szCs w:val="18"/>
                <w:color w:val="0000EE"/>
              </w:rPr>
            </w:pPr>
            <w:hyperlink r:id="rId77">
              <w:r>
                <w:rPr>
                  <w:rFonts w:ascii="Arial" w:cs="Arial" w:eastAsia="Arial" w:hAnsi="Arial"/>
                  <w:sz w:val="18"/>
                  <w:szCs w:val="18"/>
                  <w:color w:val="0000EE"/>
                </w:rPr>
                <w:t>Separation and Distribution Agreement between Harvard</w:t>
              </w:r>
            </w:hyperlink>
          </w:p>
        </w:tc>
      </w:tr>
      <w:tr>
        <w:trPr>
          <w:trHeight w:val="20"/>
        </w:trPr>
        <w:tc>
          <w:tcPr>
            <w:tcW w:w="40" w:type="dxa"/>
            <w:vAlign w:val="bottom"/>
          </w:tcPr>
          <w:p>
            <w:pPr>
              <w:spacing w:after="0" w:line="20" w:lineRule="exact"/>
              <w:rPr>
                <w:sz w:val="1"/>
                <w:szCs w:val="1"/>
                <w:color w:val="auto"/>
              </w:rPr>
            </w:pPr>
          </w:p>
        </w:tc>
        <w:tc>
          <w:tcPr>
            <w:tcW w:w="120" w:type="dxa"/>
            <w:vAlign w:val="bottom"/>
            <w:tcBorders>
              <w:right w:val="single" w:sz="8" w:color="0000EE"/>
            </w:tcBorders>
          </w:tcPr>
          <w:p>
            <w:pPr>
              <w:spacing w:after="0" w:line="20" w:lineRule="exact"/>
              <w:rPr>
                <w:sz w:val="1"/>
                <w:szCs w:val="1"/>
                <w:color w:val="auto"/>
              </w:rPr>
            </w:pPr>
          </w:p>
        </w:tc>
        <w:tc>
          <w:tcPr>
            <w:tcW w:w="220" w:type="dxa"/>
            <w:vAlign w:val="bottom"/>
            <w:shd w:val="clear" w:color="auto" w:fill="0000EE"/>
          </w:tcPr>
          <w:p>
            <w:pPr>
              <w:spacing w:after="0" w:line="20" w:lineRule="exact"/>
              <w:rPr>
                <w:sz w:val="1"/>
                <w:szCs w:val="1"/>
                <w:color w:val="auto"/>
              </w:rPr>
            </w:pPr>
          </w:p>
        </w:tc>
        <w:tc>
          <w:tcPr>
            <w:tcW w:w="100" w:type="dxa"/>
            <w:vAlign w:val="bottom"/>
            <w:tcBorders>
              <w:left w:val="single" w:sz="8" w:color="0000EE"/>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68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200" w:type="dxa"/>
            <w:vAlign w:val="bottom"/>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260" w:type="dxa"/>
            <w:vAlign w:val="bottom"/>
            <w:shd w:val="clear" w:color="auto" w:fill="0000EE"/>
          </w:tcPr>
          <w:p>
            <w:pPr>
              <w:spacing w:after="0" w:line="20" w:lineRule="exact"/>
              <w:rPr>
                <w:sz w:val="1"/>
                <w:szCs w:val="1"/>
                <w:color w:val="auto"/>
              </w:rPr>
            </w:pPr>
          </w:p>
        </w:tc>
        <w:tc>
          <w:tcPr>
            <w:tcW w:w="320" w:type="dxa"/>
            <w:vAlign w:val="bottom"/>
            <w:shd w:val="clear" w:color="auto" w:fill="0000EE"/>
          </w:tcPr>
          <w:p>
            <w:pPr>
              <w:spacing w:after="0" w:line="20" w:lineRule="exact"/>
              <w:rPr>
                <w:sz w:val="1"/>
                <w:szCs w:val="1"/>
                <w:color w:val="auto"/>
              </w:rPr>
            </w:pPr>
          </w:p>
        </w:tc>
        <w:tc>
          <w:tcPr>
            <w:tcW w:w="560" w:type="dxa"/>
            <w:vAlign w:val="bottom"/>
            <w:gridSpan w:val="2"/>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660" w:type="dxa"/>
            <w:vAlign w:val="bottom"/>
            <w:gridSpan w:val="2"/>
            <w:shd w:val="clear" w:color="auto" w:fill="0000EE"/>
          </w:tcPr>
          <w:p>
            <w:pPr>
              <w:spacing w:after="0" w:line="20" w:lineRule="exact"/>
              <w:rPr>
                <w:sz w:val="1"/>
                <w:szCs w:val="1"/>
                <w:color w:val="auto"/>
              </w:rPr>
            </w:pPr>
          </w:p>
        </w:tc>
        <w:tc>
          <w:tcPr>
            <w:tcW w:w="180" w:type="dxa"/>
            <w:vAlign w:val="bottom"/>
            <w:tcBorders>
              <w:right w:val="single" w:sz="8" w:color="0000EE"/>
            </w:tcBorders>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360" w:type="dxa"/>
            <w:vAlign w:val="bottom"/>
            <w:shd w:val="clear" w:color="auto" w:fill="0000EE"/>
          </w:tcPr>
          <w:p>
            <w:pPr>
              <w:spacing w:after="0" w:line="20" w:lineRule="exact"/>
              <w:rPr>
                <w:sz w:val="1"/>
                <w:szCs w:val="1"/>
                <w:color w:val="auto"/>
              </w:rPr>
            </w:pPr>
          </w:p>
        </w:tc>
        <w:tc>
          <w:tcPr>
            <w:tcW w:w="320" w:type="dxa"/>
            <w:vAlign w:val="bottom"/>
            <w:shd w:val="clear" w:color="auto" w:fill="0000EE"/>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r>
        <w:trPr>
          <w:trHeight w:val="196"/>
        </w:trPr>
        <w:tc>
          <w:tcPr>
            <w:tcW w:w="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4360" w:type="dxa"/>
            <w:vAlign w:val="bottom"/>
            <w:tcBorders>
              <w:bottom w:val="single" w:sz="8" w:color="0000EE"/>
            </w:tcBorders>
            <w:gridSpan w:val="23"/>
          </w:tcPr>
          <w:p>
            <w:pPr>
              <w:spacing w:after="0" w:line="196" w:lineRule="exact"/>
              <w:rPr>
                <w:rFonts w:ascii="Arial" w:cs="Arial" w:eastAsia="Arial" w:hAnsi="Arial"/>
                <w:sz w:val="18"/>
                <w:szCs w:val="18"/>
                <w:color w:val="0000EE"/>
                <w:w w:val="91"/>
              </w:rPr>
            </w:pPr>
            <w:hyperlink r:id="rId77">
              <w:r>
                <w:rPr>
                  <w:rFonts w:ascii="Arial" w:cs="Arial" w:eastAsia="Arial" w:hAnsi="Arial"/>
                  <w:sz w:val="18"/>
                  <w:szCs w:val="18"/>
                  <w:color w:val="0000EE"/>
                  <w:w w:val="91"/>
                </w:rPr>
                <w:t>Bioscience, Inc. and Biostage, Inc. (f/k/a Harvard Apparatus</w:t>
              </w:r>
            </w:hyperlink>
          </w:p>
        </w:tc>
        <w:tc>
          <w:tcPr>
            <w:tcW w:w="460" w:type="dxa"/>
            <w:vAlign w:val="bottom"/>
            <w:gridSpan w:val="12"/>
          </w:tcPr>
          <w:p>
            <w:pPr>
              <w:spacing w:after="0"/>
              <w:rPr>
                <w:sz w:val="17"/>
                <w:szCs w:val="17"/>
                <w:color w:val="auto"/>
              </w:rPr>
            </w:pPr>
          </w:p>
        </w:tc>
      </w:tr>
      <w:tr>
        <w:trPr>
          <w:trHeight w:val="196"/>
        </w:trPr>
        <w:tc>
          <w:tcPr>
            <w:tcW w:w="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4420" w:type="dxa"/>
            <w:vAlign w:val="bottom"/>
            <w:tcBorders>
              <w:bottom w:val="single" w:sz="8" w:color="0000EE"/>
            </w:tcBorders>
            <w:gridSpan w:val="25"/>
          </w:tcPr>
          <w:p>
            <w:pPr>
              <w:spacing w:after="0" w:line="196" w:lineRule="exact"/>
              <w:rPr>
                <w:rFonts w:ascii="Arial" w:cs="Arial" w:eastAsia="Arial" w:hAnsi="Arial"/>
                <w:sz w:val="18"/>
                <w:szCs w:val="18"/>
                <w:color w:val="0000EE"/>
                <w:w w:val="89"/>
              </w:rPr>
            </w:pPr>
            <w:hyperlink r:id="rId77">
              <w:r>
                <w:rPr>
                  <w:rFonts w:ascii="Arial" w:cs="Arial" w:eastAsia="Arial" w:hAnsi="Arial"/>
                  <w:sz w:val="18"/>
                  <w:szCs w:val="18"/>
                  <w:color w:val="0000EE"/>
                  <w:w w:val="89"/>
                </w:rPr>
                <w:t>Regenerative Technology, Inc.) dated as of October 31, 2013.</w:t>
              </w:r>
            </w:hyperlink>
          </w:p>
        </w:tc>
        <w:tc>
          <w:tcPr>
            <w:tcW w:w="400" w:type="dxa"/>
            <w:vAlign w:val="bottom"/>
            <w:gridSpan w:val="10"/>
          </w:tcPr>
          <w:p>
            <w:pPr>
              <w:spacing w:after="0"/>
              <w:rPr>
                <w:sz w:val="17"/>
                <w:szCs w:val="17"/>
                <w:color w:val="auto"/>
              </w:rPr>
            </w:pPr>
          </w:p>
        </w:tc>
      </w:tr>
      <w:tr>
        <w:trPr>
          <w:trHeight w:val="196"/>
        </w:trPr>
        <w:tc>
          <w:tcPr>
            <w:tcW w:w="160" w:type="dxa"/>
            <w:vAlign w:val="bottom"/>
            <w:gridSpan w:val="2"/>
          </w:tcPr>
          <w:p>
            <w:pPr>
              <w:spacing w:after="0"/>
              <w:rPr>
                <w:sz w:val="17"/>
                <w:szCs w:val="17"/>
                <w:color w:val="auto"/>
              </w:rPr>
            </w:pPr>
          </w:p>
        </w:tc>
        <w:tc>
          <w:tcPr>
            <w:tcW w:w="220" w:type="dxa"/>
            <w:vAlign w:val="bottom"/>
            <w:tcBorders>
              <w:bottom w:val="single" w:sz="8" w:color="0000EE"/>
            </w:tcBorders>
          </w:tcPr>
          <w:p>
            <w:pPr>
              <w:jc w:val="center"/>
              <w:spacing w:after="0" w:line="196" w:lineRule="exact"/>
              <w:rPr>
                <w:rFonts w:ascii="Arial" w:cs="Arial" w:eastAsia="Arial" w:hAnsi="Arial"/>
                <w:sz w:val="18"/>
                <w:szCs w:val="18"/>
                <w:color w:val="0000EE"/>
                <w:w w:val="87"/>
              </w:rPr>
            </w:pPr>
            <w:hyperlink r:id="rId78">
              <w:r>
                <w:rPr>
                  <w:rFonts w:ascii="Arial" w:cs="Arial" w:eastAsia="Arial" w:hAnsi="Arial"/>
                  <w:sz w:val="18"/>
                  <w:szCs w:val="18"/>
                  <w:color w:val="0000EE"/>
                  <w:w w:val="87"/>
                </w:rPr>
                <w:t>3.</w:t>
              </w:r>
              <w:r>
                <w:rPr>
                  <w:rFonts w:ascii="Arial" w:cs="Arial" w:eastAsia="Arial" w:hAnsi="Arial"/>
                  <w:sz w:val="18"/>
                  <w:szCs w:val="18"/>
                  <w:u w:val="single" w:color="auto"/>
                  <w:color w:val="0000EE"/>
                  <w:w w:val="87"/>
                </w:rPr>
                <w:t>1</w:t>
              </w:r>
            </w:hyperlink>
          </w:p>
        </w:tc>
        <w:tc>
          <w:tcPr>
            <w:tcW w:w="10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4480" w:type="dxa"/>
            <w:vAlign w:val="bottom"/>
            <w:tcBorders>
              <w:bottom w:val="single" w:sz="8" w:color="0000EE"/>
            </w:tcBorders>
            <w:gridSpan w:val="27"/>
          </w:tcPr>
          <w:p>
            <w:pPr>
              <w:spacing w:after="0" w:line="196" w:lineRule="exact"/>
              <w:rPr>
                <w:rFonts w:ascii="Arial" w:cs="Arial" w:eastAsia="Arial" w:hAnsi="Arial"/>
                <w:sz w:val="18"/>
                <w:szCs w:val="18"/>
                <w:color w:val="0000EE"/>
                <w:w w:val="90"/>
              </w:rPr>
            </w:pPr>
            <w:hyperlink r:id="rId78">
              <w:r>
                <w:rPr>
                  <w:rFonts w:ascii="Arial" w:cs="Arial" w:eastAsia="Arial" w:hAnsi="Arial"/>
                  <w:sz w:val="18"/>
                  <w:szCs w:val="18"/>
                  <w:color w:val="0000EE"/>
                  <w:w w:val="90"/>
                </w:rPr>
                <w:t>Second Amended and Restated Certificate of Incorporation of</w:t>
              </w:r>
            </w:hyperlink>
          </w:p>
        </w:tc>
        <w:tc>
          <w:tcPr>
            <w:tcW w:w="340" w:type="dxa"/>
            <w:vAlign w:val="bottom"/>
            <w:gridSpan w:val="8"/>
          </w:tcPr>
          <w:p>
            <w:pPr>
              <w:spacing w:after="0"/>
              <w:rPr>
                <w:sz w:val="17"/>
                <w:szCs w:val="17"/>
                <w:color w:val="auto"/>
              </w:rPr>
            </w:pPr>
          </w:p>
        </w:tc>
      </w:tr>
      <w:tr>
        <w:trPr>
          <w:trHeight w:val="196"/>
        </w:trPr>
        <w:tc>
          <w:tcPr>
            <w:tcW w:w="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1820" w:type="dxa"/>
            <w:vAlign w:val="bottom"/>
            <w:tcBorders>
              <w:bottom w:val="single" w:sz="8" w:color="0000EE"/>
            </w:tcBorders>
            <w:gridSpan w:val="8"/>
          </w:tcPr>
          <w:p>
            <w:pPr>
              <w:spacing w:after="0" w:line="196" w:lineRule="exact"/>
              <w:rPr>
                <w:rFonts w:ascii="Arial" w:cs="Arial" w:eastAsia="Arial" w:hAnsi="Arial"/>
                <w:sz w:val="18"/>
                <w:szCs w:val="18"/>
                <w:color w:val="0000EE"/>
                <w:w w:val="92"/>
              </w:rPr>
            </w:pPr>
            <w:hyperlink r:id="rId78">
              <w:r>
                <w:rPr>
                  <w:rFonts w:ascii="Arial" w:cs="Arial" w:eastAsia="Arial" w:hAnsi="Arial"/>
                  <w:sz w:val="18"/>
                  <w:szCs w:val="18"/>
                  <w:color w:val="0000EE"/>
                  <w:w w:val="92"/>
                </w:rPr>
                <w:t>Harvard Bioscience, Inc.</w:t>
              </w:r>
            </w:hyperlink>
          </w:p>
        </w:tc>
        <w:tc>
          <w:tcPr>
            <w:tcW w:w="3000" w:type="dxa"/>
            <w:vAlign w:val="bottom"/>
            <w:gridSpan w:val="27"/>
          </w:tcPr>
          <w:p>
            <w:pPr>
              <w:spacing w:after="0"/>
              <w:rPr>
                <w:sz w:val="17"/>
                <w:szCs w:val="17"/>
                <w:color w:val="auto"/>
              </w:rPr>
            </w:pPr>
          </w:p>
        </w:tc>
      </w:tr>
      <w:tr>
        <w:trPr>
          <w:trHeight w:val="412"/>
        </w:trPr>
        <w:tc>
          <w:tcPr>
            <w:tcW w:w="160" w:type="dxa"/>
            <w:vAlign w:val="bottom"/>
            <w:gridSpan w:val="2"/>
          </w:tcPr>
          <w:p>
            <w:pPr>
              <w:spacing w:after="0"/>
              <w:rPr>
                <w:sz w:val="24"/>
                <w:szCs w:val="24"/>
                <w:color w:val="auto"/>
              </w:rPr>
            </w:pPr>
          </w:p>
        </w:tc>
        <w:tc>
          <w:tcPr>
            <w:tcW w:w="220" w:type="dxa"/>
            <w:vAlign w:val="bottom"/>
            <w:tcBorders>
              <w:bottom w:val="single" w:sz="8" w:color="0000EE"/>
            </w:tcBorders>
          </w:tcPr>
          <w:p>
            <w:pPr>
              <w:jc w:val="center"/>
              <w:spacing w:after="0"/>
              <w:rPr>
                <w:rFonts w:ascii="Arial" w:cs="Arial" w:eastAsia="Arial" w:hAnsi="Arial"/>
                <w:sz w:val="18"/>
                <w:szCs w:val="18"/>
                <w:color w:val="0000EE"/>
                <w:w w:val="87"/>
              </w:rPr>
            </w:pPr>
            <w:hyperlink r:id="rId79">
              <w:r>
                <w:rPr>
                  <w:rFonts w:ascii="Arial" w:cs="Arial" w:eastAsia="Arial" w:hAnsi="Arial"/>
                  <w:sz w:val="18"/>
                  <w:szCs w:val="18"/>
                  <w:color w:val="0000EE"/>
                  <w:w w:val="87"/>
                </w:rPr>
                <w:t>3.</w:t>
              </w:r>
              <w:r>
                <w:rPr>
                  <w:rFonts w:ascii="Arial" w:cs="Arial" w:eastAsia="Arial" w:hAnsi="Arial"/>
                  <w:sz w:val="18"/>
                  <w:szCs w:val="18"/>
                  <w:u w:val="single" w:color="auto"/>
                  <w:color w:val="0000EE"/>
                  <w:w w:val="87"/>
                </w:rPr>
                <w:t>2</w:t>
              </w:r>
            </w:hyperlink>
          </w:p>
        </w:tc>
        <w:tc>
          <w:tcPr>
            <w:tcW w:w="1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4340" w:type="dxa"/>
            <w:vAlign w:val="bottom"/>
            <w:tcBorders>
              <w:bottom w:val="single" w:sz="8" w:color="0000EE"/>
            </w:tcBorders>
            <w:gridSpan w:val="22"/>
          </w:tcPr>
          <w:p>
            <w:pPr>
              <w:spacing w:after="0"/>
              <w:rPr>
                <w:rFonts w:ascii="Arial" w:cs="Arial" w:eastAsia="Arial" w:hAnsi="Arial"/>
                <w:sz w:val="18"/>
                <w:szCs w:val="18"/>
                <w:color w:val="0000EE"/>
                <w:w w:val="90"/>
              </w:rPr>
            </w:pPr>
            <w:hyperlink r:id="rId79">
              <w:r>
                <w:rPr>
                  <w:rFonts w:ascii="Arial" w:cs="Arial" w:eastAsia="Arial" w:hAnsi="Arial"/>
                  <w:sz w:val="18"/>
                  <w:szCs w:val="18"/>
                  <w:color w:val="0000EE"/>
                  <w:w w:val="90"/>
                </w:rPr>
                <w:t>Amended and Restated By-laws of Harvard Bioscience, Inc.</w:t>
              </w:r>
            </w:hyperlink>
          </w:p>
        </w:tc>
        <w:tc>
          <w:tcPr>
            <w:tcW w:w="480" w:type="dxa"/>
            <w:vAlign w:val="bottom"/>
            <w:gridSpan w:val="13"/>
          </w:tcPr>
          <w:p>
            <w:pPr>
              <w:spacing w:after="0"/>
              <w:rPr>
                <w:sz w:val="24"/>
                <w:szCs w:val="24"/>
                <w:color w:val="auto"/>
              </w:rPr>
            </w:pPr>
          </w:p>
        </w:tc>
      </w:tr>
      <w:tr>
        <w:trPr>
          <w:trHeight w:val="628"/>
        </w:trPr>
        <w:tc>
          <w:tcPr>
            <w:tcW w:w="160" w:type="dxa"/>
            <w:vAlign w:val="bottom"/>
            <w:gridSpan w:val="2"/>
          </w:tcPr>
          <w:p>
            <w:pPr>
              <w:spacing w:after="0"/>
              <w:rPr>
                <w:sz w:val="24"/>
                <w:szCs w:val="24"/>
                <w:color w:val="auto"/>
              </w:rPr>
            </w:pPr>
          </w:p>
        </w:tc>
        <w:tc>
          <w:tcPr>
            <w:tcW w:w="220" w:type="dxa"/>
            <w:vAlign w:val="bottom"/>
            <w:tcBorders>
              <w:bottom w:val="single" w:sz="8" w:color="0000EE"/>
            </w:tcBorders>
          </w:tcPr>
          <w:p>
            <w:pPr>
              <w:jc w:val="center"/>
              <w:spacing w:after="0"/>
              <w:rPr>
                <w:rFonts w:ascii="Arial" w:cs="Arial" w:eastAsia="Arial" w:hAnsi="Arial"/>
                <w:sz w:val="18"/>
                <w:szCs w:val="18"/>
                <w:color w:val="0000EE"/>
                <w:w w:val="87"/>
              </w:rPr>
            </w:pPr>
            <w:hyperlink r:id="rId80">
              <w:r>
                <w:rPr>
                  <w:rFonts w:ascii="Arial" w:cs="Arial" w:eastAsia="Arial" w:hAnsi="Arial"/>
                  <w:sz w:val="18"/>
                  <w:szCs w:val="18"/>
                  <w:color w:val="0000EE"/>
                  <w:w w:val="87"/>
                </w:rPr>
                <w:t>3.</w:t>
              </w:r>
              <w:r>
                <w:rPr>
                  <w:rFonts w:ascii="Arial" w:cs="Arial" w:eastAsia="Arial" w:hAnsi="Arial"/>
                  <w:sz w:val="18"/>
                  <w:szCs w:val="18"/>
                  <w:u w:val="single" w:color="auto"/>
                  <w:color w:val="0000EE"/>
                  <w:w w:val="87"/>
                </w:rPr>
                <w:t>3</w:t>
              </w:r>
            </w:hyperlink>
          </w:p>
        </w:tc>
        <w:tc>
          <w:tcPr>
            <w:tcW w:w="1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4640" w:type="dxa"/>
            <w:vAlign w:val="bottom"/>
            <w:tcBorders>
              <w:bottom w:val="single" w:sz="8" w:color="0000EE"/>
            </w:tcBorders>
            <w:gridSpan w:val="31"/>
          </w:tcPr>
          <w:p>
            <w:pPr>
              <w:spacing w:after="0"/>
              <w:rPr>
                <w:rFonts w:ascii="Arial" w:cs="Arial" w:eastAsia="Arial" w:hAnsi="Arial"/>
                <w:sz w:val="18"/>
                <w:szCs w:val="18"/>
                <w:color w:val="0000EE"/>
                <w:w w:val="90"/>
              </w:rPr>
            </w:pPr>
            <w:hyperlink r:id="rId80">
              <w:r>
                <w:rPr>
                  <w:rFonts w:ascii="Arial" w:cs="Arial" w:eastAsia="Arial" w:hAnsi="Arial"/>
                  <w:sz w:val="18"/>
                  <w:szCs w:val="18"/>
                  <w:color w:val="0000EE"/>
                  <w:w w:val="90"/>
                </w:rPr>
                <w:t>Amendment No. 1 to Amended and Restated Bylaws of Harvard</w:t>
              </w:r>
            </w:hyperlink>
          </w:p>
        </w:tc>
        <w:tc>
          <w:tcPr>
            <w:tcW w:w="180" w:type="dxa"/>
            <w:vAlign w:val="bottom"/>
            <w:gridSpan w:val="4"/>
          </w:tcPr>
          <w:p>
            <w:pPr>
              <w:spacing w:after="0"/>
              <w:rPr>
                <w:sz w:val="24"/>
                <w:szCs w:val="24"/>
                <w:color w:val="auto"/>
              </w:rPr>
            </w:pPr>
          </w:p>
        </w:tc>
      </w:tr>
      <w:tr>
        <w:trPr>
          <w:trHeight w:val="196"/>
        </w:trPr>
        <w:tc>
          <w:tcPr>
            <w:tcW w:w="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3420" w:type="dxa"/>
            <w:vAlign w:val="bottom"/>
            <w:tcBorders>
              <w:bottom w:val="single" w:sz="8" w:color="0000EE"/>
            </w:tcBorders>
            <w:gridSpan w:val="16"/>
          </w:tcPr>
          <w:p>
            <w:pPr>
              <w:spacing w:after="0" w:line="196" w:lineRule="exact"/>
              <w:rPr>
                <w:rFonts w:ascii="Arial" w:cs="Arial" w:eastAsia="Arial" w:hAnsi="Arial"/>
                <w:sz w:val="18"/>
                <w:szCs w:val="18"/>
                <w:color w:val="0000EE"/>
                <w:w w:val="89"/>
              </w:rPr>
            </w:pPr>
            <w:hyperlink r:id="rId80">
              <w:r>
                <w:rPr>
                  <w:rFonts w:ascii="Arial" w:cs="Arial" w:eastAsia="Arial" w:hAnsi="Arial"/>
                  <w:sz w:val="18"/>
                  <w:szCs w:val="18"/>
                  <w:color w:val="0000EE"/>
                  <w:w w:val="89"/>
                </w:rPr>
                <w:t>Bioscience, Inc. (as adopted October 30, 2007).</w:t>
              </w:r>
            </w:hyperlink>
          </w:p>
        </w:tc>
        <w:tc>
          <w:tcPr>
            <w:tcW w:w="1400" w:type="dxa"/>
            <w:vAlign w:val="bottom"/>
            <w:gridSpan w:val="19"/>
          </w:tcPr>
          <w:p>
            <w:pPr>
              <w:spacing w:after="0"/>
              <w:rPr>
                <w:sz w:val="17"/>
                <w:szCs w:val="17"/>
                <w:color w:val="auto"/>
              </w:rPr>
            </w:pPr>
          </w:p>
        </w:tc>
      </w:tr>
      <w:tr>
        <w:trPr>
          <w:trHeight w:val="412"/>
        </w:trPr>
        <w:tc>
          <w:tcPr>
            <w:tcW w:w="160" w:type="dxa"/>
            <w:vAlign w:val="bottom"/>
            <w:gridSpan w:val="2"/>
          </w:tcPr>
          <w:p>
            <w:pPr>
              <w:spacing w:after="0"/>
              <w:rPr>
                <w:sz w:val="24"/>
                <w:szCs w:val="24"/>
                <w:color w:val="auto"/>
              </w:rPr>
            </w:pPr>
          </w:p>
        </w:tc>
        <w:tc>
          <w:tcPr>
            <w:tcW w:w="220" w:type="dxa"/>
            <w:vAlign w:val="bottom"/>
            <w:tcBorders>
              <w:bottom w:val="single" w:sz="8" w:color="0000EE"/>
            </w:tcBorders>
          </w:tcPr>
          <w:p>
            <w:pPr>
              <w:jc w:val="center"/>
              <w:spacing w:after="0"/>
              <w:rPr>
                <w:rFonts w:ascii="Arial" w:cs="Arial" w:eastAsia="Arial" w:hAnsi="Arial"/>
                <w:sz w:val="18"/>
                <w:szCs w:val="18"/>
                <w:color w:val="0000EE"/>
                <w:w w:val="87"/>
              </w:rPr>
            </w:pPr>
            <w:hyperlink r:id="rId81">
              <w:r>
                <w:rPr>
                  <w:rFonts w:ascii="Arial" w:cs="Arial" w:eastAsia="Arial" w:hAnsi="Arial"/>
                  <w:sz w:val="18"/>
                  <w:szCs w:val="18"/>
                  <w:color w:val="0000EE"/>
                  <w:w w:val="87"/>
                </w:rPr>
                <w:t>4.</w:t>
              </w:r>
              <w:r>
                <w:rPr>
                  <w:rFonts w:ascii="Arial" w:cs="Arial" w:eastAsia="Arial" w:hAnsi="Arial"/>
                  <w:sz w:val="18"/>
                  <w:szCs w:val="18"/>
                  <w:u w:val="single" w:color="auto"/>
                  <w:color w:val="0000EE"/>
                  <w:w w:val="87"/>
                </w:rPr>
                <w:t>1</w:t>
              </w:r>
            </w:hyperlink>
          </w:p>
        </w:tc>
        <w:tc>
          <w:tcPr>
            <w:tcW w:w="1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4360" w:type="dxa"/>
            <w:vAlign w:val="bottom"/>
            <w:tcBorders>
              <w:bottom w:val="single" w:sz="8" w:color="0000EE"/>
            </w:tcBorders>
            <w:gridSpan w:val="23"/>
          </w:tcPr>
          <w:p>
            <w:pPr>
              <w:spacing w:after="0"/>
              <w:rPr>
                <w:rFonts w:ascii="Arial" w:cs="Arial" w:eastAsia="Arial" w:hAnsi="Arial"/>
                <w:sz w:val="18"/>
                <w:szCs w:val="18"/>
                <w:color w:val="0000EE"/>
                <w:w w:val="90"/>
              </w:rPr>
            </w:pPr>
            <w:hyperlink r:id="rId81">
              <w:r>
                <w:rPr>
                  <w:rFonts w:ascii="Arial" w:cs="Arial" w:eastAsia="Arial" w:hAnsi="Arial"/>
                  <w:sz w:val="18"/>
                  <w:szCs w:val="18"/>
                  <w:color w:val="0000EE"/>
                  <w:w w:val="90"/>
                </w:rPr>
                <w:t xml:space="preserve">Specimen certificate for shares of Common Stock, </w:t>
              </w:r>
              <w:r>
                <w:rPr>
                  <w:rFonts w:ascii="Arial" w:cs="Arial" w:eastAsia="Arial" w:hAnsi="Arial"/>
                  <w:sz w:val="18"/>
                  <w:szCs w:val="18"/>
                  <w:u w:val="single" w:color="auto"/>
                  <w:color w:val="0000EE"/>
                  <w:w w:val="90"/>
                </w:rPr>
                <w:t>$</w:t>
              </w:r>
              <w:r>
                <w:rPr>
                  <w:rFonts w:ascii="Arial" w:cs="Arial" w:eastAsia="Arial" w:hAnsi="Arial"/>
                  <w:sz w:val="18"/>
                  <w:szCs w:val="18"/>
                  <w:color w:val="0000EE"/>
                  <w:w w:val="90"/>
                </w:rPr>
                <w:t>0.01 par</w:t>
              </w:r>
            </w:hyperlink>
          </w:p>
        </w:tc>
        <w:tc>
          <w:tcPr>
            <w:tcW w:w="460" w:type="dxa"/>
            <w:vAlign w:val="bottom"/>
            <w:gridSpan w:val="12"/>
          </w:tcPr>
          <w:p>
            <w:pPr>
              <w:spacing w:after="0"/>
              <w:rPr>
                <w:sz w:val="24"/>
                <w:szCs w:val="24"/>
                <w:color w:val="auto"/>
              </w:rPr>
            </w:pPr>
          </w:p>
        </w:tc>
      </w:tr>
      <w:tr>
        <w:trPr>
          <w:trHeight w:val="196"/>
        </w:trPr>
        <w:tc>
          <w:tcPr>
            <w:tcW w:w="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2460" w:type="dxa"/>
            <w:vAlign w:val="bottom"/>
            <w:tcBorders>
              <w:bottom w:val="single" w:sz="8" w:color="0000EE"/>
            </w:tcBorders>
            <w:gridSpan w:val="11"/>
          </w:tcPr>
          <w:p>
            <w:pPr>
              <w:spacing w:after="0" w:line="196" w:lineRule="exact"/>
              <w:rPr>
                <w:rFonts w:ascii="Arial" w:cs="Arial" w:eastAsia="Arial" w:hAnsi="Arial"/>
                <w:sz w:val="18"/>
                <w:szCs w:val="18"/>
                <w:color w:val="0000EE"/>
                <w:w w:val="90"/>
              </w:rPr>
            </w:pPr>
            <w:hyperlink r:id="rId81">
              <w:r>
                <w:rPr>
                  <w:rFonts w:ascii="Arial" w:cs="Arial" w:eastAsia="Arial" w:hAnsi="Arial"/>
                  <w:sz w:val="18"/>
                  <w:szCs w:val="18"/>
                  <w:color w:val="0000EE"/>
                  <w:w w:val="90"/>
                </w:rPr>
                <w:t>value, of Harvard Bioscience, Inc.</w:t>
              </w:r>
            </w:hyperlink>
          </w:p>
        </w:tc>
        <w:tc>
          <w:tcPr>
            <w:tcW w:w="2360" w:type="dxa"/>
            <w:vAlign w:val="bottom"/>
            <w:gridSpan w:val="24"/>
          </w:tcPr>
          <w:p>
            <w:pPr>
              <w:spacing w:after="0"/>
              <w:rPr>
                <w:sz w:val="17"/>
                <w:szCs w:val="17"/>
                <w:color w:val="auto"/>
              </w:rPr>
            </w:pPr>
          </w:p>
        </w:tc>
      </w:tr>
      <w:tr>
        <w:trPr>
          <w:trHeight w:val="412"/>
        </w:trPr>
        <w:tc>
          <w:tcPr>
            <w:tcW w:w="160" w:type="dxa"/>
            <w:vAlign w:val="bottom"/>
            <w:gridSpan w:val="2"/>
          </w:tcPr>
          <w:p>
            <w:pPr>
              <w:spacing w:after="0"/>
              <w:rPr>
                <w:sz w:val="24"/>
                <w:szCs w:val="24"/>
                <w:color w:val="auto"/>
              </w:rPr>
            </w:pPr>
          </w:p>
        </w:tc>
        <w:tc>
          <w:tcPr>
            <w:tcW w:w="220" w:type="dxa"/>
            <w:vAlign w:val="bottom"/>
          </w:tcPr>
          <w:p>
            <w:pPr>
              <w:jc w:val="center"/>
              <w:spacing w:after="0"/>
              <w:rPr>
                <w:rFonts w:ascii="Arial" w:cs="Arial" w:eastAsia="Arial" w:hAnsi="Arial"/>
                <w:sz w:val="18"/>
                <w:szCs w:val="18"/>
                <w:color w:val="0000EE"/>
                <w:w w:val="87"/>
              </w:rPr>
            </w:pPr>
            <w:hyperlink r:id="rId82">
              <w:r>
                <w:rPr>
                  <w:rFonts w:ascii="Arial" w:cs="Arial" w:eastAsia="Arial" w:hAnsi="Arial"/>
                  <w:sz w:val="18"/>
                  <w:szCs w:val="18"/>
                  <w:color w:val="0000EE"/>
                  <w:w w:val="87"/>
                </w:rPr>
                <w:t>4.</w:t>
              </w:r>
              <w:r>
                <w:rPr>
                  <w:rFonts w:ascii="Arial" w:cs="Arial" w:eastAsia="Arial" w:hAnsi="Arial"/>
                  <w:sz w:val="18"/>
                  <w:szCs w:val="18"/>
                  <w:u w:val="single" w:color="auto"/>
                  <w:color w:val="0000EE"/>
                  <w:w w:val="87"/>
                </w:rPr>
                <w:t>2</w:t>
              </w:r>
            </w:hyperlink>
          </w:p>
        </w:tc>
        <w:tc>
          <w:tcPr>
            <w:tcW w:w="1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4820" w:type="dxa"/>
            <w:vAlign w:val="bottom"/>
            <w:gridSpan w:val="35"/>
          </w:tcPr>
          <w:p>
            <w:pPr>
              <w:spacing w:after="0"/>
              <w:rPr>
                <w:rFonts w:ascii="Arial" w:cs="Arial" w:eastAsia="Arial" w:hAnsi="Arial"/>
                <w:sz w:val="18"/>
                <w:szCs w:val="18"/>
                <w:color w:val="0000EE"/>
              </w:rPr>
            </w:pPr>
            <w:hyperlink r:id="rId82">
              <w:r>
                <w:rPr>
                  <w:rFonts w:ascii="Arial" w:cs="Arial" w:eastAsia="Arial" w:hAnsi="Arial"/>
                  <w:sz w:val="18"/>
                  <w:szCs w:val="18"/>
                  <w:color w:val="0000EE"/>
                </w:rPr>
                <w:t>Description of Securities.</w:t>
              </w:r>
            </w:hyperlink>
          </w:p>
        </w:tc>
      </w:tr>
      <w:tr>
        <w:trPr>
          <w:trHeight w:val="20"/>
        </w:trPr>
        <w:tc>
          <w:tcPr>
            <w:tcW w:w="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0" w:type="dxa"/>
            <w:vAlign w:val="bottom"/>
            <w:shd w:val="clear" w:color="auto" w:fill="0000EE"/>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68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200" w:type="dxa"/>
            <w:vAlign w:val="bottom"/>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260" w:type="dxa"/>
            <w:vAlign w:val="bottom"/>
            <w:shd w:val="clear" w:color="auto" w:fill="0000EE"/>
          </w:tcPr>
          <w:p>
            <w:pPr>
              <w:spacing w:after="0" w:line="20" w:lineRule="exact"/>
              <w:rPr>
                <w:sz w:val="1"/>
                <w:szCs w:val="1"/>
                <w:color w:val="auto"/>
              </w:rPr>
            </w:pPr>
          </w:p>
        </w:tc>
        <w:tc>
          <w:tcPr>
            <w:tcW w:w="320" w:type="dxa"/>
            <w:vAlign w:val="bottom"/>
            <w:shd w:val="clear" w:color="auto" w:fill="0000EE"/>
          </w:tcPr>
          <w:p>
            <w:pPr>
              <w:spacing w:after="0" w:line="20" w:lineRule="exact"/>
              <w:rPr>
                <w:sz w:val="1"/>
                <w:szCs w:val="1"/>
                <w:color w:val="auto"/>
              </w:rPr>
            </w:pPr>
          </w:p>
        </w:tc>
        <w:tc>
          <w:tcPr>
            <w:tcW w:w="560" w:type="dxa"/>
            <w:vAlign w:val="bottom"/>
            <w:gridSpan w:val="2"/>
          </w:tcPr>
          <w:p>
            <w:pPr>
              <w:spacing w:after="0" w:line="20" w:lineRule="exact"/>
              <w:rPr>
                <w:sz w:val="1"/>
                <w:szCs w:val="1"/>
                <w:color w:val="auto"/>
              </w:rPr>
            </w:pPr>
          </w:p>
        </w:tc>
        <w:tc>
          <w:tcPr>
            <w:tcW w:w="740" w:type="dxa"/>
            <w:vAlign w:val="bottom"/>
            <w:gridSpan w:val="3"/>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40" w:type="dxa"/>
            <w:vAlign w:val="bottom"/>
            <w:gridSpan w:val="2"/>
          </w:tcPr>
          <w:p>
            <w:pPr>
              <w:spacing w:after="0" w:line="20" w:lineRule="exact"/>
              <w:rPr>
                <w:sz w:val="1"/>
                <w:szCs w:val="1"/>
                <w:color w:val="auto"/>
              </w:rPr>
            </w:pPr>
          </w:p>
        </w:tc>
        <w:tc>
          <w:tcPr>
            <w:tcW w:w="46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r>
        <w:trPr>
          <w:trHeight w:val="628"/>
        </w:trPr>
        <w:tc>
          <w:tcPr>
            <w:tcW w:w="480" w:type="dxa"/>
            <w:vAlign w:val="bottom"/>
            <w:gridSpan w:val="4"/>
          </w:tcPr>
          <w:p>
            <w:pPr>
              <w:jc w:val="center"/>
              <w:spacing w:after="0"/>
              <w:rPr>
                <w:rFonts w:ascii="Arial" w:cs="Arial" w:eastAsia="Arial" w:hAnsi="Arial"/>
                <w:sz w:val="18"/>
                <w:szCs w:val="18"/>
                <w:color w:val="0000EE"/>
                <w:w w:val="87"/>
              </w:rPr>
            </w:pPr>
            <w:hyperlink r:id="rId83">
              <w:r>
                <w:rPr>
                  <w:rFonts w:ascii="Arial" w:cs="Arial" w:eastAsia="Arial" w:hAnsi="Arial"/>
                  <w:sz w:val="18"/>
                  <w:szCs w:val="18"/>
                  <w:color w:val="0000EE"/>
                  <w:w w:val="87"/>
                </w:rPr>
                <w:t>10.</w:t>
              </w:r>
              <w:r>
                <w:rPr>
                  <w:rFonts w:ascii="Arial" w:cs="Arial" w:eastAsia="Arial" w:hAnsi="Arial"/>
                  <w:sz w:val="18"/>
                  <w:szCs w:val="18"/>
                  <w:u w:val="single" w:color="auto"/>
                  <w:color w:val="0000EE"/>
                  <w:w w:val="87"/>
                </w:rPr>
                <w:t>1</w:t>
              </w:r>
              <w:r>
                <w:rPr>
                  <w:rFonts w:ascii="Arial" w:cs="Arial" w:eastAsia="Arial" w:hAnsi="Arial"/>
                  <w:sz w:val="18"/>
                  <w:szCs w:val="18"/>
                  <w:color w:val="0000EE"/>
                  <w:w w:val="87"/>
                </w:rPr>
                <w:t xml:space="preserve"> #</w:t>
              </w:r>
            </w:hyperlink>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4820" w:type="dxa"/>
            <w:vAlign w:val="bottom"/>
            <w:gridSpan w:val="35"/>
          </w:tcPr>
          <w:p>
            <w:pPr>
              <w:spacing w:after="0"/>
              <w:rPr>
                <w:rFonts w:ascii="Arial" w:cs="Arial" w:eastAsia="Arial" w:hAnsi="Arial"/>
                <w:sz w:val="18"/>
                <w:szCs w:val="18"/>
                <w:color w:val="0000EE"/>
                <w:w w:val="97"/>
              </w:rPr>
            </w:pPr>
            <w:hyperlink r:id="rId83">
              <w:r>
                <w:rPr>
                  <w:rFonts w:ascii="Arial" w:cs="Arial" w:eastAsia="Arial" w:hAnsi="Arial"/>
                  <w:sz w:val="18"/>
                  <w:szCs w:val="18"/>
                  <w:color w:val="0000EE"/>
                  <w:w w:val="97"/>
                </w:rPr>
                <w:t>Harvard Bioscience, Inc. Fourth Amended and Restated 2000</w:t>
              </w:r>
            </w:hyperlink>
          </w:p>
        </w:tc>
      </w:tr>
      <w:tr>
        <w:trPr>
          <w:trHeight w:val="196"/>
        </w:trPr>
        <w:tc>
          <w:tcPr>
            <w:tcW w:w="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20" w:type="dxa"/>
            <w:vAlign w:val="bottom"/>
            <w:tcBorders>
              <w:top w:val="single" w:sz="8" w:color="0000EE"/>
            </w:tcBorders>
          </w:tcPr>
          <w:p>
            <w:pPr>
              <w:spacing w:after="0"/>
              <w:rPr>
                <w:sz w:val="17"/>
                <w:szCs w:val="17"/>
                <w:color w:val="auto"/>
              </w:rPr>
            </w:pPr>
          </w:p>
        </w:tc>
        <w:tc>
          <w:tcPr>
            <w:tcW w:w="100" w:type="dxa"/>
            <w:vAlign w:val="bottom"/>
            <w:tcBorders>
              <w:top w:val="single" w:sz="8" w:color="0000EE"/>
            </w:tcBorders>
          </w:tcPr>
          <w:p>
            <w:pPr>
              <w:spacing w:after="0"/>
              <w:rPr>
                <w:sz w:val="17"/>
                <w:szCs w:val="17"/>
                <w:color w:val="auto"/>
              </w:rPr>
            </w:pPr>
          </w:p>
        </w:tc>
        <w:tc>
          <w:tcPr>
            <w:tcW w:w="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2380" w:type="dxa"/>
            <w:vAlign w:val="bottom"/>
            <w:tcBorders>
              <w:top w:val="single" w:sz="8" w:color="0000EE"/>
              <w:bottom w:val="single" w:sz="8" w:color="0000EE"/>
            </w:tcBorders>
            <w:gridSpan w:val="10"/>
          </w:tcPr>
          <w:p>
            <w:pPr>
              <w:spacing w:after="0" w:line="196" w:lineRule="exact"/>
              <w:rPr>
                <w:rFonts w:ascii="Arial" w:cs="Arial" w:eastAsia="Arial" w:hAnsi="Arial"/>
                <w:sz w:val="18"/>
                <w:szCs w:val="18"/>
                <w:color w:val="0000EE"/>
                <w:w w:val="90"/>
              </w:rPr>
            </w:pPr>
            <w:hyperlink r:id="rId83">
              <w:r>
                <w:rPr>
                  <w:rFonts w:ascii="Arial" w:cs="Arial" w:eastAsia="Arial" w:hAnsi="Arial"/>
                  <w:sz w:val="18"/>
                  <w:szCs w:val="18"/>
                  <w:color w:val="0000EE"/>
                  <w:w w:val="90"/>
                </w:rPr>
                <w:t>Stock Option and Incentive Plan.</w:t>
              </w:r>
            </w:hyperlink>
          </w:p>
        </w:tc>
        <w:tc>
          <w:tcPr>
            <w:tcW w:w="2040" w:type="dxa"/>
            <w:vAlign w:val="bottom"/>
            <w:tcBorders>
              <w:top w:val="single" w:sz="8" w:color="0000EE"/>
            </w:tcBorders>
            <w:gridSpan w:val="15"/>
          </w:tcPr>
          <w:p>
            <w:pPr>
              <w:spacing w:after="0"/>
              <w:rPr>
                <w:sz w:val="17"/>
                <w:szCs w:val="17"/>
                <w:color w:val="auto"/>
              </w:rPr>
            </w:pPr>
          </w:p>
        </w:tc>
        <w:tc>
          <w:tcPr>
            <w:tcW w:w="400" w:type="dxa"/>
            <w:vAlign w:val="bottom"/>
            <w:gridSpan w:val="10"/>
          </w:tcPr>
          <w:p>
            <w:pPr>
              <w:spacing w:after="0"/>
              <w:rPr>
                <w:sz w:val="17"/>
                <w:szCs w:val="17"/>
                <w:color w:val="auto"/>
              </w:rPr>
            </w:pPr>
          </w:p>
        </w:tc>
      </w:tr>
      <w:tr>
        <w:trPr>
          <w:trHeight w:val="412"/>
        </w:trPr>
        <w:tc>
          <w:tcPr>
            <w:tcW w:w="380" w:type="dxa"/>
            <w:vAlign w:val="bottom"/>
            <w:gridSpan w:val="3"/>
          </w:tcPr>
          <w:p>
            <w:pPr>
              <w:jc w:val="center"/>
              <w:spacing w:after="0"/>
              <w:rPr>
                <w:rFonts w:ascii="Arial" w:cs="Arial" w:eastAsia="Arial" w:hAnsi="Arial"/>
                <w:sz w:val="18"/>
                <w:szCs w:val="18"/>
                <w:color w:val="0000EE"/>
                <w:w w:val="91"/>
              </w:rPr>
            </w:pPr>
            <w:hyperlink r:id="rId84">
              <w:r>
                <w:rPr>
                  <w:rFonts w:ascii="Arial" w:cs="Arial" w:eastAsia="Arial" w:hAnsi="Arial"/>
                  <w:sz w:val="18"/>
                  <w:szCs w:val="18"/>
                  <w:color w:val="0000EE"/>
                  <w:w w:val="91"/>
                </w:rPr>
                <w:t>10.</w:t>
              </w:r>
              <w:r>
                <w:rPr>
                  <w:rFonts w:ascii="Arial" w:cs="Arial" w:eastAsia="Arial" w:hAnsi="Arial"/>
                  <w:sz w:val="18"/>
                  <w:szCs w:val="18"/>
                  <w:u w:val="single" w:color="auto"/>
                  <w:color w:val="0000EE"/>
                  <w:w w:val="91"/>
                </w:rPr>
                <w:t>2</w:t>
              </w:r>
            </w:hyperlink>
          </w:p>
        </w:tc>
        <w:tc>
          <w:tcPr>
            <w:tcW w:w="1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4820" w:type="dxa"/>
            <w:vAlign w:val="bottom"/>
            <w:gridSpan w:val="35"/>
          </w:tcPr>
          <w:p>
            <w:pPr>
              <w:spacing w:after="0"/>
              <w:rPr>
                <w:rFonts w:ascii="Arial" w:cs="Arial" w:eastAsia="Arial" w:hAnsi="Arial"/>
                <w:sz w:val="18"/>
                <w:szCs w:val="18"/>
                <w:color w:val="0000EE"/>
                <w:w w:val="99"/>
              </w:rPr>
            </w:pPr>
            <w:hyperlink r:id="rId84">
              <w:r>
                <w:rPr>
                  <w:rFonts w:ascii="Arial" w:cs="Arial" w:eastAsia="Arial" w:hAnsi="Arial"/>
                  <w:sz w:val="18"/>
                  <w:szCs w:val="18"/>
                  <w:color w:val="0000EE"/>
                  <w:w w:val="99"/>
                </w:rPr>
                <w:t>Harvard Bioscience, Inc. Employee Stock Purchase Plan, as</w:t>
              </w:r>
            </w:hyperlink>
          </w:p>
        </w:tc>
      </w:tr>
      <w:tr>
        <w:trPr>
          <w:trHeight w:val="196"/>
        </w:trPr>
        <w:tc>
          <w:tcPr>
            <w:tcW w:w="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20" w:type="dxa"/>
            <w:vAlign w:val="bottom"/>
            <w:tcBorders>
              <w:top w:val="single" w:sz="8" w:color="0000EE"/>
            </w:tcBorders>
          </w:tcPr>
          <w:p>
            <w:pPr>
              <w:spacing w:after="0"/>
              <w:rPr>
                <w:sz w:val="17"/>
                <w:szCs w:val="17"/>
                <w:color w:val="auto"/>
              </w:rPr>
            </w:pPr>
          </w:p>
        </w:tc>
        <w:tc>
          <w:tcPr>
            <w:tcW w:w="10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700" w:type="dxa"/>
            <w:vAlign w:val="bottom"/>
            <w:tcBorders>
              <w:top w:val="single" w:sz="8" w:color="0000EE"/>
              <w:bottom w:val="single" w:sz="8" w:color="0000EE"/>
            </w:tcBorders>
            <w:gridSpan w:val="2"/>
          </w:tcPr>
          <w:p>
            <w:pPr>
              <w:spacing w:after="0" w:line="196" w:lineRule="exact"/>
              <w:rPr>
                <w:rFonts w:ascii="Arial" w:cs="Arial" w:eastAsia="Arial" w:hAnsi="Arial"/>
                <w:sz w:val="18"/>
                <w:szCs w:val="18"/>
                <w:color w:val="0000EE"/>
                <w:w w:val="84"/>
              </w:rPr>
            </w:pPr>
            <w:hyperlink r:id="rId84">
              <w:r>
                <w:rPr>
                  <w:rFonts w:ascii="Arial" w:cs="Arial" w:eastAsia="Arial" w:hAnsi="Arial"/>
                  <w:sz w:val="18"/>
                  <w:szCs w:val="18"/>
                  <w:color w:val="0000EE"/>
                  <w:w w:val="84"/>
                </w:rPr>
                <w:t>amended.</w:t>
              </w:r>
            </w:hyperlink>
          </w:p>
        </w:tc>
        <w:tc>
          <w:tcPr>
            <w:tcW w:w="3600" w:type="dxa"/>
            <w:vAlign w:val="bottom"/>
            <w:tcBorders>
              <w:top w:val="single" w:sz="8" w:color="0000EE"/>
            </w:tcBorders>
            <w:gridSpan w:val="19"/>
          </w:tcPr>
          <w:p>
            <w:pPr>
              <w:spacing w:after="0"/>
              <w:rPr>
                <w:sz w:val="17"/>
                <w:szCs w:val="17"/>
                <w:color w:val="auto"/>
              </w:rPr>
            </w:pPr>
          </w:p>
        </w:tc>
        <w:tc>
          <w:tcPr>
            <w:tcW w:w="520" w:type="dxa"/>
            <w:vAlign w:val="bottom"/>
            <w:gridSpan w:val="14"/>
          </w:tcPr>
          <w:p>
            <w:pPr>
              <w:spacing w:after="0"/>
              <w:rPr>
                <w:sz w:val="17"/>
                <w:szCs w:val="17"/>
                <w:color w:val="auto"/>
              </w:rPr>
            </w:pPr>
          </w:p>
        </w:tc>
      </w:tr>
      <w:tr>
        <w:trPr>
          <w:trHeight w:val="412"/>
        </w:trPr>
        <w:tc>
          <w:tcPr>
            <w:tcW w:w="380" w:type="dxa"/>
            <w:vAlign w:val="bottom"/>
            <w:gridSpan w:val="3"/>
          </w:tcPr>
          <w:p>
            <w:pPr>
              <w:jc w:val="center"/>
              <w:spacing w:after="0"/>
              <w:rPr>
                <w:rFonts w:ascii="Arial" w:cs="Arial" w:eastAsia="Arial" w:hAnsi="Arial"/>
                <w:sz w:val="18"/>
                <w:szCs w:val="18"/>
                <w:color w:val="0000EE"/>
                <w:w w:val="91"/>
              </w:rPr>
            </w:pPr>
            <w:hyperlink r:id="rId85">
              <w:r>
                <w:rPr>
                  <w:rFonts w:ascii="Arial" w:cs="Arial" w:eastAsia="Arial" w:hAnsi="Arial"/>
                  <w:sz w:val="18"/>
                  <w:szCs w:val="18"/>
                  <w:color w:val="0000EE"/>
                  <w:w w:val="91"/>
                </w:rPr>
                <w:t>10.</w:t>
              </w:r>
              <w:r>
                <w:rPr>
                  <w:rFonts w:ascii="Arial" w:cs="Arial" w:eastAsia="Arial" w:hAnsi="Arial"/>
                  <w:sz w:val="18"/>
                  <w:szCs w:val="18"/>
                  <w:u w:val="single" w:color="auto"/>
                  <w:color w:val="0000EE"/>
                  <w:w w:val="91"/>
                </w:rPr>
                <w:t>3</w:t>
              </w:r>
            </w:hyperlink>
          </w:p>
        </w:tc>
        <w:tc>
          <w:tcPr>
            <w:tcW w:w="1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4820" w:type="dxa"/>
            <w:vAlign w:val="bottom"/>
            <w:gridSpan w:val="35"/>
          </w:tcPr>
          <w:p>
            <w:pPr>
              <w:spacing w:after="0"/>
              <w:rPr>
                <w:rFonts w:ascii="Arial" w:cs="Arial" w:eastAsia="Arial" w:hAnsi="Arial"/>
                <w:sz w:val="18"/>
                <w:szCs w:val="18"/>
                <w:color w:val="0000EE"/>
              </w:rPr>
            </w:pPr>
            <w:hyperlink r:id="rId85">
              <w:r>
                <w:rPr>
                  <w:rFonts w:ascii="Arial" w:cs="Arial" w:eastAsia="Arial" w:hAnsi="Arial"/>
                  <w:sz w:val="18"/>
                  <w:szCs w:val="18"/>
                  <w:color w:val="0000EE"/>
                </w:rPr>
                <w:t>Form of Director Indemnification Agreement.</w:t>
              </w:r>
            </w:hyperlink>
          </w:p>
        </w:tc>
      </w:tr>
      <w:tr>
        <w:trPr>
          <w:trHeight w:val="20"/>
        </w:trPr>
        <w:tc>
          <w:tcPr>
            <w:tcW w:w="40" w:type="dxa"/>
            <w:vAlign w:val="bottom"/>
          </w:tcPr>
          <w:p>
            <w:pPr>
              <w:spacing w:after="0" w:line="20" w:lineRule="exact"/>
              <w:rPr>
                <w:sz w:val="1"/>
                <w:szCs w:val="1"/>
                <w:color w:val="auto"/>
              </w:rPr>
            </w:pPr>
          </w:p>
        </w:tc>
        <w:tc>
          <w:tcPr>
            <w:tcW w:w="120" w:type="dxa"/>
            <w:vAlign w:val="bottom"/>
            <w:tcBorders>
              <w:right w:val="single" w:sz="8" w:color="0000EE"/>
            </w:tcBorders>
          </w:tcPr>
          <w:p>
            <w:pPr>
              <w:spacing w:after="0" w:line="20" w:lineRule="exact"/>
              <w:rPr>
                <w:sz w:val="1"/>
                <w:szCs w:val="1"/>
                <w:color w:val="auto"/>
              </w:rPr>
            </w:pPr>
          </w:p>
        </w:tc>
        <w:tc>
          <w:tcPr>
            <w:tcW w:w="220" w:type="dxa"/>
            <w:vAlign w:val="bottom"/>
            <w:shd w:val="clear" w:color="auto" w:fill="0000EE"/>
          </w:tcPr>
          <w:p>
            <w:pPr>
              <w:spacing w:after="0" w:line="20" w:lineRule="exact"/>
              <w:rPr>
                <w:sz w:val="1"/>
                <w:szCs w:val="1"/>
                <w:color w:val="auto"/>
              </w:rPr>
            </w:pPr>
          </w:p>
        </w:tc>
        <w:tc>
          <w:tcPr>
            <w:tcW w:w="100" w:type="dxa"/>
            <w:vAlign w:val="bottom"/>
            <w:tcBorders>
              <w:left w:val="single" w:sz="8" w:color="0000EE"/>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680" w:type="dxa"/>
            <w:vAlign w:val="bottom"/>
            <w:shd w:val="clear" w:color="auto" w:fill="0000EE"/>
          </w:tcPr>
          <w:p>
            <w:pPr>
              <w:spacing w:after="0" w:line="20" w:lineRule="exact"/>
              <w:rPr>
                <w:sz w:val="1"/>
                <w:szCs w:val="1"/>
                <w:color w:val="auto"/>
              </w:rPr>
            </w:pPr>
          </w:p>
        </w:tc>
        <w:tc>
          <w:tcPr>
            <w:tcW w:w="80" w:type="dxa"/>
            <w:vAlign w:val="bottom"/>
            <w:gridSpan w:val="2"/>
            <w:shd w:val="clear" w:color="auto" w:fill="0000EE"/>
          </w:tcPr>
          <w:p>
            <w:pPr>
              <w:spacing w:after="0" w:line="20" w:lineRule="exact"/>
              <w:rPr>
                <w:sz w:val="1"/>
                <w:szCs w:val="1"/>
                <w:color w:val="auto"/>
              </w:rPr>
            </w:pPr>
          </w:p>
        </w:tc>
        <w:tc>
          <w:tcPr>
            <w:tcW w:w="200" w:type="dxa"/>
            <w:vAlign w:val="bottom"/>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260" w:type="dxa"/>
            <w:vAlign w:val="bottom"/>
            <w:shd w:val="clear" w:color="auto" w:fill="0000EE"/>
          </w:tcPr>
          <w:p>
            <w:pPr>
              <w:spacing w:after="0" w:line="20" w:lineRule="exact"/>
              <w:rPr>
                <w:sz w:val="1"/>
                <w:szCs w:val="1"/>
                <w:color w:val="auto"/>
              </w:rPr>
            </w:pPr>
          </w:p>
        </w:tc>
        <w:tc>
          <w:tcPr>
            <w:tcW w:w="1620" w:type="dxa"/>
            <w:vAlign w:val="bottom"/>
            <w:gridSpan w:val="6"/>
            <w:shd w:val="clear" w:color="auto" w:fill="0000EE"/>
          </w:tcPr>
          <w:p>
            <w:pPr>
              <w:spacing w:after="0" w:line="20" w:lineRule="exact"/>
              <w:rPr>
                <w:sz w:val="1"/>
                <w:szCs w:val="1"/>
                <w:color w:val="auto"/>
              </w:rPr>
            </w:pPr>
          </w:p>
        </w:tc>
        <w:tc>
          <w:tcPr>
            <w:tcW w:w="180" w:type="dxa"/>
            <w:vAlign w:val="bottom"/>
            <w:tcBorders>
              <w:right w:val="single" w:sz="8" w:color="0000EE"/>
            </w:tcBorders>
            <w:shd w:val="clear" w:color="auto" w:fill="0000EE"/>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40" w:type="dxa"/>
            <w:vAlign w:val="bottom"/>
            <w:gridSpan w:val="2"/>
          </w:tcPr>
          <w:p>
            <w:pPr>
              <w:spacing w:after="0" w:line="20" w:lineRule="exact"/>
              <w:rPr>
                <w:sz w:val="1"/>
                <w:szCs w:val="1"/>
                <w:color w:val="auto"/>
              </w:rPr>
            </w:pPr>
          </w:p>
        </w:tc>
        <w:tc>
          <w:tcPr>
            <w:tcW w:w="46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gridSpan w:val="2"/>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c>
          <w:tcPr>
            <w:tcW w:w="8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r>
        <w:trPr>
          <w:trHeight w:val="628"/>
        </w:trPr>
        <w:tc>
          <w:tcPr>
            <w:tcW w:w="40" w:type="dxa"/>
            <w:vAlign w:val="bottom"/>
          </w:tcPr>
          <w:p>
            <w:pPr>
              <w:spacing w:after="0"/>
              <w:rPr>
                <w:sz w:val="24"/>
                <w:szCs w:val="24"/>
                <w:color w:val="auto"/>
              </w:rPr>
            </w:pPr>
          </w:p>
        </w:tc>
        <w:tc>
          <w:tcPr>
            <w:tcW w:w="480" w:type="dxa"/>
            <w:vAlign w:val="bottom"/>
            <w:tcBorders>
              <w:bottom w:val="single" w:sz="8" w:color="0000EE"/>
            </w:tcBorders>
            <w:gridSpan w:val="4"/>
          </w:tcPr>
          <w:p>
            <w:pPr>
              <w:jc w:val="center"/>
              <w:ind w:right="20"/>
              <w:spacing w:after="0"/>
              <w:rPr>
                <w:rFonts w:ascii="Arial" w:cs="Arial" w:eastAsia="Arial" w:hAnsi="Arial"/>
                <w:sz w:val="18"/>
                <w:szCs w:val="18"/>
                <w:color w:val="0000EE"/>
                <w:w w:val="90"/>
              </w:rPr>
            </w:pPr>
            <w:hyperlink r:id="rId86">
              <w:r>
                <w:rPr>
                  <w:rFonts w:ascii="Arial" w:cs="Arial" w:eastAsia="Arial" w:hAnsi="Arial"/>
                  <w:sz w:val="18"/>
                  <w:szCs w:val="18"/>
                  <w:color w:val="0000EE"/>
                  <w:w w:val="90"/>
                </w:rPr>
                <w:t>10.</w:t>
              </w:r>
              <w:r>
                <w:rPr>
                  <w:rFonts w:ascii="Arial" w:cs="Arial" w:eastAsia="Arial" w:hAnsi="Arial"/>
                  <w:sz w:val="18"/>
                  <w:szCs w:val="18"/>
                  <w:u w:val="single" w:color="auto"/>
                  <w:color w:val="0000EE"/>
                  <w:w w:val="90"/>
                </w:rPr>
                <w:t>4</w:t>
              </w:r>
              <w:r>
                <w:rPr>
                  <w:rFonts w:ascii="Arial" w:cs="Arial" w:eastAsia="Arial" w:hAnsi="Arial"/>
                  <w:sz w:val="18"/>
                  <w:szCs w:val="18"/>
                  <w:color w:val="0000EE"/>
                  <w:w w:val="90"/>
                </w:rPr>
                <w:t xml:space="preserve"> +</w:t>
              </w:r>
            </w:hyperlink>
          </w:p>
        </w:tc>
        <w:tc>
          <w:tcPr>
            <w:tcW w:w="2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4740" w:type="dxa"/>
            <w:vAlign w:val="bottom"/>
            <w:tcBorders>
              <w:bottom w:val="single" w:sz="8" w:color="0000EE"/>
            </w:tcBorders>
            <w:gridSpan w:val="34"/>
          </w:tcPr>
          <w:p>
            <w:pPr>
              <w:spacing w:after="0"/>
              <w:rPr>
                <w:rFonts w:ascii="Arial" w:cs="Arial" w:eastAsia="Arial" w:hAnsi="Arial"/>
                <w:sz w:val="18"/>
                <w:szCs w:val="18"/>
                <w:color w:val="0000EE"/>
                <w:w w:val="89"/>
              </w:rPr>
            </w:pPr>
            <w:hyperlink r:id="rId86">
              <w:r>
                <w:rPr>
                  <w:rFonts w:ascii="Arial" w:cs="Arial" w:eastAsia="Arial" w:hAnsi="Arial"/>
                  <w:sz w:val="18"/>
                  <w:szCs w:val="18"/>
                  <w:color w:val="0000EE"/>
                  <w:w w:val="89"/>
                </w:rPr>
                <w:t>Trademark License Agreement, dated December 19, 2002, by and</w:t>
              </w:r>
            </w:hyperlink>
          </w:p>
        </w:tc>
        <w:tc>
          <w:tcPr>
            <w:tcW w:w="80" w:type="dxa"/>
            <w:vAlign w:val="bottom"/>
          </w:tcPr>
          <w:p>
            <w:pPr>
              <w:spacing w:after="0"/>
              <w:rPr>
                <w:sz w:val="24"/>
                <w:szCs w:val="24"/>
                <w:color w:val="auto"/>
              </w:rPr>
            </w:pPr>
          </w:p>
        </w:tc>
      </w:tr>
      <w:tr>
        <w:trPr>
          <w:trHeight w:val="196"/>
        </w:trPr>
        <w:tc>
          <w:tcPr>
            <w:tcW w:w="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4560" w:type="dxa"/>
            <w:vAlign w:val="bottom"/>
            <w:tcBorders>
              <w:bottom w:val="single" w:sz="8" w:color="0000EE"/>
            </w:tcBorders>
            <w:gridSpan w:val="29"/>
          </w:tcPr>
          <w:p>
            <w:pPr>
              <w:spacing w:after="0" w:line="196" w:lineRule="exact"/>
              <w:rPr>
                <w:rFonts w:ascii="Arial" w:cs="Arial" w:eastAsia="Arial" w:hAnsi="Arial"/>
                <w:sz w:val="18"/>
                <w:szCs w:val="18"/>
                <w:color w:val="0000EE"/>
                <w:w w:val="89"/>
              </w:rPr>
            </w:pPr>
            <w:hyperlink r:id="rId86">
              <w:r>
                <w:rPr>
                  <w:rFonts w:ascii="Arial" w:cs="Arial" w:eastAsia="Arial" w:hAnsi="Arial"/>
                  <w:sz w:val="18"/>
                  <w:szCs w:val="18"/>
                  <w:color w:val="0000EE"/>
                  <w:w w:val="89"/>
                </w:rPr>
                <w:t>between Harvard Bioscience, Inc. and President and Fellows of</w:t>
              </w:r>
            </w:hyperlink>
          </w:p>
        </w:tc>
        <w:tc>
          <w:tcPr>
            <w:tcW w:w="260" w:type="dxa"/>
            <w:vAlign w:val="bottom"/>
            <w:gridSpan w:val="6"/>
          </w:tcPr>
          <w:p>
            <w:pPr>
              <w:spacing w:after="0"/>
              <w:rPr>
                <w:sz w:val="17"/>
                <w:szCs w:val="17"/>
                <w:color w:val="auto"/>
              </w:rPr>
            </w:pPr>
          </w:p>
        </w:tc>
      </w:tr>
      <w:tr>
        <w:trPr>
          <w:trHeight w:val="196"/>
        </w:trPr>
        <w:tc>
          <w:tcPr>
            <w:tcW w:w="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1240" w:type="dxa"/>
            <w:vAlign w:val="bottom"/>
            <w:tcBorders>
              <w:bottom w:val="single" w:sz="8" w:color="0000EE"/>
            </w:tcBorders>
            <w:gridSpan w:val="6"/>
          </w:tcPr>
          <w:p>
            <w:pPr>
              <w:spacing w:after="0" w:line="196" w:lineRule="exact"/>
              <w:rPr>
                <w:rFonts w:ascii="Arial" w:cs="Arial" w:eastAsia="Arial" w:hAnsi="Arial"/>
                <w:sz w:val="18"/>
                <w:szCs w:val="18"/>
                <w:color w:val="0000EE"/>
                <w:w w:val="90"/>
              </w:rPr>
            </w:pPr>
            <w:hyperlink r:id="rId86">
              <w:r>
                <w:rPr>
                  <w:rFonts w:ascii="Arial" w:cs="Arial" w:eastAsia="Arial" w:hAnsi="Arial"/>
                  <w:sz w:val="18"/>
                  <w:szCs w:val="18"/>
                  <w:color w:val="0000EE"/>
                  <w:w w:val="90"/>
                </w:rPr>
                <w:t>Harvard College.</w:t>
              </w:r>
            </w:hyperlink>
          </w:p>
        </w:tc>
        <w:tc>
          <w:tcPr>
            <w:tcW w:w="3580" w:type="dxa"/>
            <w:vAlign w:val="bottom"/>
            <w:gridSpan w:val="29"/>
          </w:tcPr>
          <w:p>
            <w:pPr>
              <w:spacing w:after="0"/>
              <w:rPr>
                <w:sz w:val="17"/>
                <w:szCs w:val="17"/>
                <w:color w:val="auto"/>
              </w:rPr>
            </w:pPr>
          </w:p>
        </w:tc>
      </w:tr>
      <w:tr>
        <w:trPr>
          <w:trHeight w:val="196"/>
        </w:trPr>
        <w:tc>
          <w:tcPr>
            <w:tcW w:w="480" w:type="dxa"/>
            <w:vAlign w:val="bottom"/>
            <w:gridSpan w:val="4"/>
          </w:tcPr>
          <w:p>
            <w:pPr>
              <w:jc w:val="center"/>
              <w:spacing w:after="0" w:line="196" w:lineRule="exact"/>
              <w:rPr>
                <w:rFonts w:ascii="Arial" w:cs="Arial" w:eastAsia="Arial" w:hAnsi="Arial"/>
                <w:sz w:val="18"/>
                <w:szCs w:val="18"/>
                <w:color w:val="0000EE"/>
                <w:w w:val="87"/>
              </w:rPr>
            </w:pPr>
            <w:hyperlink r:id="rId87">
              <w:r>
                <w:rPr>
                  <w:rFonts w:ascii="Arial" w:cs="Arial" w:eastAsia="Arial" w:hAnsi="Arial"/>
                  <w:sz w:val="18"/>
                  <w:szCs w:val="18"/>
                  <w:color w:val="0000EE"/>
                  <w:w w:val="87"/>
                </w:rPr>
                <w:t>10.</w:t>
              </w:r>
              <w:r>
                <w:rPr>
                  <w:rFonts w:ascii="Arial" w:cs="Arial" w:eastAsia="Arial" w:hAnsi="Arial"/>
                  <w:sz w:val="18"/>
                  <w:szCs w:val="18"/>
                  <w:u w:val="single" w:color="auto"/>
                  <w:color w:val="0000EE"/>
                  <w:w w:val="87"/>
                </w:rPr>
                <w:t>5</w:t>
              </w:r>
              <w:r>
                <w:rPr>
                  <w:rFonts w:ascii="Arial" w:cs="Arial" w:eastAsia="Arial" w:hAnsi="Arial"/>
                  <w:sz w:val="18"/>
                  <w:szCs w:val="18"/>
                  <w:color w:val="0000EE"/>
                  <w:w w:val="87"/>
                </w:rPr>
                <w:t xml:space="preserve"> #</w:t>
              </w:r>
            </w:hyperlink>
          </w:p>
        </w:tc>
        <w:tc>
          <w:tcPr>
            <w:tcW w:w="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4820" w:type="dxa"/>
            <w:vAlign w:val="bottom"/>
            <w:gridSpan w:val="35"/>
          </w:tcPr>
          <w:p>
            <w:pPr>
              <w:spacing w:after="0" w:line="196" w:lineRule="exact"/>
              <w:rPr>
                <w:rFonts w:ascii="Arial" w:cs="Arial" w:eastAsia="Arial" w:hAnsi="Arial"/>
                <w:sz w:val="18"/>
                <w:szCs w:val="18"/>
                <w:color w:val="0000EE"/>
                <w:w w:val="94"/>
              </w:rPr>
            </w:pPr>
            <w:hyperlink r:id="rId87">
              <w:r>
                <w:rPr>
                  <w:rFonts w:ascii="Arial" w:cs="Arial" w:eastAsia="Arial" w:hAnsi="Arial"/>
                  <w:sz w:val="18"/>
                  <w:szCs w:val="18"/>
                  <w:color w:val="0000EE"/>
                  <w:w w:val="94"/>
                </w:rPr>
                <w:t>Form of Incentive Stock Option Agreement (Executive Officers).</w:t>
              </w:r>
            </w:hyperlink>
          </w:p>
        </w:tc>
      </w:tr>
      <w:tr>
        <w:trPr>
          <w:trHeight w:val="20"/>
        </w:trPr>
        <w:tc>
          <w:tcPr>
            <w:tcW w:w="160" w:type="dxa"/>
            <w:vAlign w:val="bottom"/>
            <w:tcBorders>
              <w:right w:val="single" w:sz="8" w:color="0000EE"/>
            </w:tcBorders>
            <w:gridSpan w:val="2"/>
          </w:tcPr>
          <w:p>
            <w:pPr>
              <w:spacing w:after="0" w:line="20" w:lineRule="exact"/>
              <w:rPr>
                <w:sz w:val="1"/>
                <w:szCs w:val="1"/>
                <w:color w:val="auto"/>
              </w:rPr>
            </w:pPr>
          </w:p>
        </w:tc>
        <w:tc>
          <w:tcPr>
            <w:tcW w:w="320" w:type="dxa"/>
            <w:vAlign w:val="bottom"/>
            <w:gridSpan w:val="2"/>
            <w:shd w:val="clear" w:color="auto" w:fill="0000EE"/>
          </w:tcPr>
          <w:p>
            <w:pPr>
              <w:spacing w:after="0" w:line="20" w:lineRule="exact"/>
              <w:rPr>
                <w:sz w:val="1"/>
                <w:szCs w:val="1"/>
                <w:color w:val="auto"/>
              </w:rPr>
            </w:pPr>
          </w:p>
        </w:tc>
        <w:tc>
          <w:tcPr>
            <w:tcW w:w="40" w:type="dxa"/>
            <w:vAlign w:val="bottom"/>
            <w:tcBorders>
              <w:left w:val="single" w:sz="8" w:color="0000EE"/>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680" w:type="dxa"/>
            <w:vAlign w:val="bottom"/>
            <w:shd w:val="clear" w:color="auto" w:fill="0000EE"/>
          </w:tcPr>
          <w:p>
            <w:pPr>
              <w:spacing w:after="0" w:line="20" w:lineRule="exact"/>
              <w:rPr>
                <w:sz w:val="1"/>
                <w:szCs w:val="1"/>
                <w:color w:val="auto"/>
              </w:rPr>
            </w:pPr>
          </w:p>
        </w:tc>
        <w:tc>
          <w:tcPr>
            <w:tcW w:w="80" w:type="dxa"/>
            <w:vAlign w:val="bottom"/>
            <w:gridSpan w:val="2"/>
            <w:shd w:val="clear" w:color="auto" w:fill="0000EE"/>
          </w:tcPr>
          <w:p>
            <w:pPr>
              <w:spacing w:after="0" w:line="20" w:lineRule="exact"/>
              <w:rPr>
                <w:sz w:val="1"/>
                <w:szCs w:val="1"/>
                <w:color w:val="auto"/>
              </w:rPr>
            </w:pPr>
          </w:p>
        </w:tc>
        <w:tc>
          <w:tcPr>
            <w:tcW w:w="200" w:type="dxa"/>
            <w:vAlign w:val="bottom"/>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420" w:type="dxa"/>
            <w:vAlign w:val="bottom"/>
            <w:gridSpan w:val="2"/>
            <w:shd w:val="clear" w:color="auto" w:fill="0000EE"/>
          </w:tcPr>
          <w:p>
            <w:pPr>
              <w:spacing w:after="0" w:line="20" w:lineRule="exact"/>
              <w:rPr>
                <w:sz w:val="1"/>
                <w:szCs w:val="1"/>
                <w:color w:val="auto"/>
              </w:rPr>
            </w:pPr>
          </w:p>
        </w:tc>
        <w:tc>
          <w:tcPr>
            <w:tcW w:w="1620" w:type="dxa"/>
            <w:vAlign w:val="bottom"/>
            <w:gridSpan w:val="6"/>
            <w:shd w:val="clear" w:color="auto" w:fill="0000EE"/>
          </w:tcPr>
          <w:p>
            <w:pPr>
              <w:spacing w:after="0" w:line="20" w:lineRule="exact"/>
              <w:rPr>
                <w:sz w:val="1"/>
                <w:szCs w:val="1"/>
                <w:color w:val="auto"/>
              </w:rPr>
            </w:pPr>
          </w:p>
        </w:tc>
        <w:tc>
          <w:tcPr>
            <w:tcW w:w="180" w:type="dxa"/>
            <w:vAlign w:val="bottom"/>
            <w:tcBorders>
              <w:right w:val="single" w:sz="8" w:color="0000EE"/>
            </w:tcBorders>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440" w:type="dxa"/>
            <w:vAlign w:val="bottom"/>
            <w:gridSpan w:val="2"/>
            <w:shd w:val="clear" w:color="auto" w:fill="0000EE"/>
          </w:tcPr>
          <w:p>
            <w:pPr>
              <w:spacing w:after="0" w:line="20" w:lineRule="exact"/>
              <w:rPr>
                <w:sz w:val="1"/>
                <w:szCs w:val="1"/>
                <w:color w:val="auto"/>
              </w:rPr>
            </w:pPr>
          </w:p>
        </w:tc>
        <w:tc>
          <w:tcPr>
            <w:tcW w:w="460" w:type="dxa"/>
            <w:vAlign w:val="bottom"/>
            <w:gridSpan w:val="2"/>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80" w:type="dxa"/>
            <w:vAlign w:val="bottom"/>
            <w:gridSpan w:val="2"/>
            <w:shd w:val="clear" w:color="auto" w:fill="0000EE"/>
          </w:tcPr>
          <w:p>
            <w:pPr>
              <w:spacing w:after="0" w:line="20" w:lineRule="exact"/>
              <w:rPr>
                <w:sz w:val="1"/>
                <w:szCs w:val="1"/>
                <w:color w:val="auto"/>
              </w:rPr>
            </w:pPr>
          </w:p>
        </w:tc>
        <w:tc>
          <w:tcPr>
            <w:tcW w:w="60" w:type="dxa"/>
            <w:vAlign w:val="bottom"/>
            <w:gridSpan w:val="2"/>
            <w:shd w:val="clear" w:color="auto" w:fill="0000EE"/>
          </w:tcPr>
          <w:p>
            <w:pPr>
              <w:spacing w:after="0" w:line="20" w:lineRule="exact"/>
              <w:rPr>
                <w:sz w:val="1"/>
                <w:szCs w:val="1"/>
                <w:color w:val="auto"/>
              </w:rPr>
            </w:pPr>
          </w:p>
        </w:tc>
        <w:tc>
          <w:tcPr>
            <w:tcW w:w="60" w:type="dxa"/>
            <w:vAlign w:val="bottom"/>
            <w:gridSpan w:val="2"/>
            <w:shd w:val="clear" w:color="auto" w:fill="0000EE"/>
          </w:tcPr>
          <w:p>
            <w:pPr>
              <w:spacing w:after="0" w:line="20" w:lineRule="exact"/>
              <w:rPr>
                <w:sz w:val="1"/>
                <w:szCs w:val="1"/>
                <w:color w:val="auto"/>
              </w:rPr>
            </w:pPr>
          </w:p>
        </w:tc>
        <w:tc>
          <w:tcPr>
            <w:tcW w:w="80" w:type="dxa"/>
            <w:vAlign w:val="bottom"/>
            <w:gridSpan w:val="2"/>
            <w:shd w:val="clear" w:color="auto" w:fill="0000EE"/>
          </w:tcPr>
          <w:p>
            <w:pPr>
              <w:spacing w:after="0" w:line="20" w:lineRule="exact"/>
              <w:rPr>
                <w:sz w:val="1"/>
                <w:szCs w:val="1"/>
                <w:color w:val="auto"/>
              </w:rPr>
            </w:pPr>
          </w:p>
        </w:tc>
        <w:tc>
          <w:tcPr>
            <w:tcW w:w="60" w:type="dxa"/>
            <w:vAlign w:val="bottom"/>
            <w:gridSpan w:val="2"/>
            <w:shd w:val="clear" w:color="auto" w:fill="0000EE"/>
          </w:tcPr>
          <w:p>
            <w:pPr>
              <w:spacing w:after="0" w:line="20" w:lineRule="exact"/>
              <w:rPr>
                <w:sz w:val="1"/>
                <w:szCs w:val="1"/>
                <w:color w:val="auto"/>
              </w:rPr>
            </w:pPr>
          </w:p>
        </w:tc>
        <w:tc>
          <w:tcPr>
            <w:tcW w:w="100" w:type="dxa"/>
            <w:vAlign w:val="bottom"/>
            <w:tcBorders>
              <w:right w:val="single" w:sz="8" w:color="0000EE"/>
            </w:tcBorders>
            <w:gridSpan w:val="2"/>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r>
        <w:trPr>
          <w:trHeight w:val="628"/>
        </w:trPr>
        <w:tc>
          <w:tcPr>
            <w:tcW w:w="480" w:type="dxa"/>
            <w:vAlign w:val="bottom"/>
            <w:gridSpan w:val="4"/>
          </w:tcPr>
          <w:p>
            <w:pPr>
              <w:jc w:val="center"/>
              <w:spacing w:after="0"/>
              <w:rPr>
                <w:rFonts w:ascii="Arial" w:cs="Arial" w:eastAsia="Arial" w:hAnsi="Arial"/>
                <w:sz w:val="18"/>
                <w:szCs w:val="18"/>
                <w:color w:val="0000EE"/>
                <w:w w:val="87"/>
              </w:rPr>
            </w:pPr>
            <w:hyperlink r:id="rId88">
              <w:r>
                <w:rPr>
                  <w:rFonts w:ascii="Arial" w:cs="Arial" w:eastAsia="Arial" w:hAnsi="Arial"/>
                  <w:sz w:val="18"/>
                  <w:szCs w:val="18"/>
                  <w:color w:val="0000EE"/>
                  <w:w w:val="87"/>
                </w:rPr>
                <w:t>10.</w:t>
              </w:r>
              <w:r>
                <w:rPr>
                  <w:rFonts w:ascii="Arial" w:cs="Arial" w:eastAsia="Arial" w:hAnsi="Arial"/>
                  <w:sz w:val="18"/>
                  <w:szCs w:val="18"/>
                  <w:u w:val="single" w:color="auto"/>
                  <w:color w:val="0000EE"/>
                  <w:w w:val="87"/>
                </w:rPr>
                <w:t>6</w:t>
              </w:r>
              <w:r>
                <w:rPr>
                  <w:rFonts w:ascii="Arial" w:cs="Arial" w:eastAsia="Arial" w:hAnsi="Arial"/>
                  <w:sz w:val="18"/>
                  <w:szCs w:val="18"/>
                  <w:color w:val="0000EE"/>
                  <w:w w:val="87"/>
                </w:rPr>
                <w:t xml:space="preserve"> #</w:t>
              </w:r>
            </w:hyperlink>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4820" w:type="dxa"/>
            <w:vAlign w:val="bottom"/>
            <w:gridSpan w:val="35"/>
          </w:tcPr>
          <w:p>
            <w:pPr>
              <w:spacing w:after="0"/>
              <w:rPr>
                <w:rFonts w:ascii="Arial" w:cs="Arial" w:eastAsia="Arial" w:hAnsi="Arial"/>
                <w:sz w:val="18"/>
                <w:szCs w:val="18"/>
                <w:color w:val="0000EE"/>
              </w:rPr>
            </w:pPr>
            <w:hyperlink r:id="rId88">
              <w:r>
                <w:rPr>
                  <w:rFonts w:ascii="Arial" w:cs="Arial" w:eastAsia="Arial" w:hAnsi="Arial"/>
                  <w:sz w:val="18"/>
                  <w:szCs w:val="18"/>
                  <w:color w:val="0000EE"/>
                </w:rPr>
                <w:t>Form of Non-Qualified Stock Option Agreement (Executive</w:t>
              </w:r>
            </w:hyperlink>
          </w:p>
        </w:tc>
      </w:tr>
      <w:tr>
        <w:trPr>
          <w:trHeight w:val="196"/>
        </w:trPr>
        <w:tc>
          <w:tcPr>
            <w:tcW w:w="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20" w:type="dxa"/>
            <w:vAlign w:val="bottom"/>
            <w:tcBorders>
              <w:top w:val="single" w:sz="8" w:color="0000EE"/>
            </w:tcBorders>
          </w:tcPr>
          <w:p>
            <w:pPr>
              <w:spacing w:after="0"/>
              <w:rPr>
                <w:sz w:val="17"/>
                <w:szCs w:val="17"/>
                <w:color w:val="auto"/>
              </w:rPr>
            </w:pPr>
          </w:p>
        </w:tc>
        <w:tc>
          <w:tcPr>
            <w:tcW w:w="100" w:type="dxa"/>
            <w:vAlign w:val="bottom"/>
            <w:tcBorders>
              <w:top w:val="single" w:sz="8" w:color="0000EE"/>
            </w:tcBorders>
          </w:tcPr>
          <w:p>
            <w:pPr>
              <w:spacing w:after="0"/>
              <w:rPr>
                <w:sz w:val="17"/>
                <w:szCs w:val="17"/>
                <w:color w:val="auto"/>
              </w:rPr>
            </w:pPr>
          </w:p>
        </w:tc>
        <w:tc>
          <w:tcPr>
            <w:tcW w:w="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4340" w:type="dxa"/>
            <w:vAlign w:val="bottom"/>
            <w:tcBorders>
              <w:top w:val="single" w:sz="8" w:color="0000EE"/>
            </w:tcBorders>
            <w:gridSpan w:val="22"/>
          </w:tcPr>
          <w:p>
            <w:pPr>
              <w:spacing w:after="0" w:line="196" w:lineRule="exact"/>
              <w:rPr>
                <w:rFonts w:ascii="Arial" w:cs="Arial" w:eastAsia="Arial" w:hAnsi="Arial"/>
                <w:sz w:val="18"/>
                <w:szCs w:val="18"/>
                <w:color w:val="0000EE"/>
              </w:rPr>
            </w:pPr>
            <w:hyperlink r:id="rId88">
              <w:r>
                <w:rPr>
                  <w:rFonts w:ascii="Arial" w:cs="Arial" w:eastAsia="Arial" w:hAnsi="Arial"/>
                  <w:sz w:val="18"/>
                  <w:szCs w:val="18"/>
                  <w:color w:val="0000EE"/>
                </w:rPr>
                <w:t>Officers).</w:t>
              </w:r>
            </w:hyperlink>
          </w:p>
        </w:tc>
        <w:tc>
          <w:tcPr>
            <w:tcW w:w="480" w:type="dxa"/>
            <w:vAlign w:val="bottom"/>
            <w:gridSpan w:val="13"/>
          </w:tcPr>
          <w:p>
            <w:pPr>
              <w:spacing w:after="0"/>
              <w:rPr>
                <w:sz w:val="17"/>
                <w:szCs w:val="17"/>
                <w:color w:val="auto"/>
              </w:rPr>
            </w:pPr>
          </w:p>
        </w:tc>
      </w:tr>
      <w:tr>
        <w:trPr>
          <w:trHeight w:val="20"/>
        </w:trPr>
        <w:tc>
          <w:tcPr>
            <w:tcW w:w="160" w:type="dxa"/>
            <w:vAlign w:val="bottom"/>
            <w:gridSpan w:val="2"/>
          </w:tcPr>
          <w:p>
            <w:pPr>
              <w:spacing w:after="0" w:line="20" w:lineRule="exact"/>
              <w:rPr>
                <w:sz w:val="1"/>
                <w:szCs w:val="1"/>
                <w:color w:val="auto"/>
              </w:rPr>
            </w:pPr>
          </w:p>
        </w:tc>
        <w:tc>
          <w:tcPr>
            <w:tcW w:w="32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680" w:type="dxa"/>
            <w:vAlign w:val="bottom"/>
            <w:shd w:val="clear" w:color="auto" w:fill="0000EE"/>
          </w:tcPr>
          <w:p>
            <w:pPr>
              <w:spacing w:after="0" w:line="20" w:lineRule="exact"/>
              <w:rPr>
                <w:sz w:val="1"/>
                <w:szCs w:val="1"/>
                <w:color w:val="auto"/>
              </w:rPr>
            </w:pPr>
          </w:p>
        </w:tc>
        <w:tc>
          <w:tcPr>
            <w:tcW w:w="80" w:type="dxa"/>
            <w:vAlign w:val="bottom"/>
            <w:gridSpan w:val="2"/>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20" w:type="dxa"/>
            <w:vAlign w:val="bottom"/>
            <w:gridSpan w:val="2"/>
          </w:tcPr>
          <w:p>
            <w:pPr>
              <w:spacing w:after="0" w:line="20" w:lineRule="exact"/>
              <w:rPr>
                <w:sz w:val="1"/>
                <w:szCs w:val="1"/>
                <w:color w:val="auto"/>
              </w:rPr>
            </w:pPr>
          </w:p>
        </w:tc>
        <w:tc>
          <w:tcPr>
            <w:tcW w:w="1620" w:type="dxa"/>
            <w:vAlign w:val="bottom"/>
            <w:gridSpan w:val="6"/>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40" w:type="dxa"/>
            <w:vAlign w:val="bottom"/>
            <w:gridSpan w:val="2"/>
          </w:tcPr>
          <w:p>
            <w:pPr>
              <w:spacing w:after="0" w:line="20" w:lineRule="exact"/>
              <w:rPr>
                <w:sz w:val="1"/>
                <w:szCs w:val="1"/>
                <w:color w:val="auto"/>
              </w:rPr>
            </w:pPr>
          </w:p>
        </w:tc>
        <w:tc>
          <w:tcPr>
            <w:tcW w:w="46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gridSpan w:val="4"/>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c>
          <w:tcPr>
            <w:tcW w:w="80" w:type="dxa"/>
            <w:vAlign w:val="bottom"/>
            <w:gridSpan w:val="2"/>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c>
          <w:tcPr>
            <w:tcW w:w="10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r>
        <w:trPr>
          <w:trHeight w:val="412"/>
        </w:trPr>
        <w:tc>
          <w:tcPr>
            <w:tcW w:w="480" w:type="dxa"/>
            <w:vAlign w:val="bottom"/>
            <w:gridSpan w:val="4"/>
          </w:tcPr>
          <w:p>
            <w:pPr>
              <w:jc w:val="center"/>
              <w:spacing w:after="0"/>
              <w:rPr>
                <w:rFonts w:ascii="Arial" w:cs="Arial" w:eastAsia="Arial" w:hAnsi="Arial"/>
                <w:sz w:val="18"/>
                <w:szCs w:val="18"/>
                <w:color w:val="0000EE"/>
                <w:w w:val="87"/>
              </w:rPr>
            </w:pPr>
            <w:hyperlink r:id="rId89">
              <w:r>
                <w:rPr>
                  <w:rFonts w:ascii="Arial" w:cs="Arial" w:eastAsia="Arial" w:hAnsi="Arial"/>
                  <w:sz w:val="18"/>
                  <w:szCs w:val="18"/>
                  <w:color w:val="0000EE"/>
                  <w:w w:val="87"/>
                </w:rPr>
                <w:t>10.</w:t>
              </w:r>
              <w:r>
                <w:rPr>
                  <w:rFonts w:ascii="Arial" w:cs="Arial" w:eastAsia="Arial" w:hAnsi="Arial"/>
                  <w:sz w:val="18"/>
                  <w:szCs w:val="18"/>
                  <w:u w:val="single" w:color="auto"/>
                  <w:color w:val="0000EE"/>
                  <w:w w:val="87"/>
                </w:rPr>
                <w:t>7</w:t>
              </w:r>
              <w:r>
                <w:rPr>
                  <w:rFonts w:ascii="Arial" w:cs="Arial" w:eastAsia="Arial" w:hAnsi="Arial"/>
                  <w:sz w:val="18"/>
                  <w:szCs w:val="18"/>
                  <w:color w:val="0000EE"/>
                  <w:w w:val="87"/>
                </w:rPr>
                <w:t xml:space="preserve"> #</w:t>
              </w:r>
            </w:hyperlink>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4820" w:type="dxa"/>
            <w:vAlign w:val="bottom"/>
            <w:gridSpan w:val="35"/>
          </w:tcPr>
          <w:p>
            <w:pPr>
              <w:spacing w:after="0"/>
              <w:rPr>
                <w:rFonts w:ascii="Arial" w:cs="Arial" w:eastAsia="Arial" w:hAnsi="Arial"/>
                <w:sz w:val="18"/>
                <w:szCs w:val="18"/>
                <w:color w:val="0000EE"/>
                <w:w w:val="94"/>
              </w:rPr>
            </w:pPr>
            <w:hyperlink r:id="rId89">
              <w:r>
                <w:rPr>
                  <w:rFonts w:ascii="Arial" w:cs="Arial" w:eastAsia="Arial" w:hAnsi="Arial"/>
                  <w:sz w:val="18"/>
                  <w:szCs w:val="18"/>
                  <w:color w:val="0000EE"/>
                  <w:w w:val="94"/>
                </w:rPr>
                <w:t>Form of Non-Qualified Stock Option Agreement (Non-Employee</w:t>
              </w:r>
            </w:hyperlink>
          </w:p>
        </w:tc>
      </w:tr>
      <w:tr>
        <w:trPr>
          <w:trHeight w:val="196"/>
        </w:trPr>
        <w:tc>
          <w:tcPr>
            <w:tcW w:w="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20" w:type="dxa"/>
            <w:vAlign w:val="bottom"/>
            <w:tcBorders>
              <w:top w:val="single" w:sz="8" w:color="0000EE"/>
            </w:tcBorders>
          </w:tcPr>
          <w:p>
            <w:pPr>
              <w:spacing w:after="0"/>
              <w:rPr>
                <w:sz w:val="17"/>
                <w:szCs w:val="17"/>
                <w:color w:val="auto"/>
              </w:rPr>
            </w:pPr>
          </w:p>
        </w:tc>
        <w:tc>
          <w:tcPr>
            <w:tcW w:w="100" w:type="dxa"/>
            <w:vAlign w:val="bottom"/>
            <w:tcBorders>
              <w:top w:val="single" w:sz="8" w:color="0000EE"/>
            </w:tcBorders>
          </w:tcPr>
          <w:p>
            <w:pPr>
              <w:spacing w:after="0"/>
              <w:rPr>
                <w:sz w:val="17"/>
                <w:szCs w:val="17"/>
                <w:color w:val="auto"/>
              </w:rPr>
            </w:pPr>
          </w:p>
        </w:tc>
        <w:tc>
          <w:tcPr>
            <w:tcW w:w="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4720" w:type="dxa"/>
            <w:vAlign w:val="bottom"/>
            <w:tcBorders>
              <w:top w:val="single" w:sz="8" w:color="0000EE"/>
            </w:tcBorders>
            <w:gridSpan w:val="33"/>
          </w:tcPr>
          <w:p>
            <w:pPr>
              <w:spacing w:after="0" w:line="196" w:lineRule="exact"/>
              <w:rPr>
                <w:rFonts w:ascii="Arial" w:cs="Arial" w:eastAsia="Arial" w:hAnsi="Arial"/>
                <w:sz w:val="18"/>
                <w:szCs w:val="18"/>
                <w:color w:val="0000EE"/>
              </w:rPr>
            </w:pPr>
            <w:hyperlink r:id="rId89">
              <w:r>
                <w:rPr>
                  <w:rFonts w:ascii="Arial" w:cs="Arial" w:eastAsia="Arial" w:hAnsi="Arial"/>
                  <w:sz w:val="18"/>
                  <w:szCs w:val="18"/>
                  <w:color w:val="0000EE"/>
                </w:rPr>
                <w:t>Directors).</w:t>
              </w:r>
            </w:hyperlink>
          </w:p>
        </w:tc>
        <w:tc>
          <w:tcPr>
            <w:tcW w:w="100" w:type="dxa"/>
            <w:vAlign w:val="bottom"/>
            <w:gridSpan w:val="2"/>
          </w:tcPr>
          <w:p>
            <w:pPr>
              <w:spacing w:after="0"/>
              <w:rPr>
                <w:sz w:val="17"/>
                <w:szCs w:val="17"/>
                <w:color w:val="auto"/>
              </w:rPr>
            </w:pPr>
          </w:p>
        </w:tc>
      </w:tr>
      <w:tr>
        <w:trPr>
          <w:trHeight w:val="20"/>
        </w:trPr>
        <w:tc>
          <w:tcPr>
            <w:tcW w:w="160" w:type="dxa"/>
            <w:vAlign w:val="bottom"/>
            <w:gridSpan w:val="2"/>
          </w:tcPr>
          <w:p>
            <w:pPr>
              <w:spacing w:after="0" w:line="20" w:lineRule="exact"/>
              <w:rPr>
                <w:sz w:val="1"/>
                <w:szCs w:val="1"/>
                <w:color w:val="auto"/>
              </w:rPr>
            </w:pPr>
          </w:p>
        </w:tc>
        <w:tc>
          <w:tcPr>
            <w:tcW w:w="32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760" w:type="dxa"/>
            <w:vAlign w:val="bottom"/>
            <w:gridSpan w:val="3"/>
            <w:shd w:val="clear" w:color="auto" w:fill="0000EE"/>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20" w:type="dxa"/>
            <w:vAlign w:val="bottom"/>
            <w:gridSpan w:val="2"/>
          </w:tcPr>
          <w:p>
            <w:pPr>
              <w:spacing w:after="0" w:line="20" w:lineRule="exact"/>
              <w:rPr>
                <w:sz w:val="1"/>
                <w:szCs w:val="1"/>
                <w:color w:val="auto"/>
              </w:rPr>
            </w:pPr>
          </w:p>
        </w:tc>
        <w:tc>
          <w:tcPr>
            <w:tcW w:w="1620" w:type="dxa"/>
            <w:vAlign w:val="bottom"/>
            <w:gridSpan w:val="6"/>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40" w:type="dxa"/>
            <w:vAlign w:val="bottom"/>
            <w:gridSpan w:val="2"/>
          </w:tcPr>
          <w:p>
            <w:pPr>
              <w:spacing w:after="0" w:line="20" w:lineRule="exact"/>
              <w:rPr>
                <w:sz w:val="1"/>
                <w:szCs w:val="1"/>
                <w:color w:val="auto"/>
              </w:rPr>
            </w:pPr>
          </w:p>
        </w:tc>
        <w:tc>
          <w:tcPr>
            <w:tcW w:w="46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gridSpan w:val="4"/>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c>
          <w:tcPr>
            <w:tcW w:w="80" w:type="dxa"/>
            <w:vAlign w:val="bottom"/>
            <w:gridSpan w:val="2"/>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c>
          <w:tcPr>
            <w:tcW w:w="100" w:type="dxa"/>
            <w:vAlign w:val="bottom"/>
            <w:gridSpan w:val="2"/>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r>
        <w:trPr>
          <w:trHeight w:val="412"/>
        </w:trPr>
        <w:tc>
          <w:tcPr>
            <w:tcW w:w="480" w:type="dxa"/>
            <w:vAlign w:val="bottom"/>
            <w:gridSpan w:val="4"/>
          </w:tcPr>
          <w:p>
            <w:pPr>
              <w:jc w:val="center"/>
              <w:spacing w:after="0"/>
              <w:rPr>
                <w:rFonts w:ascii="Arial" w:cs="Arial" w:eastAsia="Arial" w:hAnsi="Arial"/>
                <w:sz w:val="18"/>
                <w:szCs w:val="18"/>
                <w:color w:val="0000EE"/>
                <w:w w:val="87"/>
              </w:rPr>
            </w:pPr>
            <w:hyperlink r:id="rId90">
              <w:r>
                <w:rPr>
                  <w:rFonts w:ascii="Arial" w:cs="Arial" w:eastAsia="Arial" w:hAnsi="Arial"/>
                  <w:sz w:val="18"/>
                  <w:szCs w:val="18"/>
                  <w:color w:val="0000EE"/>
                  <w:w w:val="87"/>
                </w:rPr>
                <w:t>10.</w:t>
              </w:r>
              <w:r>
                <w:rPr>
                  <w:rFonts w:ascii="Arial" w:cs="Arial" w:eastAsia="Arial" w:hAnsi="Arial"/>
                  <w:sz w:val="18"/>
                  <w:szCs w:val="18"/>
                  <w:u w:val="single" w:color="auto"/>
                  <w:color w:val="0000EE"/>
                  <w:w w:val="87"/>
                </w:rPr>
                <w:t>8</w:t>
              </w:r>
              <w:r>
                <w:rPr>
                  <w:rFonts w:ascii="Arial" w:cs="Arial" w:eastAsia="Arial" w:hAnsi="Arial"/>
                  <w:sz w:val="18"/>
                  <w:szCs w:val="18"/>
                  <w:color w:val="0000EE"/>
                  <w:w w:val="87"/>
                </w:rPr>
                <w:t xml:space="preserve"> #</w:t>
              </w:r>
            </w:hyperlink>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4820" w:type="dxa"/>
            <w:vAlign w:val="bottom"/>
            <w:gridSpan w:val="35"/>
          </w:tcPr>
          <w:p>
            <w:pPr>
              <w:spacing w:after="0"/>
              <w:rPr>
                <w:rFonts w:ascii="Arial" w:cs="Arial" w:eastAsia="Arial" w:hAnsi="Arial"/>
                <w:sz w:val="18"/>
                <w:szCs w:val="18"/>
                <w:color w:val="0000EE"/>
              </w:rPr>
            </w:pPr>
            <w:hyperlink r:id="rId90">
              <w:r>
                <w:rPr>
                  <w:rFonts w:ascii="Arial" w:cs="Arial" w:eastAsia="Arial" w:hAnsi="Arial"/>
                  <w:sz w:val="18"/>
                  <w:szCs w:val="18"/>
                  <w:color w:val="0000EE"/>
                </w:rPr>
                <w:t>Form of Deferred Stock Award Agreement.</w:t>
              </w:r>
            </w:hyperlink>
          </w:p>
        </w:tc>
      </w:tr>
      <w:tr>
        <w:trPr>
          <w:trHeight w:val="20"/>
        </w:trPr>
        <w:tc>
          <w:tcPr>
            <w:tcW w:w="160" w:type="dxa"/>
            <w:vAlign w:val="bottom"/>
            <w:tcBorders>
              <w:right w:val="single" w:sz="8" w:color="0000EE"/>
            </w:tcBorders>
            <w:gridSpan w:val="2"/>
          </w:tcPr>
          <w:p>
            <w:pPr>
              <w:spacing w:after="0" w:line="20" w:lineRule="exact"/>
              <w:rPr>
                <w:sz w:val="1"/>
                <w:szCs w:val="1"/>
                <w:color w:val="auto"/>
              </w:rPr>
            </w:pPr>
          </w:p>
        </w:tc>
        <w:tc>
          <w:tcPr>
            <w:tcW w:w="320" w:type="dxa"/>
            <w:vAlign w:val="bottom"/>
            <w:gridSpan w:val="2"/>
            <w:shd w:val="clear" w:color="auto" w:fill="0000EE"/>
          </w:tcPr>
          <w:p>
            <w:pPr>
              <w:spacing w:after="0" w:line="20" w:lineRule="exact"/>
              <w:rPr>
                <w:sz w:val="1"/>
                <w:szCs w:val="1"/>
                <w:color w:val="auto"/>
              </w:rPr>
            </w:pPr>
          </w:p>
        </w:tc>
        <w:tc>
          <w:tcPr>
            <w:tcW w:w="40" w:type="dxa"/>
            <w:vAlign w:val="bottom"/>
            <w:tcBorders>
              <w:left w:val="single" w:sz="8" w:color="0000EE"/>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960" w:type="dxa"/>
            <w:vAlign w:val="bottom"/>
            <w:gridSpan w:val="4"/>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420" w:type="dxa"/>
            <w:vAlign w:val="bottom"/>
            <w:gridSpan w:val="2"/>
            <w:shd w:val="clear" w:color="auto" w:fill="0000EE"/>
          </w:tcPr>
          <w:p>
            <w:pPr>
              <w:spacing w:after="0" w:line="20" w:lineRule="exact"/>
              <w:rPr>
                <w:sz w:val="1"/>
                <w:szCs w:val="1"/>
                <w:color w:val="auto"/>
              </w:rPr>
            </w:pPr>
          </w:p>
        </w:tc>
        <w:tc>
          <w:tcPr>
            <w:tcW w:w="1620" w:type="dxa"/>
            <w:vAlign w:val="bottom"/>
            <w:gridSpan w:val="6"/>
            <w:shd w:val="clear" w:color="auto" w:fill="0000EE"/>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40" w:type="dxa"/>
            <w:vAlign w:val="bottom"/>
            <w:gridSpan w:val="2"/>
          </w:tcPr>
          <w:p>
            <w:pPr>
              <w:spacing w:after="0" w:line="20" w:lineRule="exact"/>
              <w:rPr>
                <w:sz w:val="1"/>
                <w:szCs w:val="1"/>
                <w:color w:val="auto"/>
              </w:rPr>
            </w:pPr>
          </w:p>
        </w:tc>
        <w:tc>
          <w:tcPr>
            <w:tcW w:w="46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gridSpan w:val="4"/>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c>
          <w:tcPr>
            <w:tcW w:w="80" w:type="dxa"/>
            <w:vAlign w:val="bottom"/>
            <w:gridSpan w:val="2"/>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c>
          <w:tcPr>
            <w:tcW w:w="100" w:type="dxa"/>
            <w:vAlign w:val="bottom"/>
            <w:gridSpan w:val="2"/>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r>
        <w:trPr>
          <w:trHeight w:val="628"/>
        </w:trPr>
        <w:tc>
          <w:tcPr>
            <w:tcW w:w="480" w:type="dxa"/>
            <w:vAlign w:val="bottom"/>
            <w:gridSpan w:val="4"/>
          </w:tcPr>
          <w:p>
            <w:pPr>
              <w:jc w:val="center"/>
              <w:spacing w:after="0"/>
              <w:rPr>
                <w:rFonts w:ascii="Arial" w:cs="Arial" w:eastAsia="Arial" w:hAnsi="Arial"/>
                <w:sz w:val="18"/>
                <w:szCs w:val="18"/>
                <w:color w:val="0000EE"/>
                <w:w w:val="87"/>
              </w:rPr>
            </w:pPr>
            <w:hyperlink r:id="rId91">
              <w:r>
                <w:rPr>
                  <w:rFonts w:ascii="Arial" w:cs="Arial" w:eastAsia="Arial" w:hAnsi="Arial"/>
                  <w:sz w:val="18"/>
                  <w:szCs w:val="18"/>
                  <w:color w:val="0000EE"/>
                  <w:w w:val="87"/>
                </w:rPr>
                <w:t>10.</w:t>
              </w:r>
              <w:r>
                <w:rPr>
                  <w:rFonts w:ascii="Arial" w:cs="Arial" w:eastAsia="Arial" w:hAnsi="Arial"/>
                  <w:sz w:val="18"/>
                  <w:szCs w:val="18"/>
                  <w:u w:val="single" w:color="auto"/>
                  <w:color w:val="0000EE"/>
                  <w:w w:val="87"/>
                </w:rPr>
                <w:t>9</w:t>
              </w:r>
              <w:r>
                <w:rPr>
                  <w:rFonts w:ascii="Arial" w:cs="Arial" w:eastAsia="Arial" w:hAnsi="Arial"/>
                  <w:sz w:val="18"/>
                  <w:szCs w:val="18"/>
                  <w:color w:val="0000EE"/>
                  <w:w w:val="87"/>
                </w:rPr>
                <w:t xml:space="preserve"> #</w:t>
              </w:r>
            </w:hyperlink>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4820" w:type="dxa"/>
            <w:vAlign w:val="bottom"/>
            <w:gridSpan w:val="35"/>
          </w:tcPr>
          <w:p>
            <w:pPr>
              <w:spacing w:after="0"/>
              <w:rPr>
                <w:rFonts w:ascii="Arial" w:cs="Arial" w:eastAsia="Arial" w:hAnsi="Arial"/>
                <w:sz w:val="18"/>
                <w:szCs w:val="18"/>
                <w:color w:val="0000EE"/>
                <w:w w:val="99"/>
              </w:rPr>
            </w:pPr>
            <w:hyperlink r:id="rId91">
              <w:r>
                <w:rPr>
                  <w:rFonts w:ascii="Arial" w:cs="Arial" w:eastAsia="Arial" w:hAnsi="Arial"/>
                  <w:sz w:val="18"/>
                  <w:szCs w:val="18"/>
                  <w:color w:val="0000EE"/>
                  <w:w w:val="99"/>
                </w:rPr>
                <w:t>Form of Market Condition Deferred Stock Award Agreement.</w:t>
              </w:r>
            </w:hyperlink>
          </w:p>
        </w:tc>
      </w:tr>
      <w:tr>
        <w:trPr>
          <w:trHeight w:val="20"/>
        </w:trPr>
        <w:tc>
          <w:tcPr>
            <w:tcW w:w="160" w:type="dxa"/>
            <w:vAlign w:val="bottom"/>
            <w:tcBorders>
              <w:right w:val="single" w:sz="8" w:color="0000EE"/>
            </w:tcBorders>
            <w:gridSpan w:val="2"/>
          </w:tcPr>
          <w:p>
            <w:pPr>
              <w:spacing w:after="0" w:line="20" w:lineRule="exact"/>
              <w:rPr>
                <w:sz w:val="1"/>
                <w:szCs w:val="1"/>
                <w:color w:val="auto"/>
              </w:rPr>
            </w:pPr>
          </w:p>
        </w:tc>
        <w:tc>
          <w:tcPr>
            <w:tcW w:w="320" w:type="dxa"/>
            <w:vAlign w:val="bottom"/>
            <w:gridSpan w:val="2"/>
            <w:shd w:val="clear" w:color="auto" w:fill="0000EE"/>
          </w:tcPr>
          <w:p>
            <w:pPr>
              <w:spacing w:after="0" w:line="20" w:lineRule="exact"/>
              <w:rPr>
                <w:sz w:val="1"/>
                <w:szCs w:val="1"/>
                <w:color w:val="auto"/>
              </w:rPr>
            </w:pPr>
          </w:p>
        </w:tc>
        <w:tc>
          <w:tcPr>
            <w:tcW w:w="60" w:type="dxa"/>
            <w:vAlign w:val="bottom"/>
            <w:tcBorders>
              <w:left w:val="single" w:sz="8" w:color="0000EE"/>
            </w:tcBorders>
            <w:gridSpan w:val="2"/>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960" w:type="dxa"/>
            <w:vAlign w:val="bottom"/>
            <w:gridSpan w:val="4"/>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420" w:type="dxa"/>
            <w:vAlign w:val="bottom"/>
            <w:gridSpan w:val="2"/>
            <w:shd w:val="clear" w:color="auto" w:fill="0000EE"/>
          </w:tcPr>
          <w:p>
            <w:pPr>
              <w:spacing w:after="0" w:line="20" w:lineRule="exact"/>
              <w:rPr>
                <w:sz w:val="1"/>
                <w:szCs w:val="1"/>
                <w:color w:val="auto"/>
              </w:rPr>
            </w:pPr>
          </w:p>
        </w:tc>
        <w:tc>
          <w:tcPr>
            <w:tcW w:w="1800" w:type="dxa"/>
            <w:vAlign w:val="bottom"/>
            <w:tcBorders>
              <w:right w:val="single" w:sz="8" w:color="0000EE"/>
            </w:tcBorders>
            <w:gridSpan w:val="7"/>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440" w:type="dxa"/>
            <w:vAlign w:val="bottom"/>
            <w:gridSpan w:val="2"/>
            <w:shd w:val="clear" w:color="auto" w:fill="0000EE"/>
          </w:tcPr>
          <w:p>
            <w:pPr>
              <w:spacing w:after="0" w:line="20" w:lineRule="exact"/>
              <w:rPr>
                <w:sz w:val="1"/>
                <w:szCs w:val="1"/>
                <w:color w:val="auto"/>
              </w:rPr>
            </w:pPr>
          </w:p>
        </w:tc>
        <w:tc>
          <w:tcPr>
            <w:tcW w:w="460" w:type="dxa"/>
            <w:vAlign w:val="bottom"/>
            <w:gridSpan w:val="2"/>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140" w:type="dxa"/>
            <w:vAlign w:val="bottom"/>
            <w:gridSpan w:val="4"/>
            <w:shd w:val="clear" w:color="auto" w:fill="0000EE"/>
          </w:tcPr>
          <w:p>
            <w:pPr>
              <w:spacing w:after="0" w:line="20" w:lineRule="exact"/>
              <w:rPr>
                <w:sz w:val="1"/>
                <w:szCs w:val="1"/>
                <w:color w:val="auto"/>
              </w:rPr>
            </w:pPr>
          </w:p>
        </w:tc>
        <w:tc>
          <w:tcPr>
            <w:tcW w:w="60" w:type="dxa"/>
            <w:vAlign w:val="bottom"/>
            <w:gridSpan w:val="2"/>
            <w:shd w:val="clear" w:color="auto" w:fill="0000EE"/>
          </w:tcPr>
          <w:p>
            <w:pPr>
              <w:spacing w:after="0" w:line="20" w:lineRule="exact"/>
              <w:rPr>
                <w:sz w:val="1"/>
                <w:szCs w:val="1"/>
                <w:color w:val="auto"/>
              </w:rPr>
            </w:pPr>
          </w:p>
        </w:tc>
        <w:tc>
          <w:tcPr>
            <w:tcW w:w="80" w:type="dxa"/>
            <w:vAlign w:val="bottom"/>
            <w:gridSpan w:val="2"/>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c>
          <w:tcPr>
            <w:tcW w:w="100" w:type="dxa"/>
            <w:vAlign w:val="bottom"/>
            <w:gridSpan w:val="2"/>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r>
        <w:trPr>
          <w:trHeight w:val="628"/>
        </w:trPr>
        <w:tc>
          <w:tcPr>
            <w:tcW w:w="1080" w:type="dxa"/>
            <w:vAlign w:val="bottom"/>
            <w:gridSpan w:val="7"/>
          </w:tcPr>
          <w:p>
            <w:pPr>
              <w:jc w:val="center"/>
              <w:ind w:right="540"/>
              <w:spacing w:after="0"/>
              <w:rPr>
                <w:rFonts w:ascii="Arial" w:cs="Arial" w:eastAsia="Arial" w:hAnsi="Arial"/>
                <w:sz w:val="18"/>
                <w:szCs w:val="18"/>
                <w:color w:val="0000EE"/>
                <w:w w:val="89"/>
              </w:rPr>
            </w:pPr>
            <w:hyperlink r:id="rId92">
              <w:r>
                <w:rPr>
                  <w:rFonts w:ascii="Arial" w:cs="Arial" w:eastAsia="Arial" w:hAnsi="Arial"/>
                  <w:sz w:val="18"/>
                  <w:szCs w:val="18"/>
                  <w:color w:val="0000EE"/>
                  <w:w w:val="89"/>
                </w:rPr>
                <w:t>10.</w:t>
              </w:r>
              <w:r>
                <w:rPr>
                  <w:rFonts w:ascii="Arial" w:cs="Arial" w:eastAsia="Arial" w:hAnsi="Arial"/>
                  <w:sz w:val="18"/>
                  <w:szCs w:val="18"/>
                  <w:u w:val="single" w:color="auto"/>
                  <w:color w:val="0000EE"/>
                  <w:w w:val="89"/>
                </w:rPr>
                <w:t>10</w:t>
              </w:r>
              <w:r>
                <w:rPr>
                  <w:rFonts w:ascii="Arial" w:cs="Arial" w:eastAsia="Arial" w:hAnsi="Arial"/>
                  <w:sz w:val="18"/>
                  <w:szCs w:val="18"/>
                  <w:color w:val="0000EE"/>
                  <w:w w:val="89"/>
                </w:rPr>
                <w:t xml:space="preserve"> #</w:t>
              </w:r>
            </w:hyperlink>
          </w:p>
        </w:tc>
        <w:tc>
          <w:tcPr>
            <w:tcW w:w="4820" w:type="dxa"/>
            <w:vAlign w:val="bottom"/>
            <w:gridSpan w:val="35"/>
          </w:tcPr>
          <w:p>
            <w:pPr>
              <w:spacing w:after="0"/>
              <w:rPr>
                <w:rFonts w:ascii="Arial" w:cs="Arial" w:eastAsia="Arial" w:hAnsi="Arial"/>
                <w:sz w:val="18"/>
                <w:szCs w:val="18"/>
                <w:color w:val="0000EE"/>
                <w:w w:val="95"/>
              </w:rPr>
            </w:pPr>
            <w:hyperlink r:id="rId92">
              <w:r>
                <w:rPr>
                  <w:rFonts w:ascii="Arial" w:cs="Arial" w:eastAsia="Arial" w:hAnsi="Arial"/>
                  <w:sz w:val="18"/>
                  <w:szCs w:val="18"/>
                  <w:color w:val="0000EE"/>
                  <w:w w:val="95"/>
                </w:rPr>
                <w:t>Employment Agreement between Harvard Bioscience, Inc. and</w:t>
              </w:r>
            </w:hyperlink>
          </w:p>
        </w:tc>
      </w:tr>
      <w:tr>
        <w:trPr>
          <w:trHeight w:val="196"/>
        </w:trPr>
        <w:tc>
          <w:tcPr>
            <w:tcW w:w="40" w:type="dxa"/>
            <w:vAlign w:val="bottom"/>
            <w:tcBorders>
              <w:top w:val="single" w:sz="8" w:color="0000EE"/>
            </w:tcBorders>
          </w:tcPr>
          <w:p>
            <w:pPr>
              <w:spacing w:after="0"/>
              <w:rPr>
                <w:sz w:val="17"/>
                <w:szCs w:val="17"/>
                <w:color w:val="auto"/>
              </w:rPr>
            </w:pPr>
          </w:p>
        </w:tc>
        <w:tc>
          <w:tcPr>
            <w:tcW w:w="120" w:type="dxa"/>
            <w:vAlign w:val="bottom"/>
            <w:tcBorders>
              <w:top w:val="single" w:sz="8" w:color="0000EE"/>
            </w:tcBorders>
          </w:tcPr>
          <w:p>
            <w:pPr>
              <w:spacing w:after="0"/>
              <w:rPr>
                <w:sz w:val="17"/>
                <w:szCs w:val="17"/>
                <w:color w:val="auto"/>
              </w:rPr>
            </w:pPr>
          </w:p>
        </w:tc>
        <w:tc>
          <w:tcPr>
            <w:tcW w:w="220" w:type="dxa"/>
            <w:vAlign w:val="bottom"/>
            <w:tcBorders>
              <w:top w:val="single" w:sz="8" w:color="0000EE"/>
            </w:tcBorders>
          </w:tcPr>
          <w:p>
            <w:pPr>
              <w:spacing w:after="0"/>
              <w:rPr>
                <w:sz w:val="17"/>
                <w:szCs w:val="17"/>
                <w:color w:val="auto"/>
              </w:rPr>
            </w:pPr>
          </w:p>
        </w:tc>
        <w:tc>
          <w:tcPr>
            <w:tcW w:w="100" w:type="dxa"/>
            <w:vAlign w:val="bottom"/>
            <w:tcBorders>
              <w:top w:val="single" w:sz="8" w:color="0000EE"/>
            </w:tcBorders>
          </w:tcPr>
          <w:p>
            <w:pPr>
              <w:spacing w:after="0"/>
              <w:rPr>
                <w:sz w:val="17"/>
                <w:szCs w:val="17"/>
                <w:color w:val="auto"/>
              </w:rPr>
            </w:pPr>
          </w:p>
        </w:tc>
        <w:tc>
          <w:tcPr>
            <w:tcW w:w="40" w:type="dxa"/>
            <w:vAlign w:val="bottom"/>
            <w:tcBorders>
              <w:top w:val="single" w:sz="8" w:color="0000EE"/>
            </w:tcBorders>
          </w:tcPr>
          <w:p>
            <w:pPr>
              <w:spacing w:after="0"/>
              <w:rPr>
                <w:sz w:val="17"/>
                <w:szCs w:val="17"/>
                <w:color w:val="auto"/>
              </w:rPr>
            </w:pPr>
          </w:p>
        </w:tc>
        <w:tc>
          <w:tcPr>
            <w:tcW w:w="20" w:type="dxa"/>
            <w:vAlign w:val="bottom"/>
            <w:tcBorders>
              <w:top w:val="single" w:sz="8" w:color="0000EE"/>
            </w:tcBorders>
          </w:tcPr>
          <w:p>
            <w:pPr>
              <w:spacing w:after="0"/>
              <w:rPr>
                <w:sz w:val="17"/>
                <w:szCs w:val="17"/>
                <w:color w:val="auto"/>
              </w:rPr>
            </w:pPr>
          </w:p>
        </w:tc>
        <w:tc>
          <w:tcPr>
            <w:tcW w:w="540" w:type="dxa"/>
            <w:vAlign w:val="bottom"/>
          </w:tcPr>
          <w:p>
            <w:pPr>
              <w:spacing w:after="0"/>
              <w:rPr>
                <w:sz w:val="17"/>
                <w:szCs w:val="17"/>
                <w:color w:val="auto"/>
              </w:rPr>
            </w:pPr>
          </w:p>
        </w:tc>
        <w:tc>
          <w:tcPr>
            <w:tcW w:w="4540" w:type="dxa"/>
            <w:vAlign w:val="bottom"/>
            <w:tcBorders>
              <w:top w:val="single" w:sz="8" w:color="0000EE"/>
            </w:tcBorders>
            <w:gridSpan w:val="28"/>
          </w:tcPr>
          <w:p>
            <w:pPr>
              <w:spacing w:after="0" w:line="196" w:lineRule="exact"/>
              <w:rPr>
                <w:rFonts w:ascii="Arial" w:cs="Arial" w:eastAsia="Arial" w:hAnsi="Arial"/>
                <w:sz w:val="18"/>
                <w:szCs w:val="18"/>
                <w:color w:val="0000EE"/>
              </w:rPr>
            </w:pPr>
            <w:hyperlink r:id="rId92">
              <w:r>
                <w:rPr>
                  <w:rFonts w:ascii="Arial" w:cs="Arial" w:eastAsia="Arial" w:hAnsi="Arial"/>
                  <w:sz w:val="18"/>
                  <w:szCs w:val="18"/>
                  <w:color w:val="0000EE"/>
                </w:rPr>
                <w:t>James Green.</w:t>
              </w:r>
            </w:hyperlink>
          </w:p>
        </w:tc>
        <w:tc>
          <w:tcPr>
            <w:tcW w:w="280" w:type="dxa"/>
            <w:vAlign w:val="bottom"/>
            <w:gridSpan w:val="7"/>
          </w:tcPr>
          <w:p>
            <w:pPr>
              <w:spacing w:after="0"/>
              <w:rPr>
                <w:sz w:val="17"/>
                <w:szCs w:val="17"/>
                <w:color w:val="auto"/>
              </w:rPr>
            </w:pPr>
          </w:p>
        </w:tc>
      </w:tr>
      <w:tr>
        <w:trPr>
          <w:trHeight w:val="20"/>
        </w:trPr>
        <w:tc>
          <w:tcPr>
            <w:tcW w:w="160" w:type="dxa"/>
            <w:vAlign w:val="bottom"/>
            <w:gridSpan w:val="2"/>
          </w:tcPr>
          <w:p>
            <w:pPr>
              <w:spacing w:after="0" w:line="20" w:lineRule="exact"/>
              <w:rPr>
                <w:sz w:val="1"/>
                <w:szCs w:val="1"/>
                <w:color w:val="auto"/>
              </w:rPr>
            </w:pPr>
          </w:p>
        </w:tc>
        <w:tc>
          <w:tcPr>
            <w:tcW w:w="320" w:type="dxa"/>
            <w:vAlign w:val="bottom"/>
            <w:gridSpan w:val="2"/>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960" w:type="dxa"/>
            <w:vAlign w:val="bottom"/>
            <w:gridSpan w:val="4"/>
            <w:shd w:val="clear" w:color="auto" w:fill="0000EE"/>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20" w:type="dxa"/>
            <w:vAlign w:val="bottom"/>
            <w:gridSpan w:val="2"/>
          </w:tcPr>
          <w:p>
            <w:pPr>
              <w:spacing w:after="0" w:line="20" w:lineRule="exact"/>
              <w:rPr>
                <w:sz w:val="1"/>
                <w:szCs w:val="1"/>
                <w:color w:val="auto"/>
              </w:rPr>
            </w:pPr>
          </w:p>
        </w:tc>
        <w:tc>
          <w:tcPr>
            <w:tcW w:w="1800" w:type="dxa"/>
            <w:vAlign w:val="bottom"/>
            <w:gridSpan w:val="7"/>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40" w:type="dxa"/>
            <w:vAlign w:val="bottom"/>
            <w:gridSpan w:val="2"/>
          </w:tcPr>
          <w:p>
            <w:pPr>
              <w:spacing w:after="0" w:line="20" w:lineRule="exact"/>
              <w:rPr>
                <w:sz w:val="1"/>
                <w:szCs w:val="1"/>
                <w:color w:val="auto"/>
              </w:rPr>
            </w:pPr>
          </w:p>
        </w:tc>
        <w:tc>
          <w:tcPr>
            <w:tcW w:w="46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gridSpan w:val="4"/>
          </w:tcPr>
          <w:p>
            <w:pPr>
              <w:spacing w:after="0" w:line="20" w:lineRule="exact"/>
              <w:rPr>
                <w:sz w:val="1"/>
                <w:szCs w:val="1"/>
                <w:color w:val="auto"/>
              </w:rPr>
            </w:pPr>
          </w:p>
        </w:tc>
        <w:tc>
          <w:tcPr>
            <w:tcW w:w="200" w:type="dxa"/>
            <w:vAlign w:val="bottom"/>
            <w:gridSpan w:val="6"/>
          </w:tcPr>
          <w:p>
            <w:pPr>
              <w:spacing w:after="0" w:line="20" w:lineRule="exact"/>
              <w:rPr>
                <w:sz w:val="1"/>
                <w:szCs w:val="1"/>
                <w:color w:val="auto"/>
              </w:rPr>
            </w:pPr>
          </w:p>
        </w:tc>
        <w:tc>
          <w:tcPr>
            <w:tcW w:w="100" w:type="dxa"/>
            <w:vAlign w:val="bottom"/>
            <w:gridSpan w:val="2"/>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r>
        <w:trPr>
          <w:trHeight w:val="412"/>
        </w:trPr>
        <w:tc>
          <w:tcPr>
            <w:tcW w:w="540" w:type="dxa"/>
            <w:vAlign w:val="bottom"/>
            <w:gridSpan w:val="6"/>
          </w:tcPr>
          <w:p>
            <w:pPr>
              <w:jc w:val="center"/>
              <w:spacing w:after="0"/>
              <w:rPr>
                <w:rFonts w:ascii="Arial" w:cs="Arial" w:eastAsia="Arial" w:hAnsi="Arial"/>
                <w:sz w:val="18"/>
                <w:szCs w:val="18"/>
                <w:color w:val="0000EE"/>
                <w:w w:val="89"/>
              </w:rPr>
            </w:pPr>
            <w:hyperlink r:id="rId93">
              <w:r>
                <w:rPr>
                  <w:rFonts w:ascii="Arial" w:cs="Arial" w:eastAsia="Arial" w:hAnsi="Arial"/>
                  <w:sz w:val="18"/>
                  <w:szCs w:val="18"/>
                  <w:color w:val="0000EE"/>
                  <w:w w:val="89"/>
                </w:rPr>
                <w:t>10.</w:t>
              </w:r>
              <w:r>
                <w:rPr>
                  <w:rFonts w:ascii="Arial" w:cs="Arial" w:eastAsia="Arial" w:hAnsi="Arial"/>
                  <w:sz w:val="18"/>
                  <w:szCs w:val="18"/>
                  <w:u w:val="single" w:color="auto"/>
                  <w:color w:val="0000EE"/>
                  <w:w w:val="89"/>
                </w:rPr>
                <w:t>11</w:t>
              </w:r>
              <w:r>
                <w:rPr>
                  <w:rFonts w:ascii="Arial" w:cs="Arial" w:eastAsia="Arial" w:hAnsi="Arial"/>
                  <w:sz w:val="18"/>
                  <w:szCs w:val="18"/>
                  <w:color w:val="0000EE"/>
                  <w:w w:val="89"/>
                </w:rPr>
                <w:t xml:space="preserve"> #</w:t>
              </w:r>
            </w:hyperlink>
          </w:p>
        </w:tc>
        <w:tc>
          <w:tcPr>
            <w:tcW w:w="540" w:type="dxa"/>
            <w:vAlign w:val="bottom"/>
          </w:tcPr>
          <w:p>
            <w:pPr>
              <w:spacing w:after="0"/>
              <w:rPr>
                <w:sz w:val="24"/>
                <w:szCs w:val="24"/>
                <w:color w:val="auto"/>
              </w:rPr>
            </w:pPr>
          </w:p>
        </w:tc>
        <w:tc>
          <w:tcPr>
            <w:tcW w:w="4820" w:type="dxa"/>
            <w:vAlign w:val="bottom"/>
            <w:gridSpan w:val="35"/>
          </w:tcPr>
          <w:p>
            <w:pPr>
              <w:spacing w:after="0"/>
              <w:rPr>
                <w:rFonts w:ascii="Arial" w:cs="Arial" w:eastAsia="Arial" w:hAnsi="Arial"/>
                <w:sz w:val="18"/>
                <w:szCs w:val="18"/>
                <w:color w:val="0000EE"/>
                <w:w w:val="95"/>
              </w:rPr>
            </w:pPr>
            <w:hyperlink r:id="rId93">
              <w:r>
                <w:rPr>
                  <w:rFonts w:ascii="Arial" w:cs="Arial" w:eastAsia="Arial" w:hAnsi="Arial"/>
                  <w:sz w:val="18"/>
                  <w:szCs w:val="18"/>
                  <w:color w:val="0000EE"/>
                  <w:w w:val="95"/>
                </w:rPr>
                <w:t>Employment Agreement between Harvard Bioscience, Inc. and</w:t>
              </w:r>
            </w:hyperlink>
          </w:p>
        </w:tc>
      </w:tr>
      <w:tr>
        <w:trPr>
          <w:trHeight w:val="196"/>
        </w:trPr>
        <w:tc>
          <w:tcPr>
            <w:tcW w:w="40" w:type="dxa"/>
            <w:vAlign w:val="bottom"/>
            <w:tcBorders>
              <w:top w:val="single" w:sz="8" w:color="0000EE"/>
            </w:tcBorders>
          </w:tcPr>
          <w:p>
            <w:pPr>
              <w:spacing w:after="0"/>
              <w:rPr>
                <w:sz w:val="17"/>
                <w:szCs w:val="17"/>
                <w:color w:val="auto"/>
              </w:rPr>
            </w:pPr>
          </w:p>
        </w:tc>
        <w:tc>
          <w:tcPr>
            <w:tcW w:w="120" w:type="dxa"/>
            <w:vAlign w:val="bottom"/>
            <w:tcBorders>
              <w:top w:val="single" w:sz="8" w:color="0000EE"/>
            </w:tcBorders>
          </w:tcPr>
          <w:p>
            <w:pPr>
              <w:spacing w:after="0"/>
              <w:rPr>
                <w:sz w:val="17"/>
                <w:szCs w:val="17"/>
                <w:color w:val="auto"/>
              </w:rPr>
            </w:pPr>
          </w:p>
        </w:tc>
        <w:tc>
          <w:tcPr>
            <w:tcW w:w="220" w:type="dxa"/>
            <w:vAlign w:val="bottom"/>
            <w:tcBorders>
              <w:top w:val="single" w:sz="8" w:color="0000EE"/>
            </w:tcBorders>
          </w:tcPr>
          <w:p>
            <w:pPr>
              <w:spacing w:after="0"/>
              <w:rPr>
                <w:sz w:val="17"/>
                <w:szCs w:val="17"/>
                <w:color w:val="auto"/>
              </w:rPr>
            </w:pPr>
          </w:p>
        </w:tc>
        <w:tc>
          <w:tcPr>
            <w:tcW w:w="100" w:type="dxa"/>
            <w:vAlign w:val="bottom"/>
            <w:tcBorders>
              <w:top w:val="single" w:sz="8" w:color="0000EE"/>
            </w:tcBorders>
          </w:tcPr>
          <w:p>
            <w:pPr>
              <w:spacing w:after="0"/>
              <w:rPr>
                <w:sz w:val="17"/>
                <w:szCs w:val="17"/>
                <w:color w:val="auto"/>
              </w:rPr>
            </w:pPr>
          </w:p>
        </w:tc>
        <w:tc>
          <w:tcPr>
            <w:tcW w:w="40" w:type="dxa"/>
            <w:vAlign w:val="bottom"/>
            <w:tcBorders>
              <w:top w:val="single" w:sz="8" w:color="0000EE"/>
            </w:tcBorders>
          </w:tcPr>
          <w:p>
            <w:pPr>
              <w:spacing w:after="0"/>
              <w:rPr>
                <w:sz w:val="17"/>
                <w:szCs w:val="17"/>
                <w:color w:val="auto"/>
              </w:rPr>
            </w:pPr>
          </w:p>
        </w:tc>
        <w:tc>
          <w:tcPr>
            <w:tcW w:w="20" w:type="dxa"/>
            <w:vAlign w:val="bottom"/>
            <w:tcBorders>
              <w:top w:val="single" w:sz="8" w:color="0000EE"/>
            </w:tcBorders>
          </w:tcPr>
          <w:p>
            <w:pPr>
              <w:spacing w:after="0"/>
              <w:rPr>
                <w:sz w:val="17"/>
                <w:szCs w:val="17"/>
                <w:color w:val="auto"/>
              </w:rPr>
            </w:pPr>
          </w:p>
        </w:tc>
        <w:tc>
          <w:tcPr>
            <w:tcW w:w="540" w:type="dxa"/>
            <w:vAlign w:val="bottom"/>
          </w:tcPr>
          <w:p>
            <w:pPr>
              <w:spacing w:after="0"/>
              <w:rPr>
                <w:sz w:val="17"/>
                <w:szCs w:val="17"/>
                <w:color w:val="auto"/>
              </w:rPr>
            </w:pPr>
          </w:p>
        </w:tc>
        <w:tc>
          <w:tcPr>
            <w:tcW w:w="1080" w:type="dxa"/>
            <w:vAlign w:val="bottom"/>
            <w:tcBorders>
              <w:top w:val="single" w:sz="8" w:color="0000EE"/>
              <w:bottom w:val="single" w:sz="8" w:color="0000EE"/>
            </w:tcBorders>
            <w:gridSpan w:val="5"/>
          </w:tcPr>
          <w:p>
            <w:pPr>
              <w:spacing w:after="0" w:line="196" w:lineRule="exact"/>
              <w:rPr>
                <w:rFonts w:ascii="Arial" w:cs="Arial" w:eastAsia="Arial" w:hAnsi="Arial"/>
                <w:sz w:val="18"/>
                <w:szCs w:val="18"/>
                <w:color w:val="0000EE"/>
                <w:w w:val="90"/>
              </w:rPr>
            </w:pPr>
            <w:hyperlink r:id="rId93">
              <w:r>
                <w:rPr>
                  <w:rFonts w:ascii="Arial" w:cs="Arial" w:eastAsia="Arial" w:hAnsi="Arial"/>
                  <w:sz w:val="18"/>
                  <w:szCs w:val="18"/>
                  <w:color w:val="0000EE"/>
                  <w:w w:val="90"/>
                </w:rPr>
                <w:t>Michael Rossi.</w:t>
              </w:r>
            </w:hyperlink>
          </w:p>
        </w:tc>
        <w:tc>
          <w:tcPr>
            <w:tcW w:w="3460" w:type="dxa"/>
            <w:vAlign w:val="bottom"/>
            <w:tcBorders>
              <w:top w:val="single" w:sz="8" w:color="0000EE"/>
            </w:tcBorders>
            <w:gridSpan w:val="23"/>
          </w:tcPr>
          <w:p>
            <w:pPr>
              <w:spacing w:after="0"/>
              <w:rPr>
                <w:sz w:val="17"/>
                <w:szCs w:val="17"/>
                <w:color w:val="auto"/>
              </w:rPr>
            </w:pPr>
          </w:p>
        </w:tc>
        <w:tc>
          <w:tcPr>
            <w:tcW w:w="280" w:type="dxa"/>
            <w:vAlign w:val="bottom"/>
            <w:gridSpan w:val="7"/>
          </w:tcPr>
          <w:p>
            <w:pPr>
              <w:spacing w:after="0"/>
              <w:rPr>
                <w:sz w:val="17"/>
                <w:szCs w:val="17"/>
                <w:color w:val="auto"/>
              </w:rPr>
            </w:pPr>
          </w:p>
        </w:tc>
      </w:tr>
      <w:tr>
        <w:trPr>
          <w:trHeight w:val="412"/>
        </w:trPr>
        <w:tc>
          <w:tcPr>
            <w:tcW w:w="480" w:type="dxa"/>
            <w:vAlign w:val="bottom"/>
            <w:gridSpan w:val="4"/>
          </w:tcPr>
          <w:p>
            <w:pPr>
              <w:jc w:val="center"/>
              <w:spacing w:after="0"/>
              <w:rPr>
                <w:rFonts w:ascii="Arial" w:cs="Arial" w:eastAsia="Arial" w:hAnsi="Arial"/>
                <w:sz w:val="18"/>
                <w:szCs w:val="18"/>
                <w:color w:val="0000EE"/>
                <w:w w:val="88"/>
              </w:rPr>
            </w:pPr>
            <w:hyperlink r:id="rId94">
              <w:r>
                <w:rPr>
                  <w:rFonts w:ascii="Arial" w:cs="Arial" w:eastAsia="Arial" w:hAnsi="Arial"/>
                  <w:sz w:val="18"/>
                  <w:szCs w:val="18"/>
                  <w:color w:val="0000EE"/>
                  <w:w w:val="88"/>
                </w:rPr>
                <w:t>10.</w:t>
              </w:r>
              <w:r>
                <w:rPr>
                  <w:rFonts w:ascii="Arial" w:cs="Arial" w:eastAsia="Arial" w:hAnsi="Arial"/>
                  <w:sz w:val="18"/>
                  <w:szCs w:val="18"/>
                  <w:u w:val="single" w:color="auto"/>
                  <w:color w:val="0000EE"/>
                  <w:w w:val="88"/>
                </w:rPr>
                <w:t>12</w:t>
              </w:r>
            </w:hyperlink>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4820" w:type="dxa"/>
            <w:vAlign w:val="bottom"/>
            <w:gridSpan w:val="35"/>
          </w:tcPr>
          <w:p>
            <w:pPr>
              <w:spacing w:after="0"/>
              <w:rPr>
                <w:rFonts w:ascii="Arial" w:cs="Arial" w:eastAsia="Arial" w:hAnsi="Arial"/>
                <w:sz w:val="18"/>
                <w:szCs w:val="18"/>
                <w:color w:val="0000EE"/>
                <w:w w:val="89"/>
              </w:rPr>
            </w:pPr>
            <w:hyperlink r:id="rId94">
              <w:r>
                <w:rPr>
                  <w:rFonts w:ascii="Arial" w:cs="Arial" w:eastAsia="Arial" w:hAnsi="Arial"/>
                  <w:sz w:val="18"/>
                  <w:szCs w:val="18"/>
                  <w:color w:val="0000EE"/>
                  <w:w w:val="89"/>
                </w:rPr>
                <w:t>Consulting Agreement, dated as of March 2, 2020, by and between</w:t>
              </w:r>
            </w:hyperlink>
          </w:p>
        </w:tc>
      </w:tr>
      <w:tr>
        <w:trPr>
          <w:trHeight w:val="196"/>
        </w:trPr>
        <w:tc>
          <w:tcPr>
            <w:tcW w:w="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20" w:type="dxa"/>
            <w:vAlign w:val="bottom"/>
            <w:tcBorders>
              <w:top w:val="single" w:sz="8" w:color="0000EE"/>
            </w:tcBorders>
          </w:tcPr>
          <w:p>
            <w:pPr>
              <w:spacing w:after="0"/>
              <w:rPr>
                <w:sz w:val="17"/>
                <w:szCs w:val="17"/>
                <w:color w:val="auto"/>
              </w:rPr>
            </w:pPr>
          </w:p>
        </w:tc>
        <w:tc>
          <w:tcPr>
            <w:tcW w:w="100" w:type="dxa"/>
            <w:vAlign w:val="bottom"/>
            <w:tcBorders>
              <w:top w:val="single" w:sz="8" w:color="0000EE"/>
            </w:tcBorders>
          </w:tcPr>
          <w:p>
            <w:pPr>
              <w:spacing w:after="0"/>
              <w:rPr>
                <w:sz w:val="17"/>
                <w:szCs w:val="17"/>
                <w:color w:val="auto"/>
              </w:rPr>
            </w:pPr>
          </w:p>
        </w:tc>
        <w:tc>
          <w:tcPr>
            <w:tcW w:w="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3340" w:type="dxa"/>
            <w:vAlign w:val="bottom"/>
            <w:tcBorders>
              <w:top w:val="single" w:sz="8" w:color="0000EE"/>
              <w:bottom w:val="single" w:sz="8" w:color="0000EE"/>
            </w:tcBorders>
            <w:gridSpan w:val="15"/>
          </w:tcPr>
          <w:p>
            <w:pPr>
              <w:spacing w:after="0" w:line="196" w:lineRule="exact"/>
              <w:rPr>
                <w:rFonts w:ascii="Arial" w:cs="Arial" w:eastAsia="Arial" w:hAnsi="Arial"/>
                <w:sz w:val="18"/>
                <w:szCs w:val="18"/>
                <w:color w:val="0000EE"/>
                <w:w w:val="89"/>
              </w:rPr>
            </w:pPr>
            <w:hyperlink r:id="rId94">
              <w:r>
                <w:rPr>
                  <w:rFonts w:ascii="Arial" w:cs="Arial" w:eastAsia="Arial" w:hAnsi="Arial"/>
                  <w:sz w:val="18"/>
                  <w:szCs w:val="18"/>
                  <w:color w:val="0000EE"/>
                  <w:w w:val="89"/>
                </w:rPr>
                <w:t>Harvard Bioscience, Inc. and Chane Graziano.</w:t>
              </w:r>
            </w:hyperlink>
          </w:p>
        </w:tc>
        <w:tc>
          <w:tcPr>
            <w:tcW w:w="1480" w:type="dxa"/>
            <w:vAlign w:val="bottom"/>
            <w:tcBorders>
              <w:top w:val="single" w:sz="8" w:color="0000EE"/>
            </w:tcBorders>
            <w:gridSpan w:val="20"/>
          </w:tcPr>
          <w:p>
            <w:pPr>
              <w:spacing w:after="0"/>
              <w:rPr>
                <w:sz w:val="17"/>
                <w:szCs w:val="17"/>
                <w:color w:val="auto"/>
              </w:rPr>
            </w:pPr>
          </w:p>
        </w:tc>
      </w:tr>
      <w:tr>
        <w:trPr>
          <w:trHeight w:val="412"/>
        </w:trPr>
        <w:tc>
          <w:tcPr>
            <w:tcW w:w="480" w:type="dxa"/>
            <w:vAlign w:val="bottom"/>
            <w:gridSpan w:val="4"/>
          </w:tcPr>
          <w:p>
            <w:pPr>
              <w:jc w:val="center"/>
              <w:spacing w:after="0"/>
              <w:rPr>
                <w:rFonts w:ascii="Arial" w:cs="Arial" w:eastAsia="Arial" w:hAnsi="Arial"/>
                <w:sz w:val="18"/>
                <w:szCs w:val="18"/>
                <w:color w:val="0000EE"/>
                <w:w w:val="88"/>
              </w:rPr>
            </w:pPr>
            <w:hyperlink r:id="rId95">
              <w:r>
                <w:rPr>
                  <w:rFonts w:ascii="Arial" w:cs="Arial" w:eastAsia="Arial" w:hAnsi="Arial"/>
                  <w:sz w:val="18"/>
                  <w:szCs w:val="18"/>
                  <w:color w:val="0000EE"/>
                  <w:w w:val="88"/>
                </w:rPr>
                <w:t>10.</w:t>
              </w:r>
              <w:r>
                <w:rPr>
                  <w:rFonts w:ascii="Arial" w:cs="Arial" w:eastAsia="Arial" w:hAnsi="Arial"/>
                  <w:sz w:val="18"/>
                  <w:szCs w:val="18"/>
                  <w:u w:val="single" w:color="auto"/>
                  <w:color w:val="0000EE"/>
                  <w:w w:val="88"/>
                </w:rPr>
                <w:t>13</w:t>
              </w:r>
            </w:hyperlink>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4820" w:type="dxa"/>
            <w:vAlign w:val="bottom"/>
            <w:gridSpan w:val="35"/>
          </w:tcPr>
          <w:p>
            <w:pPr>
              <w:spacing w:after="0"/>
              <w:rPr>
                <w:rFonts w:ascii="Arial" w:cs="Arial" w:eastAsia="Arial" w:hAnsi="Arial"/>
                <w:sz w:val="18"/>
                <w:szCs w:val="18"/>
                <w:color w:val="0000EE"/>
                <w:w w:val="91"/>
              </w:rPr>
            </w:pPr>
            <w:hyperlink r:id="rId95">
              <w:r>
                <w:rPr>
                  <w:rFonts w:ascii="Arial" w:cs="Arial" w:eastAsia="Arial" w:hAnsi="Arial"/>
                  <w:sz w:val="18"/>
                  <w:szCs w:val="18"/>
                  <w:color w:val="0000EE"/>
                  <w:w w:val="91"/>
                </w:rPr>
                <w:t>Credit Agreement dated as of December 22, 2020 among Harvard</w:t>
              </w:r>
            </w:hyperlink>
          </w:p>
        </w:tc>
      </w:tr>
      <w:tr>
        <w:trPr>
          <w:trHeight w:val="196"/>
        </w:trPr>
        <w:tc>
          <w:tcPr>
            <w:tcW w:w="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20" w:type="dxa"/>
            <w:vAlign w:val="bottom"/>
            <w:tcBorders>
              <w:top w:val="single" w:sz="8" w:color="0000EE"/>
            </w:tcBorders>
          </w:tcPr>
          <w:p>
            <w:pPr>
              <w:spacing w:after="0"/>
              <w:rPr>
                <w:sz w:val="17"/>
                <w:szCs w:val="17"/>
                <w:color w:val="auto"/>
              </w:rPr>
            </w:pPr>
          </w:p>
        </w:tc>
        <w:tc>
          <w:tcPr>
            <w:tcW w:w="100" w:type="dxa"/>
            <w:vAlign w:val="bottom"/>
            <w:tcBorders>
              <w:top w:val="single" w:sz="8" w:color="0000EE"/>
            </w:tcBorders>
          </w:tcPr>
          <w:p>
            <w:pPr>
              <w:spacing w:after="0"/>
              <w:rPr>
                <w:sz w:val="17"/>
                <w:szCs w:val="17"/>
                <w:color w:val="auto"/>
              </w:rPr>
            </w:pPr>
          </w:p>
        </w:tc>
        <w:tc>
          <w:tcPr>
            <w:tcW w:w="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4740" w:type="dxa"/>
            <w:vAlign w:val="bottom"/>
            <w:tcBorders>
              <w:top w:val="single" w:sz="8" w:color="0000EE"/>
            </w:tcBorders>
            <w:gridSpan w:val="34"/>
          </w:tcPr>
          <w:p>
            <w:pPr>
              <w:spacing w:after="0" w:line="196" w:lineRule="exact"/>
              <w:rPr>
                <w:rFonts w:ascii="Arial" w:cs="Arial" w:eastAsia="Arial" w:hAnsi="Arial"/>
                <w:sz w:val="18"/>
                <w:szCs w:val="18"/>
                <w:color w:val="0000EE"/>
                <w:w w:val="99"/>
              </w:rPr>
            </w:pPr>
            <w:hyperlink r:id="rId95">
              <w:r>
                <w:rPr>
                  <w:rFonts w:ascii="Arial" w:cs="Arial" w:eastAsia="Arial" w:hAnsi="Arial"/>
                  <w:sz w:val="18"/>
                  <w:szCs w:val="18"/>
                  <w:color w:val="0000EE"/>
                  <w:w w:val="99"/>
                </w:rPr>
                <w:t>Bioscience, Inc., as borrower, the lenders party thereto, and</w:t>
              </w:r>
            </w:hyperlink>
          </w:p>
        </w:tc>
        <w:tc>
          <w:tcPr>
            <w:tcW w:w="80" w:type="dxa"/>
            <w:vAlign w:val="bottom"/>
          </w:tcPr>
          <w:p>
            <w:pPr>
              <w:spacing w:after="0"/>
              <w:rPr>
                <w:sz w:val="17"/>
                <w:szCs w:val="17"/>
                <w:color w:val="auto"/>
              </w:rPr>
            </w:pPr>
          </w:p>
        </w:tc>
      </w:tr>
      <w:tr>
        <w:trPr>
          <w:trHeight w:val="196"/>
        </w:trPr>
        <w:tc>
          <w:tcPr>
            <w:tcW w:w="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3300" w:type="dxa"/>
            <w:vAlign w:val="bottom"/>
            <w:tcBorders>
              <w:top w:val="single" w:sz="8" w:color="0000EE"/>
              <w:bottom w:val="single" w:sz="8" w:color="0000EE"/>
            </w:tcBorders>
            <w:gridSpan w:val="14"/>
          </w:tcPr>
          <w:p>
            <w:pPr>
              <w:spacing w:after="0" w:line="196" w:lineRule="exact"/>
              <w:rPr>
                <w:rFonts w:ascii="Arial" w:cs="Arial" w:eastAsia="Arial" w:hAnsi="Arial"/>
                <w:sz w:val="18"/>
                <w:szCs w:val="18"/>
                <w:color w:val="0000EE"/>
                <w:w w:val="91"/>
              </w:rPr>
            </w:pPr>
            <w:hyperlink r:id="rId95">
              <w:r>
                <w:rPr>
                  <w:rFonts w:ascii="Arial" w:cs="Arial" w:eastAsia="Arial" w:hAnsi="Arial"/>
                  <w:sz w:val="18"/>
                  <w:szCs w:val="18"/>
                  <w:color w:val="0000EE"/>
                  <w:w w:val="91"/>
                </w:rPr>
                <w:t>Citizens Bank, N.A., as administrative agent.</w:t>
              </w:r>
            </w:hyperlink>
          </w:p>
        </w:tc>
        <w:tc>
          <w:tcPr>
            <w:tcW w:w="960" w:type="dxa"/>
            <w:vAlign w:val="bottom"/>
            <w:tcBorders>
              <w:top w:val="single" w:sz="8" w:color="0000EE"/>
            </w:tcBorders>
            <w:gridSpan w:val="6"/>
          </w:tcPr>
          <w:p>
            <w:pPr>
              <w:spacing w:after="0"/>
              <w:rPr>
                <w:sz w:val="17"/>
                <w:szCs w:val="17"/>
                <w:color w:val="auto"/>
              </w:rPr>
            </w:pPr>
          </w:p>
        </w:tc>
        <w:tc>
          <w:tcPr>
            <w:tcW w:w="560" w:type="dxa"/>
            <w:vAlign w:val="bottom"/>
            <w:gridSpan w:val="15"/>
          </w:tcPr>
          <w:p>
            <w:pPr>
              <w:spacing w:after="0"/>
              <w:rPr>
                <w:sz w:val="17"/>
                <w:szCs w:val="17"/>
                <w:color w:val="auto"/>
              </w:rPr>
            </w:pPr>
          </w:p>
        </w:tc>
      </w:tr>
      <w:tr>
        <w:trPr>
          <w:trHeight w:val="196"/>
        </w:trPr>
        <w:tc>
          <w:tcPr>
            <w:tcW w:w="480" w:type="dxa"/>
            <w:vAlign w:val="bottom"/>
            <w:gridSpan w:val="4"/>
          </w:tcPr>
          <w:p>
            <w:pPr>
              <w:jc w:val="center"/>
              <w:spacing w:after="0" w:line="196" w:lineRule="exact"/>
              <w:rPr>
                <w:rFonts w:ascii="Arial" w:cs="Arial" w:eastAsia="Arial" w:hAnsi="Arial"/>
                <w:sz w:val="18"/>
                <w:szCs w:val="18"/>
                <w:color w:val="0000EE"/>
                <w:w w:val="88"/>
              </w:rPr>
            </w:pPr>
            <w:hyperlink r:id="rId96">
              <w:r>
                <w:rPr>
                  <w:rFonts w:ascii="Arial" w:cs="Arial" w:eastAsia="Arial" w:hAnsi="Arial"/>
                  <w:sz w:val="18"/>
                  <w:szCs w:val="18"/>
                  <w:color w:val="0000EE"/>
                  <w:w w:val="88"/>
                </w:rPr>
                <w:t>10.</w:t>
              </w:r>
              <w:r>
                <w:rPr>
                  <w:rFonts w:ascii="Arial" w:cs="Arial" w:eastAsia="Arial" w:hAnsi="Arial"/>
                  <w:sz w:val="18"/>
                  <w:szCs w:val="18"/>
                  <w:u w:val="single" w:color="auto"/>
                  <w:color w:val="0000EE"/>
                  <w:w w:val="88"/>
                </w:rPr>
                <w:t>14</w:t>
              </w:r>
            </w:hyperlink>
          </w:p>
        </w:tc>
        <w:tc>
          <w:tcPr>
            <w:tcW w:w="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4820" w:type="dxa"/>
            <w:vAlign w:val="bottom"/>
            <w:gridSpan w:val="35"/>
          </w:tcPr>
          <w:p>
            <w:pPr>
              <w:spacing w:after="0" w:line="196" w:lineRule="exact"/>
              <w:rPr>
                <w:rFonts w:ascii="Arial" w:cs="Arial" w:eastAsia="Arial" w:hAnsi="Arial"/>
                <w:sz w:val="18"/>
                <w:szCs w:val="18"/>
                <w:color w:val="0000EE"/>
                <w:w w:val="93"/>
              </w:rPr>
            </w:pPr>
            <w:hyperlink r:id="rId96">
              <w:r>
                <w:rPr>
                  <w:rFonts w:ascii="Arial" w:cs="Arial" w:eastAsia="Arial" w:hAnsi="Arial"/>
                  <w:sz w:val="18"/>
                  <w:szCs w:val="18"/>
                  <w:color w:val="0000EE"/>
                  <w:w w:val="93"/>
                </w:rPr>
                <w:t>Pledge and Security Agreement dated as of December 22, 2020</w:t>
              </w:r>
            </w:hyperlink>
          </w:p>
        </w:tc>
      </w:tr>
      <w:tr>
        <w:trPr>
          <w:trHeight w:val="20"/>
        </w:trPr>
        <w:tc>
          <w:tcPr>
            <w:tcW w:w="40" w:type="dxa"/>
            <w:vAlign w:val="bottom"/>
          </w:tcPr>
          <w:p>
            <w:pPr>
              <w:spacing w:after="0" w:line="20" w:lineRule="exact"/>
              <w:rPr>
                <w:sz w:val="1"/>
                <w:szCs w:val="1"/>
                <w:color w:val="auto"/>
              </w:rPr>
            </w:pPr>
          </w:p>
        </w:tc>
        <w:tc>
          <w:tcPr>
            <w:tcW w:w="120" w:type="dxa"/>
            <w:vAlign w:val="bottom"/>
            <w:tcBorders>
              <w:right w:val="single" w:sz="8" w:color="0000EE"/>
            </w:tcBorders>
          </w:tcPr>
          <w:p>
            <w:pPr>
              <w:spacing w:after="0" w:line="20" w:lineRule="exact"/>
              <w:rPr>
                <w:sz w:val="1"/>
                <w:szCs w:val="1"/>
                <w:color w:val="auto"/>
              </w:rPr>
            </w:pPr>
          </w:p>
        </w:tc>
        <w:tc>
          <w:tcPr>
            <w:tcW w:w="220" w:type="dxa"/>
            <w:vAlign w:val="bottom"/>
            <w:shd w:val="clear" w:color="auto" w:fill="0000EE"/>
          </w:tcPr>
          <w:p>
            <w:pPr>
              <w:spacing w:after="0" w:line="20" w:lineRule="exact"/>
              <w:rPr>
                <w:sz w:val="1"/>
                <w:szCs w:val="1"/>
                <w:color w:val="auto"/>
              </w:rPr>
            </w:pPr>
          </w:p>
        </w:tc>
        <w:tc>
          <w:tcPr>
            <w:tcW w:w="100" w:type="dxa"/>
            <w:vAlign w:val="bottom"/>
            <w:tcBorders>
              <w:left w:val="single" w:sz="8" w:color="0000EE"/>
            </w:tcBorders>
            <w:shd w:val="clear" w:color="auto" w:fill="0000EE"/>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500" w:type="dxa"/>
            <w:vAlign w:val="bottom"/>
            <w:gridSpan w:val="7"/>
            <w:shd w:val="clear" w:color="auto" w:fill="0000EE"/>
          </w:tcPr>
          <w:p>
            <w:pPr>
              <w:spacing w:after="0" w:line="20" w:lineRule="exact"/>
              <w:rPr>
                <w:sz w:val="1"/>
                <w:szCs w:val="1"/>
                <w:color w:val="auto"/>
              </w:rPr>
            </w:pPr>
          </w:p>
        </w:tc>
        <w:tc>
          <w:tcPr>
            <w:tcW w:w="2280" w:type="dxa"/>
            <w:vAlign w:val="bottom"/>
            <w:gridSpan w:val="10"/>
            <w:shd w:val="clear" w:color="auto" w:fill="0000EE"/>
          </w:tcPr>
          <w:p>
            <w:pPr>
              <w:spacing w:after="0" w:line="20" w:lineRule="exact"/>
              <w:rPr>
                <w:sz w:val="1"/>
                <w:szCs w:val="1"/>
                <w:color w:val="auto"/>
              </w:rPr>
            </w:pPr>
          </w:p>
        </w:tc>
        <w:tc>
          <w:tcPr>
            <w:tcW w:w="460" w:type="dxa"/>
            <w:vAlign w:val="bottom"/>
            <w:gridSpan w:val="2"/>
            <w:shd w:val="clear" w:color="auto" w:fill="0000EE"/>
          </w:tcPr>
          <w:p>
            <w:pPr>
              <w:spacing w:after="0" w:line="20" w:lineRule="exact"/>
              <w:rPr>
                <w:sz w:val="1"/>
                <w:szCs w:val="1"/>
                <w:color w:val="auto"/>
              </w:rPr>
            </w:pPr>
          </w:p>
        </w:tc>
        <w:tc>
          <w:tcPr>
            <w:tcW w:w="160" w:type="dxa"/>
            <w:vAlign w:val="bottom"/>
            <w:gridSpan w:val="5"/>
            <w:shd w:val="clear" w:color="auto" w:fill="0000EE"/>
          </w:tcPr>
          <w:p>
            <w:pPr>
              <w:spacing w:after="0" w:line="20" w:lineRule="exact"/>
              <w:rPr>
                <w:sz w:val="1"/>
                <w:szCs w:val="1"/>
                <w:color w:val="auto"/>
              </w:rPr>
            </w:pPr>
          </w:p>
        </w:tc>
        <w:tc>
          <w:tcPr>
            <w:tcW w:w="160" w:type="dxa"/>
            <w:vAlign w:val="bottom"/>
            <w:gridSpan w:val="5"/>
            <w:shd w:val="clear" w:color="auto" w:fill="0000EE"/>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 w:type="dxa"/>
            <w:vAlign w:val="bottom"/>
            <w:gridSpan w:val="2"/>
          </w:tcPr>
          <w:p>
            <w:pPr>
              <w:spacing w:after="0" w:line="20" w:lineRule="exact"/>
              <w:rPr>
                <w:sz w:val="1"/>
                <w:szCs w:val="1"/>
                <w:color w:val="auto"/>
              </w:rPr>
            </w:pPr>
          </w:p>
        </w:tc>
        <w:tc>
          <w:tcPr>
            <w:tcW w:w="120" w:type="dxa"/>
            <w:vAlign w:val="bottom"/>
            <w:gridSpan w:val="3"/>
          </w:tcPr>
          <w:p>
            <w:pPr>
              <w:spacing w:after="0" w:line="20" w:lineRule="exact"/>
              <w:rPr>
                <w:sz w:val="1"/>
                <w:szCs w:val="1"/>
                <w:color w:val="auto"/>
              </w:rPr>
            </w:pPr>
          </w:p>
        </w:tc>
      </w:tr>
      <w:tr>
        <w:trPr>
          <w:trHeight w:val="196"/>
        </w:trPr>
        <w:tc>
          <w:tcPr>
            <w:tcW w:w="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4700" w:type="dxa"/>
            <w:vAlign w:val="bottom"/>
            <w:tcBorders>
              <w:bottom w:val="single" w:sz="8" w:color="0000EE"/>
            </w:tcBorders>
            <w:gridSpan w:val="32"/>
          </w:tcPr>
          <w:p>
            <w:pPr>
              <w:spacing w:after="0" w:line="196" w:lineRule="exact"/>
              <w:rPr>
                <w:rFonts w:ascii="Arial" w:cs="Arial" w:eastAsia="Arial" w:hAnsi="Arial"/>
                <w:sz w:val="18"/>
                <w:szCs w:val="18"/>
                <w:color w:val="0000EE"/>
                <w:w w:val="90"/>
              </w:rPr>
            </w:pPr>
            <w:hyperlink r:id="rId96">
              <w:r>
                <w:rPr>
                  <w:rFonts w:ascii="Arial" w:cs="Arial" w:eastAsia="Arial" w:hAnsi="Arial"/>
                  <w:sz w:val="18"/>
                  <w:szCs w:val="18"/>
                  <w:color w:val="0000EE"/>
                  <w:w w:val="90"/>
                </w:rPr>
                <w:t>among Harvard Bioscience, Inc., certain of Harvard Bioscience’s</w:t>
              </w:r>
            </w:hyperlink>
          </w:p>
        </w:tc>
        <w:tc>
          <w:tcPr>
            <w:tcW w:w="120" w:type="dxa"/>
            <w:vAlign w:val="bottom"/>
            <w:gridSpan w:val="3"/>
          </w:tcPr>
          <w:p>
            <w:pPr>
              <w:spacing w:after="0"/>
              <w:rPr>
                <w:sz w:val="17"/>
                <w:szCs w:val="17"/>
                <w:color w:val="auto"/>
              </w:rPr>
            </w:pPr>
          </w:p>
        </w:tc>
      </w:tr>
      <w:tr>
        <w:trPr>
          <w:trHeight w:val="196"/>
        </w:trPr>
        <w:tc>
          <w:tcPr>
            <w:tcW w:w="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4240" w:type="dxa"/>
            <w:vAlign w:val="bottom"/>
            <w:tcBorders>
              <w:bottom w:val="single" w:sz="8" w:color="0000EE"/>
            </w:tcBorders>
            <w:gridSpan w:val="19"/>
          </w:tcPr>
          <w:p>
            <w:pPr>
              <w:spacing w:after="0" w:line="196" w:lineRule="exact"/>
              <w:rPr>
                <w:rFonts w:ascii="Arial" w:cs="Arial" w:eastAsia="Arial" w:hAnsi="Arial"/>
                <w:sz w:val="18"/>
                <w:szCs w:val="18"/>
                <w:color w:val="0000EE"/>
                <w:w w:val="90"/>
              </w:rPr>
            </w:pPr>
            <w:hyperlink r:id="rId96">
              <w:r>
                <w:rPr>
                  <w:rFonts w:ascii="Arial" w:cs="Arial" w:eastAsia="Arial" w:hAnsi="Arial"/>
                  <w:sz w:val="18"/>
                  <w:szCs w:val="18"/>
                  <w:color w:val="0000EE"/>
                  <w:w w:val="90"/>
                </w:rPr>
                <w:t>direct and indirect subsidiaries and Citizens Bank, N.A., as</w:t>
              </w:r>
            </w:hyperlink>
          </w:p>
        </w:tc>
        <w:tc>
          <w:tcPr>
            <w:tcW w:w="580" w:type="dxa"/>
            <w:vAlign w:val="bottom"/>
            <w:gridSpan w:val="16"/>
          </w:tcPr>
          <w:p>
            <w:pPr>
              <w:spacing w:after="0"/>
              <w:rPr>
                <w:sz w:val="17"/>
                <w:szCs w:val="17"/>
                <w:color w:val="auto"/>
              </w:rPr>
            </w:pPr>
          </w:p>
        </w:tc>
      </w:tr>
      <w:tr>
        <w:trPr>
          <w:trHeight w:val="196"/>
        </w:trPr>
        <w:tc>
          <w:tcPr>
            <w:tcW w:w="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4820" w:type="dxa"/>
            <w:vAlign w:val="bottom"/>
            <w:gridSpan w:val="35"/>
          </w:tcPr>
          <w:p>
            <w:pPr>
              <w:spacing w:after="0" w:line="196" w:lineRule="exact"/>
              <w:rPr>
                <w:rFonts w:ascii="Arial" w:cs="Arial" w:eastAsia="Arial" w:hAnsi="Arial"/>
                <w:sz w:val="18"/>
                <w:szCs w:val="18"/>
                <w:color w:val="0000EE"/>
              </w:rPr>
            </w:pPr>
            <w:hyperlink r:id="rId96">
              <w:r>
                <w:rPr>
                  <w:rFonts w:ascii="Arial" w:cs="Arial" w:eastAsia="Arial" w:hAnsi="Arial"/>
                  <w:sz w:val="18"/>
                  <w:szCs w:val="18"/>
                  <w:color w:val="0000EE"/>
                </w:rPr>
                <w:t>administrative agent.</w:t>
              </w:r>
            </w:hyperlink>
          </w:p>
        </w:tc>
      </w:tr>
      <w:tr>
        <w:trPr>
          <w:trHeight w:val="20"/>
        </w:trPr>
        <w:tc>
          <w:tcPr>
            <w:tcW w:w="480" w:type="dxa"/>
            <w:vAlign w:val="bottom"/>
            <w:gridSpan w:val="4"/>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500" w:type="dxa"/>
            <w:vAlign w:val="bottom"/>
            <w:gridSpan w:val="7"/>
            <w:shd w:val="clear" w:color="auto" w:fill="0000EE"/>
          </w:tcPr>
          <w:p>
            <w:pPr>
              <w:spacing w:after="0" w:line="20" w:lineRule="exact"/>
              <w:rPr>
                <w:sz w:val="1"/>
                <w:szCs w:val="1"/>
                <w:color w:val="auto"/>
              </w:rPr>
            </w:pPr>
          </w:p>
        </w:tc>
        <w:tc>
          <w:tcPr>
            <w:tcW w:w="2280" w:type="dxa"/>
            <w:vAlign w:val="bottom"/>
            <w:gridSpan w:val="10"/>
          </w:tcPr>
          <w:p>
            <w:pPr>
              <w:spacing w:after="0" w:line="20" w:lineRule="exact"/>
              <w:rPr>
                <w:sz w:val="1"/>
                <w:szCs w:val="1"/>
                <w:color w:val="auto"/>
              </w:rPr>
            </w:pPr>
          </w:p>
        </w:tc>
        <w:tc>
          <w:tcPr>
            <w:tcW w:w="620" w:type="dxa"/>
            <w:vAlign w:val="bottom"/>
            <w:gridSpan w:val="7"/>
          </w:tcPr>
          <w:p>
            <w:pPr>
              <w:spacing w:after="0" w:line="20" w:lineRule="exact"/>
              <w:rPr>
                <w:sz w:val="1"/>
                <w:szCs w:val="1"/>
                <w:color w:val="auto"/>
              </w:rPr>
            </w:pPr>
          </w:p>
        </w:tc>
        <w:tc>
          <w:tcPr>
            <w:tcW w:w="200" w:type="dxa"/>
            <w:vAlign w:val="bottom"/>
            <w:gridSpan w:val="6"/>
          </w:tcPr>
          <w:p>
            <w:pPr>
              <w:spacing w:after="0" w:line="20" w:lineRule="exact"/>
              <w:rPr>
                <w:sz w:val="1"/>
                <w:szCs w:val="1"/>
                <w:color w:val="auto"/>
              </w:rPr>
            </w:pPr>
          </w:p>
        </w:tc>
        <w:tc>
          <w:tcPr>
            <w:tcW w:w="220" w:type="dxa"/>
            <w:vAlign w:val="bottom"/>
            <w:gridSpan w:val="5"/>
          </w:tcPr>
          <w:p>
            <w:pPr>
              <w:spacing w:after="0" w:line="20" w:lineRule="exact"/>
              <w:rPr>
                <w:sz w:val="1"/>
                <w:szCs w:val="1"/>
                <w:color w:val="auto"/>
              </w:rPr>
            </w:pPr>
          </w:p>
        </w:tc>
      </w:tr>
      <w:tr>
        <w:trPr>
          <w:trHeight w:val="196"/>
        </w:trPr>
        <w:tc>
          <w:tcPr>
            <w:tcW w:w="480" w:type="dxa"/>
            <w:vAlign w:val="bottom"/>
            <w:gridSpan w:val="4"/>
          </w:tcPr>
          <w:p>
            <w:pPr>
              <w:jc w:val="center"/>
              <w:spacing w:after="0" w:line="196" w:lineRule="exact"/>
              <w:rPr>
                <w:rFonts w:ascii="Arial" w:cs="Arial" w:eastAsia="Arial" w:hAnsi="Arial"/>
                <w:sz w:val="18"/>
                <w:szCs w:val="18"/>
                <w:color w:val="0000EE"/>
                <w:w w:val="88"/>
              </w:rPr>
            </w:pPr>
            <w:hyperlink r:id="rId97">
              <w:r>
                <w:rPr>
                  <w:rFonts w:ascii="Arial" w:cs="Arial" w:eastAsia="Arial" w:hAnsi="Arial"/>
                  <w:sz w:val="18"/>
                  <w:szCs w:val="18"/>
                  <w:color w:val="0000EE"/>
                  <w:w w:val="88"/>
                </w:rPr>
                <w:t>10.</w:t>
              </w:r>
              <w:r>
                <w:rPr>
                  <w:rFonts w:ascii="Arial" w:cs="Arial" w:eastAsia="Arial" w:hAnsi="Arial"/>
                  <w:sz w:val="18"/>
                  <w:szCs w:val="18"/>
                  <w:u w:val="single" w:color="auto"/>
                  <w:color w:val="0000EE"/>
                  <w:w w:val="88"/>
                </w:rPr>
                <w:t>15</w:t>
              </w:r>
            </w:hyperlink>
          </w:p>
        </w:tc>
        <w:tc>
          <w:tcPr>
            <w:tcW w:w="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4820" w:type="dxa"/>
            <w:vAlign w:val="bottom"/>
            <w:gridSpan w:val="35"/>
          </w:tcPr>
          <w:p>
            <w:pPr>
              <w:spacing w:after="0" w:line="196" w:lineRule="exact"/>
              <w:rPr>
                <w:rFonts w:ascii="Arial" w:cs="Arial" w:eastAsia="Arial" w:hAnsi="Arial"/>
                <w:sz w:val="18"/>
                <w:szCs w:val="18"/>
                <w:color w:val="0000EE"/>
                <w:w w:val="96"/>
              </w:rPr>
            </w:pPr>
            <w:hyperlink r:id="rId97">
              <w:r>
                <w:rPr>
                  <w:rFonts w:ascii="Arial" w:cs="Arial" w:eastAsia="Arial" w:hAnsi="Arial"/>
                  <w:sz w:val="18"/>
                  <w:szCs w:val="18"/>
                  <w:color w:val="0000EE"/>
                  <w:w w:val="96"/>
                </w:rPr>
                <w:t>Guarantee Agreement dated as of December 22, 2020 among</w:t>
              </w:r>
            </w:hyperlink>
          </w:p>
        </w:tc>
      </w:tr>
      <w:tr>
        <w:trPr>
          <w:trHeight w:val="20"/>
        </w:trPr>
        <w:tc>
          <w:tcPr>
            <w:tcW w:w="40" w:type="dxa"/>
            <w:vAlign w:val="bottom"/>
          </w:tcPr>
          <w:p>
            <w:pPr>
              <w:spacing w:after="0" w:line="20" w:lineRule="exact"/>
              <w:rPr>
                <w:sz w:val="1"/>
                <w:szCs w:val="1"/>
                <w:color w:val="auto"/>
              </w:rPr>
            </w:pPr>
          </w:p>
        </w:tc>
        <w:tc>
          <w:tcPr>
            <w:tcW w:w="120" w:type="dxa"/>
            <w:vAlign w:val="bottom"/>
            <w:tcBorders>
              <w:right w:val="single" w:sz="8" w:color="0000EE"/>
            </w:tcBorders>
          </w:tcPr>
          <w:p>
            <w:pPr>
              <w:spacing w:after="0" w:line="20" w:lineRule="exact"/>
              <w:rPr>
                <w:sz w:val="1"/>
                <w:szCs w:val="1"/>
                <w:color w:val="auto"/>
              </w:rPr>
            </w:pPr>
          </w:p>
        </w:tc>
        <w:tc>
          <w:tcPr>
            <w:tcW w:w="220" w:type="dxa"/>
            <w:vAlign w:val="bottom"/>
            <w:shd w:val="clear" w:color="auto" w:fill="0000EE"/>
          </w:tcPr>
          <w:p>
            <w:pPr>
              <w:spacing w:after="0" w:line="20" w:lineRule="exact"/>
              <w:rPr>
                <w:sz w:val="1"/>
                <w:szCs w:val="1"/>
                <w:color w:val="auto"/>
              </w:rPr>
            </w:pPr>
          </w:p>
        </w:tc>
        <w:tc>
          <w:tcPr>
            <w:tcW w:w="100" w:type="dxa"/>
            <w:vAlign w:val="bottom"/>
            <w:tcBorders>
              <w:left w:val="single" w:sz="8" w:color="0000EE"/>
            </w:tcBorders>
            <w:shd w:val="clear" w:color="auto" w:fill="0000EE"/>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3780" w:type="dxa"/>
            <w:vAlign w:val="bottom"/>
            <w:gridSpan w:val="17"/>
            <w:shd w:val="clear" w:color="auto" w:fill="0000EE"/>
          </w:tcPr>
          <w:p>
            <w:pPr>
              <w:spacing w:after="0" w:line="20" w:lineRule="exact"/>
              <w:rPr>
                <w:sz w:val="1"/>
                <w:szCs w:val="1"/>
                <w:color w:val="auto"/>
              </w:rPr>
            </w:pPr>
          </w:p>
        </w:tc>
        <w:tc>
          <w:tcPr>
            <w:tcW w:w="620" w:type="dxa"/>
            <w:vAlign w:val="bottom"/>
            <w:gridSpan w:val="7"/>
            <w:shd w:val="clear" w:color="auto" w:fill="0000EE"/>
          </w:tcPr>
          <w:p>
            <w:pPr>
              <w:spacing w:after="0" w:line="20" w:lineRule="exact"/>
              <w:rPr>
                <w:sz w:val="1"/>
                <w:szCs w:val="1"/>
                <w:color w:val="auto"/>
              </w:rPr>
            </w:pPr>
          </w:p>
        </w:tc>
        <w:tc>
          <w:tcPr>
            <w:tcW w:w="200" w:type="dxa"/>
            <w:vAlign w:val="bottom"/>
            <w:gridSpan w:val="6"/>
          </w:tcPr>
          <w:p>
            <w:pPr>
              <w:spacing w:after="0" w:line="20" w:lineRule="exact"/>
              <w:rPr>
                <w:sz w:val="1"/>
                <w:szCs w:val="1"/>
                <w:color w:val="auto"/>
              </w:rPr>
            </w:pPr>
          </w:p>
        </w:tc>
        <w:tc>
          <w:tcPr>
            <w:tcW w:w="220" w:type="dxa"/>
            <w:vAlign w:val="bottom"/>
            <w:gridSpan w:val="5"/>
          </w:tcPr>
          <w:p>
            <w:pPr>
              <w:spacing w:after="0" w:line="20" w:lineRule="exact"/>
              <w:rPr>
                <w:sz w:val="1"/>
                <w:szCs w:val="1"/>
                <w:color w:val="auto"/>
              </w:rPr>
            </w:pPr>
          </w:p>
        </w:tc>
      </w:tr>
      <w:tr>
        <w:trPr>
          <w:trHeight w:val="196"/>
        </w:trPr>
        <w:tc>
          <w:tcPr>
            <w:tcW w:w="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4600" w:type="dxa"/>
            <w:vAlign w:val="bottom"/>
            <w:tcBorders>
              <w:bottom w:val="single" w:sz="8" w:color="0000EE"/>
            </w:tcBorders>
            <w:gridSpan w:val="30"/>
          </w:tcPr>
          <w:p>
            <w:pPr>
              <w:spacing w:after="0" w:line="196" w:lineRule="exact"/>
              <w:rPr>
                <w:rFonts w:ascii="Arial" w:cs="Arial" w:eastAsia="Arial" w:hAnsi="Arial"/>
                <w:sz w:val="18"/>
                <w:szCs w:val="18"/>
                <w:color w:val="0000EE"/>
                <w:w w:val="91"/>
              </w:rPr>
            </w:pPr>
            <w:hyperlink r:id="rId97">
              <w:r>
                <w:rPr>
                  <w:rFonts w:ascii="Arial" w:cs="Arial" w:eastAsia="Arial" w:hAnsi="Arial"/>
                  <w:sz w:val="18"/>
                  <w:szCs w:val="18"/>
                  <w:color w:val="0000EE"/>
                  <w:w w:val="91"/>
                </w:rPr>
                <w:t>Harvard Bioscience, Inc., certain of Harvard Bioscience’s direct</w:t>
              </w:r>
            </w:hyperlink>
          </w:p>
        </w:tc>
        <w:tc>
          <w:tcPr>
            <w:tcW w:w="220" w:type="dxa"/>
            <w:vAlign w:val="bottom"/>
            <w:gridSpan w:val="5"/>
          </w:tcPr>
          <w:p>
            <w:pPr>
              <w:spacing w:after="0"/>
              <w:rPr>
                <w:sz w:val="17"/>
                <w:szCs w:val="17"/>
                <w:color w:val="auto"/>
              </w:rPr>
            </w:pPr>
          </w:p>
        </w:tc>
      </w:tr>
      <w:tr>
        <w:trPr>
          <w:trHeight w:val="196"/>
        </w:trPr>
        <w:tc>
          <w:tcPr>
            <w:tcW w:w="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4820" w:type="dxa"/>
            <w:vAlign w:val="bottom"/>
            <w:gridSpan w:val="35"/>
          </w:tcPr>
          <w:p>
            <w:pPr>
              <w:spacing w:after="0" w:line="196" w:lineRule="exact"/>
              <w:rPr>
                <w:rFonts w:ascii="Arial" w:cs="Arial" w:eastAsia="Arial" w:hAnsi="Arial"/>
                <w:sz w:val="18"/>
                <w:szCs w:val="18"/>
                <w:color w:val="0000EE"/>
              </w:rPr>
            </w:pPr>
            <w:hyperlink r:id="rId97">
              <w:r>
                <w:rPr>
                  <w:rFonts w:ascii="Arial" w:cs="Arial" w:eastAsia="Arial" w:hAnsi="Arial"/>
                  <w:sz w:val="18"/>
                  <w:szCs w:val="18"/>
                  <w:color w:val="0000EE"/>
                </w:rPr>
                <w:t>and indirect subsidiaries and Citizens Bank, N.A., as</w:t>
              </w:r>
            </w:hyperlink>
          </w:p>
        </w:tc>
      </w:tr>
      <w:tr>
        <w:trPr>
          <w:trHeight w:val="196"/>
        </w:trPr>
        <w:tc>
          <w:tcPr>
            <w:tcW w:w="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3780" w:type="dxa"/>
            <w:vAlign w:val="bottom"/>
            <w:tcBorders>
              <w:top w:val="single" w:sz="8" w:color="0000EE"/>
            </w:tcBorders>
            <w:gridSpan w:val="17"/>
          </w:tcPr>
          <w:p>
            <w:pPr>
              <w:spacing w:after="0" w:line="196" w:lineRule="exact"/>
              <w:rPr>
                <w:rFonts w:ascii="Arial" w:cs="Arial" w:eastAsia="Arial" w:hAnsi="Arial"/>
                <w:sz w:val="18"/>
                <w:szCs w:val="18"/>
                <w:color w:val="0000EE"/>
              </w:rPr>
            </w:pPr>
            <w:hyperlink r:id="rId97">
              <w:r>
                <w:rPr>
                  <w:rFonts w:ascii="Arial" w:cs="Arial" w:eastAsia="Arial" w:hAnsi="Arial"/>
                  <w:sz w:val="18"/>
                  <w:szCs w:val="18"/>
                  <w:color w:val="0000EE"/>
                </w:rPr>
                <w:t>administrative agent.</w:t>
              </w:r>
            </w:hyperlink>
          </w:p>
        </w:tc>
        <w:tc>
          <w:tcPr>
            <w:tcW w:w="1040" w:type="dxa"/>
            <w:vAlign w:val="bottom"/>
            <w:gridSpan w:val="18"/>
          </w:tcPr>
          <w:p>
            <w:pPr>
              <w:spacing w:after="0"/>
              <w:rPr>
                <w:sz w:val="17"/>
                <w:szCs w:val="17"/>
                <w:color w:val="auto"/>
              </w:rPr>
            </w:pPr>
          </w:p>
        </w:tc>
      </w:tr>
      <w:tr>
        <w:trPr>
          <w:trHeight w:val="20"/>
        </w:trPr>
        <w:tc>
          <w:tcPr>
            <w:tcW w:w="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68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200" w:type="dxa"/>
            <w:vAlign w:val="bottom"/>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260" w:type="dxa"/>
            <w:vAlign w:val="bottom"/>
            <w:shd w:val="clear" w:color="auto" w:fill="0000EE"/>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514350</wp:posOffset>
            </wp:positionV>
            <wp:extent cx="7132320" cy="5715"/>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98">
                      <a:extLst>
                        <a:ext uri="{28A0092B-C50C-407E-A947-70E740481C1C}"/>
                      </a:extLst>
                    </a:blip>
                    <a:srcRect/>
                    <a:stretch>
                      <a:fillRect/>
                    </a:stretch>
                  </pic:blipFill>
                  <pic:spPr bwMode="auto">
                    <a:xfrm>
                      <a:off x="0" y="0"/>
                      <a:ext cx="7132320" cy="5715"/>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150" w:lineRule="exact"/>
        <w:rPr>
          <w:sz w:val="20"/>
          <w:szCs w:val="20"/>
          <w:color w:val="auto"/>
        </w:rPr>
      </w:pPr>
    </w:p>
    <w:p>
      <w:pPr>
        <w:jc w:val="center"/>
        <w:spacing w:after="0"/>
        <w:rPr>
          <w:sz w:val="20"/>
          <w:szCs w:val="20"/>
          <w:color w:val="auto"/>
        </w:rPr>
      </w:pPr>
      <w:r>
        <w:rPr>
          <w:rFonts w:ascii="Arial" w:cs="Arial" w:eastAsia="Arial" w:hAnsi="Arial"/>
          <w:sz w:val="18"/>
          <w:szCs w:val="18"/>
          <w:u w:val="single" w:color="auto"/>
          <w:color w:val="auto"/>
        </w:rPr>
        <w:t>Method of Filing</w:t>
      </w:r>
    </w:p>
    <w:p>
      <w:pPr>
        <w:spacing w:after="0" w:line="23" w:lineRule="exact"/>
        <w:rPr>
          <w:sz w:val="20"/>
          <w:szCs w:val="20"/>
          <w:color w:val="auto"/>
        </w:rPr>
      </w:pPr>
    </w:p>
    <w:p>
      <w:pPr>
        <w:jc w:val="both"/>
        <w:ind w:right="20"/>
        <w:spacing w:after="0" w:line="250" w:lineRule="auto"/>
        <w:rPr>
          <w:rFonts w:ascii="Arial" w:cs="Arial" w:eastAsia="Arial" w:hAnsi="Arial"/>
          <w:sz w:val="18"/>
          <w:szCs w:val="18"/>
          <w:u w:val="single" w:color="auto"/>
          <w:color w:val="0000EE"/>
        </w:rPr>
      </w:pPr>
      <w:hyperlink r:id="rId77">
        <w:r>
          <w:rPr>
            <w:rFonts w:ascii="Arial" w:cs="Arial" w:eastAsia="Arial" w:hAnsi="Arial"/>
            <w:sz w:val="18"/>
            <w:szCs w:val="18"/>
            <w:u w:val="single" w:color="auto"/>
            <w:color w:val="0000EE"/>
          </w:rPr>
          <w:t>Previously filed as an exhibit to the Company’s Current Report on</w:t>
        </w:r>
      </w:hyperlink>
      <w:r>
        <w:rPr>
          <w:rFonts w:ascii="Arial" w:cs="Arial" w:eastAsia="Arial" w:hAnsi="Arial"/>
          <w:sz w:val="18"/>
          <w:szCs w:val="18"/>
          <w:u w:val="single" w:color="auto"/>
          <w:color w:val="0000EE"/>
        </w:rPr>
        <w:t xml:space="preserve"> </w:t>
      </w:r>
      <w:hyperlink r:id="rId77">
        <w:r>
          <w:rPr>
            <w:rFonts w:ascii="Arial" w:cs="Arial" w:eastAsia="Arial" w:hAnsi="Arial"/>
            <w:sz w:val="18"/>
            <w:szCs w:val="18"/>
            <w:u w:val="single" w:color="auto"/>
            <w:color w:val="0000EE"/>
          </w:rPr>
          <w:t>Form 8-K (filed November 6, 2013) and incorporated by reference</w:t>
        </w:r>
      </w:hyperlink>
      <w:r>
        <w:rPr>
          <w:rFonts w:ascii="Arial" w:cs="Arial" w:eastAsia="Arial" w:hAnsi="Arial"/>
          <w:sz w:val="18"/>
          <w:szCs w:val="18"/>
          <w:u w:val="single" w:color="auto"/>
          <w:color w:val="0000EE"/>
        </w:rPr>
        <w:t xml:space="preserve"> </w:t>
      </w:r>
      <w:hyperlink r:id="rId77">
        <w:r>
          <w:rPr>
            <w:rFonts w:ascii="Arial" w:cs="Arial" w:eastAsia="Arial" w:hAnsi="Arial"/>
            <w:sz w:val="18"/>
            <w:szCs w:val="18"/>
            <w:u w:val="single" w:color="auto"/>
            <w:color w:val="0000EE"/>
          </w:rPr>
          <w:t>thereto.</w:t>
        </w:r>
      </w:hyperlink>
    </w:p>
    <w:p>
      <w:pPr>
        <w:spacing w:after="0" w:line="1" w:lineRule="exact"/>
        <w:rPr>
          <w:rFonts w:ascii="Arial" w:cs="Arial" w:eastAsia="Arial" w:hAnsi="Arial"/>
          <w:sz w:val="18"/>
          <w:szCs w:val="18"/>
          <w:u w:val="single" w:color="auto"/>
          <w:color w:val="0000EE"/>
        </w:rPr>
      </w:pPr>
    </w:p>
    <w:p>
      <w:pPr>
        <w:ind w:right="60"/>
        <w:spacing w:after="0" w:line="250" w:lineRule="auto"/>
        <w:rPr>
          <w:rFonts w:ascii="Arial" w:cs="Arial" w:eastAsia="Arial" w:hAnsi="Arial"/>
          <w:sz w:val="18"/>
          <w:szCs w:val="18"/>
          <w:u w:val="single" w:color="auto"/>
          <w:color w:val="0000EE"/>
        </w:rPr>
      </w:pPr>
      <w:hyperlink r:id="rId78">
        <w:r>
          <w:rPr>
            <w:rFonts w:ascii="Arial" w:cs="Arial" w:eastAsia="Arial" w:hAnsi="Arial"/>
            <w:sz w:val="18"/>
            <w:szCs w:val="18"/>
            <w:u w:val="single" w:color="auto"/>
            <w:color w:val="0000EE"/>
          </w:rPr>
          <w:t>Previously filed as an exhibit to the Company’s Registration</w:t>
        </w:r>
      </w:hyperlink>
      <w:r>
        <w:rPr>
          <w:rFonts w:ascii="Arial" w:cs="Arial" w:eastAsia="Arial" w:hAnsi="Arial"/>
          <w:sz w:val="18"/>
          <w:szCs w:val="18"/>
          <w:u w:val="single" w:color="auto"/>
          <w:color w:val="0000EE"/>
        </w:rPr>
        <w:t xml:space="preserve"> </w:t>
      </w:r>
      <w:hyperlink r:id="rId78">
        <w:r>
          <w:rPr>
            <w:rFonts w:ascii="Arial" w:cs="Arial" w:eastAsia="Arial" w:hAnsi="Arial"/>
            <w:sz w:val="18"/>
            <w:szCs w:val="18"/>
            <w:u w:val="single" w:color="auto"/>
            <w:color w:val="0000EE"/>
          </w:rPr>
          <w:t>Statement on Form S-1/A (File No. 333-45996) (filed on</w:t>
        </w:r>
      </w:hyperlink>
      <w:r>
        <w:rPr>
          <w:rFonts w:ascii="Arial" w:cs="Arial" w:eastAsia="Arial" w:hAnsi="Arial"/>
          <w:sz w:val="18"/>
          <w:szCs w:val="18"/>
          <w:u w:val="single" w:color="auto"/>
          <w:color w:val="0000EE"/>
        </w:rPr>
        <w:t xml:space="preserve"> </w:t>
      </w:r>
      <w:hyperlink r:id="rId78">
        <w:r>
          <w:rPr>
            <w:rFonts w:ascii="Arial" w:cs="Arial" w:eastAsia="Arial" w:hAnsi="Arial"/>
            <w:sz w:val="18"/>
            <w:szCs w:val="18"/>
            <w:u w:val="single" w:color="auto"/>
            <w:color w:val="0000EE"/>
          </w:rPr>
          <w:t>November 9, 2000) and incorporated by reference thereto.</w:t>
        </w:r>
      </w:hyperlink>
      <w:r>
        <w:rPr>
          <w:rFonts w:ascii="Arial" w:cs="Arial" w:eastAsia="Arial" w:hAnsi="Arial"/>
          <w:sz w:val="18"/>
          <w:szCs w:val="18"/>
          <w:u w:val="single" w:color="auto"/>
          <w:color w:val="0000EE"/>
        </w:rPr>
        <w:t xml:space="preserve"> </w:t>
      </w:r>
      <w:hyperlink r:id="rId79">
        <w:r>
          <w:rPr>
            <w:rFonts w:ascii="Arial" w:cs="Arial" w:eastAsia="Arial" w:hAnsi="Arial"/>
            <w:sz w:val="18"/>
            <w:szCs w:val="18"/>
            <w:u w:val="single" w:color="auto"/>
            <w:color w:val="0000EE"/>
          </w:rPr>
          <w:t>Previously filed as an exhibit to the Company’s Registration</w:t>
        </w:r>
      </w:hyperlink>
      <w:r>
        <w:rPr>
          <w:rFonts w:ascii="Arial" w:cs="Arial" w:eastAsia="Arial" w:hAnsi="Arial"/>
          <w:sz w:val="18"/>
          <w:szCs w:val="18"/>
          <w:u w:val="single" w:color="auto"/>
          <w:color w:val="0000EE"/>
        </w:rPr>
        <w:t xml:space="preserve"> </w:t>
      </w:r>
      <w:hyperlink r:id="rId79">
        <w:r>
          <w:rPr>
            <w:rFonts w:ascii="Arial" w:cs="Arial" w:eastAsia="Arial" w:hAnsi="Arial"/>
            <w:sz w:val="18"/>
            <w:szCs w:val="18"/>
            <w:u w:val="single" w:color="auto"/>
            <w:color w:val="0000EE"/>
          </w:rPr>
          <w:t>Statement on Form S-1/A (File No. 333-45996) (filed on</w:t>
        </w:r>
      </w:hyperlink>
      <w:r>
        <w:rPr>
          <w:rFonts w:ascii="Arial" w:cs="Arial" w:eastAsia="Arial" w:hAnsi="Arial"/>
          <w:sz w:val="18"/>
          <w:szCs w:val="18"/>
          <w:u w:val="single" w:color="auto"/>
          <w:color w:val="0000EE"/>
        </w:rPr>
        <w:t xml:space="preserve"> </w:t>
      </w:r>
      <w:hyperlink r:id="rId79">
        <w:r>
          <w:rPr>
            <w:rFonts w:ascii="Arial" w:cs="Arial" w:eastAsia="Arial" w:hAnsi="Arial"/>
            <w:sz w:val="18"/>
            <w:szCs w:val="18"/>
            <w:u w:val="single" w:color="auto"/>
            <w:color w:val="0000EE"/>
          </w:rPr>
          <w:t>November 9, 2000) and incorporated by reference thereto.</w:t>
        </w:r>
      </w:hyperlink>
      <w:r>
        <w:rPr>
          <w:rFonts w:ascii="Arial" w:cs="Arial" w:eastAsia="Arial" w:hAnsi="Arial"/>
          <w:sz w:val="18"/>
          <w:szCs w:val="18"/>
          <w:u w:val="single" w:color="auto"/>
          <w:color w:val="0000EE"/>
        </w:rPr>
        <w:t xml:space="preserve"> </w:t>
      </w:r>
      <w:hyperlink r:id="rId80">
        <w:r>
          <w:rPr>
            <w:rFonts w:ascii="Arial" w:cs="Arial" w:eastAsia="Arial" w:hAnsi="Arial"/>
            <w:sz w:val="18"/>
            <w:szCs w:val="18"/>
            <w:u w:val="single" w:color="auto"/>
            <w:color w:val="0000EE"/>
          </w:rPr>
          <w:t>Previously filed as an exhibit to the Company’s Current Report on</w:t>
        </w:r>
      </w:hyperlink>
      <w:r>
        <w:rPr>
          <w:rFonts w:ascii="Arial" w:cs="Arial" w:eastAsia="Arial" w:hAnsi="Arial"/>
          <w:sz w:val="18"/>
          <w:szCs w:val="18"/>
          <w:u w:val="single" w:color="auto"/>
          <w:color w:val="0000EE"/>
        </w:rPr>
        <w:t xml:space="preserve"> </w:t>
      </w:r>
      <w:hyperlink r:id="rId80">
        <w:r>
          <w:rPr>
            <w:rFonts w:ascii="Arial" w:cs="Arial" w:eastAsia="Arial" w:hAnsi="Arial"/>
            <w:sz w:val="18"/>
            <w:szCs w:val="18"/>
            <w:u w:val="single" w:color="auto"/>
            <w:color w:val="0000EE"/>
          </w:rPr>
          <w:t>Form 8-K (filed on November 1, 2007) and incorporated by</w:t>
        </w:r>
      </w:hyperlink>
      <w:r>
        <w:rPr>
          <w:rFonts w:ascii="Arial" w:cs="Arial" w:eastAsia="Arial" w:hAnsi="Arial"/>
          <w:sz w:val="18"/>
          <w:szCs w:val="18"/>
          <w:u w:val="single" w:color="auto"/>
          <w:color w:val="0000EE"/>
        </w:rPr>
        <w:t xml:space="preserve"> </w:t>
      </w:r>
      <w:hyperlink r:id="rId80">
        <w:r>
          <w:rPr>
            <w:rFonts w:ascii="Arial" w:cs="Arial" w:eastAsia="Arial" w:hAnsi="Arial"/>
            <w:sz w:val="18"/>
            <w:szCs w:val="18"/>
            <w:u w:val="single" w:color="auto"/>
            <w:color w:val="0000EE"/>
          </w:rPr>
          <w:t>reference thereto.</w:t>
        </w:r>
      </w:hyperlink>
    </w:p>
    <w:p>
      <w:pPr>
        <w:spacing w:after="0" w:line="4" w:lineRule="exact"/>
        <w:rPr>
          <w:rFonts w:ascii="Arial" w:cs="Arial" w:eastAsia="Arial" w:hAnsi="Arial"/>
          <w:sz w:val="18"/>
          <w:szCs w:val="18"/>
          <w:u w:val="single" w:color="auto"/>
          <w:color w:val="0000EE"/>
        </w:rPr>
      </w:pPr>
    </w:p>
    <w:p>
      <w:pPr>
        <w:ind w:right="80"/>
        <w:spacing w:after="0" w:line="250" w:lineRule="auto"/>
        <w:rPr>
          <w:rFonts w:ascii="Arial" w:cs="Arial" w:eastAsia="Arial" w:hAnsi="Arial"/>
          <w:sz w:val="18"/>
          <w:szCs w:val="18"/>
          <w:u w:val="single" w:color="auto"/>
          <w:color w:val="0000EE"/>
        </w:rPr>
      </w:pPr>
      <w:hyperlink r:id="rId81">
        <w:r>
          <w:rPr>
            <w:rFonts w:ascii="Arial" w:cs="Arial" w:eastAsia="Arial" w:hAnsi="Arial"/>
            <w:sz w:val="18"/>
            <w:szCs w:val="18"/>
            <w:u w:val="single" w:color="auto"/>
            <w:color w:val="0000EE"/>
          </w:rPr>
          <w:t>Previously filed as an exhibit to the Company’s Registration</w:t>
        </w:r>
      </w:hyperlink>
      <w:r>
        <w:rPr>
          <w:rFonts w:ascii="Arial" w:cs="Arial" w:eastAsia="Arial" w:hAnsi="Arial"/>
          <w:sz w:val="18"/>
          <w:szCs w:val="18"/>
          <w:u w:val="single" w:color="auto"/>
          <w:color w:val="0000EE"/>
        </w:rPr>
        <w:t xml:space="preserve"> </w:t>
      </w:r>
      <w:hyperlink r:id="rId81">
        <w:r>
          <w:rPr>
            <w:rFonts w:ascii="Arial" w:cs="Arial" w:eastAsia="Arial" w:hAnsi="Arial"/>
            <w:sz w:val="18"/>
            <w:szCs w:val="18"/>
            <w:u w:val="single" w:color="auto"/>
            <w:color w:val="0000EE"/>
          </w:rPr>
          <w:t>Statement on Form S-1/A (File No. 333-45996) (filed on</w:t>
        </w:r>
      </w:hyperlink>
      <w:r>
        <w:rPr>
          <w:rFonts w:ascii="Arial" w:cs="Arial" w:eastAsia="Arial" w:hAnsi="Arial"/>
          <w:sz w:val="18"/>
          <w:szCs w:val="18"/>
          <w:u w:val="single" w:color="auto"/>
          <w:color w:val="0000EE"/>
        </w:rPr>
        <w:t xml:space="preserve"> </w:t>
      </w:r>
      <w:hyperlink r:id="rId81">
        <w:r>
          <w:rPr>
            <w:rFonts w:ascii="Arial" w:cs="Arial" w:eastAsia="Arial" w:hAnsi="Arial"/>
            <w:sz w:val="18"/>
            <w:szCs w:val="18"/>
            <w:u w:val="single" w:color="auto"/>
            <w:color w:val="0000EE"/>
          </w:rPr>
          <w:t>November 9, 2000) and incorporated by reference thereto.</w:t>
        </w:r>
      </w:hyperlink>
      <w:r>
        <w:rPr>
          <w:rFonts w:ascii="Arial" w:cs="Arial" w:eastAsia="Arial" w:hAnsi="Arial"/>
          <w:sz w:val="18"/>
          <w:szCs w:val="18"/>
          <w:u w:val="single" w:color="auto"/>
          <w:color w:val="0000EE"/>
        </w:rPr>
        <w:t xml:space="preserve"> </w:t>
      </w:r>
      <w:hyperlink r:id="rId82">
        <w:r>
          <w:rPr>
            <w:rFonts w:ascii="Arial" w:cs="Arial" w:eastAsia="Arial" w:hAnsi="Arial"/>
            <w:sz w:val="18"/>
            <w:szCs w:val="18"/>
            <w:u w:val="single" w:color="auto"/>
            <w:color w:val="0000EE"/>
          </w:rPr>
          <w:t>Previously filed as an exhibit to the Company’s Annual Report on</w:t>
        </w:r>
      </w:hyperlink>
      <w:r>
        <w:rPr>
          <w:rFonts w:ascii="Arial" w:cs="Arial" w:eastAsia="Arial" w:hAnsi="Arial"/>
          <w:sz w:val="18"/>
          <w:szCs w:val="18"/>
          <w:u w:val="single" w:color="auto"/>
          <w:color w:val="0000EE"/>
        </w:rPr>
        <w:t xml:space="preserve"> </w:t>
      </w:r>
      <w:hyperlink r:id="rId82">
        <w:r>
          <w:rPr>
            <w:rFonts w:ascii="Arial" w:cs="Arial" w:eastAsia="Arial" w:hAnsi="Arial"/>
            <w:sz w:val="18"/>
            <w:szCs w:val="18"/>
            <w:u w:val="single" w:color="auto"/>
            <w:color w:val="0000EE"/>
          </w:rPr>
          <w:t>Form 10-K (filed March 16, 2020) and incorporated by reference</w:t>
        </w:r>
      </w:hyperlink>
      <w:r>
        <w:rPr>
          <w:rFonts w:ascii="Arial" w:cs="Arial" w:eastAsia="Arial" w:hAnsi="Arial"/>
          <w:sz w:val="18"/>
          <w:szCs w:val="18"/>
          <w:u w:val="single" w:color="auto"/>
          <w:color w:val="0000EE"/>
        </w:rPr>
        <w:t xml:space="preserve"> </w:t>
      </w:r>
      <w:hyperlink r:id="rId82">
        <w:r>
          <w:rPr>
            <w:rFonts w:ascii="Arial" w:cs="Arial" w:eastAsia="Arial" w:hAnsi="Arial"/>
            <w:sz w:val="18"/>
            <w:szCs w:val="18"/>
            <w:u w:val="single" w:color="auto"/>
            <w:color w:val="0000EE"/>
          </w:rPr>
          <w:t>thereto</w:t>
        </w:r>
      </w:hyperlink>
    </w:p>
    <w:p>
      <w:pPr>
        <w:spacing w:after="0" w:line="2" w:lineRule="exact"/>
        <w:rPr>
          <w:rFonts w:ascii="Arial" w:cs="Arial" w:eastAsia="Arial" w:hAnsi="Arial"/>
          <w:sz w:val="18"/>
          <w:szCs w:val="18"/>
          <w:u w:val="single" w:color="auto"/>
          <w:color w:val="0000EE"/>
        </w:rPr>
      </w:pPr>
    </w:p>
    <w:p>
      <w:pPr>
        <w:ind w:right="140"/>
        <w:spacing w:after="0" w:line="250" w:lineRule="auto"/>
        <w:rPr>
          <w:rFonts w:ascii="Arial" w:cs="Arial" w:eastAsia="Arial" w:hAnsi="Arial"/>
          <w:sz w:val="18"/>
          <w:szCs w:val="18"/>
          <w:u w:val="single" w:color="auto"/>
          <w:color w:val="0000EE"/>
        </w:rPr>
      </w:pPr>
      <w:hyperlink r:id="rId83">
        <w:r>
          <w:rPr>
            <w:rFonts w:ascii="Arial" w:cs="Arial" w:eastAsia="Arial" w:hAnsi="Arial"/>
            <w:sz w:val="18"/>
            <w:szCs w:val="18"/>
            <w:u w:val="single" w:color="auto"/>
            <w:color w:val="0000EE"/>
          </w:rPr>
          <w:t>Previously filed as an exhibit to the Company’s Quarterly Report</w:t>
        </w:r>
      </w:hyperlink>
      <w:r>
        <w:rPr>
          <w:rFonts w:ascii="Arial" w:cs="Arial" w:eastAsia="Arial" w:hAnsi="Arial"/>
          <w:sz w:val="18"/>
          <w:szCs w:val="18"/>
          <w:u w:val="single" w:color="auto"/>
          <w:color w:val="0000EE"/>
        </w:rPr>
        <w:t xml:space="preserve"> </w:t>
      </w:r>
      <w:hyperlink r:id="rId83">
        <w:r>
          <w:rPr>
            <w:rFonts w:ascii="Arial" w:cs="Arial" w:eastAsia="Arial" w:hAnsi="Arial"/>
            <w:sz w:val="18"/>
            <w:szCs w:val="18"/>
            <w:u w:val="single" w:color="auto"/>
            <w:color w:val="0000EE"/>
          </w:rPr>
          <w:t>on Form 10-Q (filed August 10, 2020) and incorporated by</w:t>
        </w:r>
      </w:hyperlink>
      <w:r>
        <w:rPr>
          <w:rFonts w:ascii="Arial" w:cs="Arial" w:eastAsia="Arial" w:hAnsi="Arial"/>
          <w:sz w:val="18"/>
          <w:szCs w:val="18"/>
          <w:u w:val="single" w:color="auto"/>
          <w:color w:val="0000EE"/>
        </w:rPr>
        <w:t xml:space="preserve"> </w:t>
      </w:r>
      <w:hyperlink r:id="rId83">
        <w:r>
          <w:rPr>
            <w:rFonts w:ascii="Arial" w:cs="Arial" w:eastAsia="Arial" w:hAnsi="Arial"/>
            <w:sz w:val="18"/>
            <w:szCs w:val="18"/>
            <w:u w:val="single" w:color="auto"/>
            <w:color w:val="0000EE"/>
          </w:rPr>
          <w:t>reference thereto.</w:t>
        </w:r>
      </w:hyperlink>
    </w:p>
    <w:p>
      <w:pPr>
        <w:spacing w:after="0" w:line="1" w:lineRule="exact"/>
        <w:rPr>
          <w:rFonts w:ascii="Arial" w:cs="Arial" w:eastAsia="Arial" w:hAnsi="Arial"/>
          <w:sz w:val="18"/>
          <w:szCs w:val="18"/>
          <w:u w:val="single" w:color="auto"/>
          <w:color w:val="0000EE"/>
        </w:rPr>
      </w:pPr>
    </w:p>
    <w:p>
      <w:pPr>
        <w:ind w:right="60"/>
        <w:spacing w:after="0" w:line="250" w:lineRule="auto"/>
        <w:rPr>
          <w:rFonts w:ascii="Arial" w:cs="Arial" w:eastAsia="Arial" w:hAnsi="Arial"/>
          <w:sz w:val="18"/>
          <w:szCs w:val="18"/>
          <w:u w:val="single" w:color="auto"/>
          <w:color w:val="0000EE"/>
        </w:rPr>
      </w:pPr>
      <w:hyperlink r:id="rId84">
        <w:r>
          <w:rPr>
            <w:rFonts w:ascii="Arial" w:cs="Arial" w:eastAsia="Arial" w:hAnsi="Arial"/>
            <w:sz w:val="18"/>
            <w:szCs w:val="18"/>
            <w:u w:val="single" w:color="auto"/>
            <w:color w:val="0000EE"/>
          </w:rPr>
          <w:t>Previously disclosed as Appendix A to the Company’s Proxy</w:t>
        </w:r>
      </w:hyperlink>
      <w:r>
        <w:rPr>
          <w:rFonts w:ascii="Arial" w:cs="Arial" w:eastAsia="Arial" w:hAnsi="Arial"/>
          <w:sz w:val="18"/>
          <w:szCs w:val="18"/>
          <w:u w:val="single" w:color="auto"/>
          <w:color w:val="0000EE"/>
        </w:rPr>
        <w:t xml:space="preserve"> </w:t>
      </w:r>
      <w:hyperlink r:id="rId84">
        <w:r>
          <w:rPr>
            <w:rFonts w:ascii="Arial" w:cs="Arial" w:eastAsia="Arial" w:hAnsi="Arial"/>
            <w:sz w:val="18"/>
            <w:szCs w:val="18"/>
            <w:u w:val="single" w:color="auto"/>
            <w:color w:val="0000EE"/>
          </w:rPr>
          <w:t>Statement on Schedule 14A (filed April 5, 2019) and incorporated</w:t>
        </w:r>
      </w:hyperlink>
      <w:r>
        <w:rPr>
          <w:rFonts w:ascii="Arial" w:cs="Arial" w:eastAsia="Arial" w:hAnsi="Arial"/>
          <w:sz w:val="18"/>
          <w:szCs w:val="18"/>
          <w:u w:val="single" w:color="auto"/>
          <w:color w:val="0000EE"/>
        </w:rPr>
        <w:t xml:space="preserve"> </w:t>
      </w:r>
      <w:hyperlink r:id="rId84">
        <w:r>
          <w:rPr>
            <w:rFonts w:ascii="Arial" w:cs="Arial" w:eastAsia="Arial" w:hAnsi="Arial"/>
            <w:sz w:val="18"/>
            <w:szCs w:val="18"/>
            <w:u w:val="single" w:color="auto"/>
            <w:color w:val="0000EE"/>
          </w:rPr>
          <w:t>by reference thereto</w:t>
        </w:r>
      </w:hyperlink>
    </w:p>
    <w:p>
      <w:pPr>
        <w:spacing w:after="0" w:line="1" w:lineRule="exact"/>
        <w:rPr>
          <w:rFonts w:ascii="Arial" w:cs="Arial" w:eastAsia="Arial" w:hAnsi="Arial"/>
          <w:sz w:val="18"/>
          <w:szCs w:val="18"/>
          <w:u w:val="single" w:color="auto"/>
          <w:color w:val="0000EE"/>
        </w:rPr>
      </w:pPr>
    </w:p>
    <w:p>
      <w:pPr>
        <w:jc w:val="both"/>
        <w:ind w:right="140"/>
        <w:spacing w:after="0" w:line="250" w:lineRule="auto"/>
        <w:rPr>
          <w:rFonts w:ascii="Arial" w:cs="Arial" w:eastAsia="Arial" w:hAnsi="Arial"/>
          <w:sz w:val="18"/>
          <w:szCs w:val="18"/>
          <w:u w:val="single" w:color="auto"/>
          <w:color w:val="0000EE"/>
        </w:rPr>
      </w:pPr>
      <w:hyperlink r:id="rId85">
        <w:r>
          <w:rPr>
            <w:rFonts w:ascii="Arial" w:cs="Arial" w:eastAsia="Arial" w:hAnsi="Arial"/>
            <w:sz w:val="18"/>
            <w:szCs w:val="18"/>
            <w:u w:val="single" w:color="auto"/>
            <w:color w:val="0000EE"/>
          </w:rPr>
          <w:t>Previously filed as an exhibit to the Company’s Quarterly Report</w:t>
        </w:r>
      </w:hyperlink>
      <w:r>
        <w:rPr>
          <w:rFonts w:ascii="Arial" w:cs="Arial" w:eastAsia="Arial" w:hAnsi="Arial"/>
          <w:sz w:val="18"/>
          <w:szCs w:val="18"/>
          <w:u w:val="single" w:color="auto"/>
          <w:color w:val="0000EE"/>
        </w:rPr>
        <w:t xml:space="preserve"> </w:t>
      </w:r>
      <w:hyperlink r:id="rId85">
        <w:r>
          <w:rPr>
            <w:rFonts w:ascii="Arial" w:cs="Arial" w:eastAsia="Arial" w:hAnsi="Arial"/>
            <w:sz w:val="18"/>
            <w:szCs w:val="18"/>
            <w:u w:val="single" w:color="auto"/>
            <w:color w:val="0000EE"/>
          </w:rPr>
          <w:t>on Form 10-Q (filed May 8, 2020) and incorporated by reference</w:t>
        </w:r>
      </w:hyperlink>
      <w:r>
        <w:rPr>
          <w:rFonts w:ascii="Arial" w:cs="Arial" w:eastAsia="Arial" w:hAnsi="Arial"/>
          <w:sz w:val="18"/>
          <w:szCs w:val="18"/>
          <w:u w:val="single" w:color="auto"/>
          <w:color w:val="0000EE"/>
        </w:rPr>
        <w:t xml:space="preserve"> </w:t>
      </w:r>
      <w:hyperlink r:id="rId85">
        <w:r>
          <w:rPr>
            <w:rFonts w:ascii="Arial" w:cs="Arial" w:eastAsia="Arial" w:hAnsi="Arial"/>
            <w:sz w:val="18"/>
            <w:szCs w:val="18"/>
            <w:u w:val="single" w:color="auto"/>
            <w:color w:val="0000EE"/>
          </w:rPr>
          <w:t>thereto.</w:t>
        </w:r>
      </w:hyperlink>
    </w:p>
    <w:p>
      <w:pPr>
        <w:spacing w:after="0" w:line="1" w:lineRule="exact"/>
        <w:rPr>
          <w:rFonts w:ascii="Arial" w:cs="Arial" w:eastAsia="Arial" w:hAnsi="Arial"/>
          <w:sz w:val="18"/>
          <w:szCs w:val="18"/>
          <w:u w:val="single" w:color="auto"/>
          <w:color w:val="0000EE"/>
        </w:rPr>
      </w:pPr>
    </w:p>
    <w:p>
      <w:pPr>
        <w:jc w:val="both"/>
        <w:ind w:right="40"/>
        <w:spacing w:after="0" w:line="250" w:lineRule="auto"/>
        <w:rPr>
          <w:rFonts w:ascii="Arial" w:cs="Arial" w:eastAsia="Arial" w:hAnsi="Arial"/>
          <w:sz w:val="18"/>
          <w:szCs w:val="18"/>
          <w:u w:val="single" w:color="auto"/>
          <w:color w:val="0000EE"/>
        </w:rPr>
      </w:pPr>
      <w:hyperlink r:id="rId86">
        <w:r>
          <w:rPr>
            <w:rFonts w:ascii="Arial" w:cs="Arial" w:eastAsia="Arial" w:hAnsi="Arial"/>
            <w:sz w:val="18"/>
            <w:szCs w:val="18"/>
            <w:u w:val="single" w:color="auto"/>
            <w:color w:val="0000EE"/>
          </w:rPr>
          <w:t>Previously filed as an exhibit to the Company’s Quarterly Report</w:t>
        </w:r>
      </w:hyperlink>
      <w:r>
        <w:rPr>
          <w:rFonts w:ascii="Arial" w:cs="Arial" w:eastAsia="Arial" w:hAnsi="Arial"/>
          <w:sz w:val="18"/>
          <w:szCs w:val="18"/>
          <w:u w:val="single" w:color="auto"/>
          <w:color w:val="0000EE"/>
        </w:rPr>
        <w:t xml:space="preserve"> </w:t>
      </w:r>
      <w:hyperlink r:id="rId86">
        <w:r>
          <w:rPr>
            <w:rFonts w:ascii="Arial" w:cs="Arial" w:eastAsia="Arial" w:hAnsi="Arial"/>
            <w:sz w:val="18"/>
            <w:szCs w:val="18"/>
            <w:u w:val="single" w:color="auto"/>
            <w:color w:val="0000EE"/>
          </w:rPr>
          <w:t>on Form 10-Q (filed May 15, 2003) and incorporated by reference</w:t>
        </w:r>
      </w:hyperlink>
      <w:r>
        <w:rPr>
          <w:rFonts w:ascii="Arial" w:cs="Arial" w:eastAsia="Arial" w:hAnsi="Arial"/>
          <w:sz w:val="18"/>
          <w:szCs w:val="18"/>
          <w:u w:val="single" w:color="auto"/>
          <w:color w:val="0000EE"/>
        </w:rPr>
        <w:t xml:space="preserve"> </w:t>
      </w:r>
      <w:hyperlink r:id="rId86">
        <w:r>
          <w:rPr>
            <w:rFonts w:ascii="Arial" w:cs="Arial" w:eastAsia="Arial" w:hAnsi="Arial"/>
            <w:sz w:val="18"/>
            <w:szCs w:val="18"/>
            <w:u w:val="single" w:color="auto"/>
            <w:color w:val="0000EE"/>
          </w:rPr>
          <w:t>thereto</w:t>
        </w:r>
      </w:hyperlink>
    </w:p>
    <w:p>
      <w:pPr>
        <w:spacing w:after="0" w:line="1" w:lineRule="exact"/>
        <w:rPr>
          <w:rFonts w:ascii="Arial" w:cs="Arial" w:eastAsia="Arial" w:hAnsi="Arial"/>
          <w:sz w:val="18"/>
          <w:szCs w:val="18"/>
          <w:u w:val="single" w:color="auto"/>
          <w:color w:val="0000EE"/>
        </w:rPr>
      </w:pPr>
    </w:p>
    <w:p>
      <w:pPr>
        <w:jc w:val="both"/>
        <w:ind w:right="80"/>
        <w:spacing w:after="0" w:line="250" w:lineRule="auto"/>
        <w:rPr>
          <w:rFonts w:ascii="Arial" w:cs="Arial" w:eastAsia="Arial" w:hAnsi="Arial"/>
          <w:sz w:val="18"/>
          <w:szCs w:val="18"/>
          <w:u w:val="single" w:color="auto"/>
          <w:color w:val="0000EE"/>
        </w:rPr>
      </w:pPr>
      <w:hyperlink r:id="rId87">
        <w:r>
          <w:rPr>
            <w:rFonts w:ascii="Arial" w:cs="Arial" w:eastAsia="Arial" w:hAnsi="Arial"/>
            <w:sz w:val="18"/>
            <w:szCs w:val="18"/>
            <w:u w:val="single" w:color="auto"/>
            <w:color w:val="0000EE"/>
          </w:rPr>
          <w:t>Previously filed as an exhibit to the Company’s Annual Report on</w:t>
        </w:r>
      </w:hyperlink>
      <w:r>
        <w:rPr>
          <w:rFonts w:ascii="Arial" w:cs="Arial" w:eastAsia="Arial" w:hAnsi="Arial"/>
          <w:sz w:val="18"/>
          <w:szCs w:val="18"/>
          <w:u w:val="single" w:color="auto"/>
          <w:color w:val="0000EE"/>
        </w:rPr>
        <w:t xml:space="preserve"> </w:t>
      </w:r>
      <w:hyperlink r:id="rId87">
        <w:r>
          <w:rPr>
            <w:rFonts w:ascii="Arial" w:cs="Arial" w:eastAsia="Arial" w:hAnsi="Arial"/>
            <w:sz w:val="18"/>
            <w:szCs w:val="18"/>
            <w:u w:val="single" w:color="auto"/>
            <w:color w:val="0000EE"/>
          </w:rPr>
          <w:t>Form 10-K (filed March 16, 2006) and incorporated by reference</w:t>
        </w:r>
      </w:hyperlink>
      <w:r>
        <w:rPr>
          <w:rFonts w:ascii="Arial" w:cs="Arial" w:eastAsia="Arial" w:hAnsi="Arial"/>
          <w:sz w:val="18"/>
          <w:szCs w:val="18"/>
          <w:u w:val="single" w:color="auto"/>
          <w:color w:val="0000EE"/>
        </w:rPr>
        <w:t xml:space="preserve"> </w:t>
      </w:r>
      <w:hyperlink r:id="rId87">
        <w:r>
          <w:rPr>
            <w:rFonts w:ascii="Arial" w:cs="Arial" w:eastAsia="Arial" w:hAnsi="Arial"/>
            <w:sz w:val="18"/>
            <w:szCs w:val="18"/>
            <w:u w:val="single" w:color="auto"/>
            <w:color w:val="0000EE"/>
          </w:rPr>
          <w:t>thereto</w:t>
        </w:r>
      </w:hyperlink>
    </w:p>
    <w:p>
      <w:pPr>
        <w:spacing w:after="0" w:line="1" w:lineRule="exact"/>
        <w:rPr>
          <w:rFonts w:ascii="Arial" w:cs="Arial" w:eastAsia="Arial" w:hAnsi="Arial"/>
          <w:sz w:val="18"/>
          <w:szCs w:val="18"/>
          <w:u w:val="single" w:color="auto"/>
          <w:color w:val="0000EE"/>
        </w:rPr>
      </w:pPr>
    </w:p>
    <w:p>
      <w:pPr>
        <w:jc w:val="both"/>
        <w:ind w:right="80"/>
        <w:spacing w:after="0" w:line="250" w:lineRule="auto"/>
        <w:rPr>
          <w:rFonts w:ascii="Arial" w:cs="Arial" w:eastAsia="Arial" w:hAnsi="Arial"/>
          <w:sz w:val="18"/>
          <w:szCs w:val="18"/>
          <w:u w:val="single" w:color="auto"/>
          <w:color w:val="0000EE"/>
        </w:rPr>
      </w:pPr>
      <w:hyperlink r:id="rId88">
        <w:r>
          <w:rPr>
            <w:rFonts w:ascii="Arial" w:cs="Arial" w:eastAsia="Arial" w:hAnsi="Arial"/>
            <w:sz w:val="18"/>
            <w:szCs w:val="18"/>
            <w:u w:val="single" w:color="auto"/>
            <w:color w:val="0000EE"/>
          </w:rPr>
          <w:t>Previously filed as an exhibit to the Company’s Annual Report on</w:t>
        </w:r>
      </w:hyperlink>
      <w:r>
        <w:rPr>
          <w:rFonts w:ascii="Arial" w:cs="Arial" w:eastAsia="Arial" w:hAnsi="Arial"/>
          <w:sz w:val="18"/>
          <w:szCs w:val="18"/>
          <w:u w:val="single" w:color="auto"/>
          <w:color w:val="0000EE"/>
        </w:rPr>
        <w:t xml:space="preserve"> </w:t>
      </w:r>
      <w:hyperlink r:id="rId88">
        <w:r>
          <w:rPr>
            <w:rFonts w:ascii="Arial" w:cs="Arial" w:eastAsia="Arial" w:hAnsi="Arial"/>
            <w:sz w:val="18"/>
            <w:szCs w:val="18"/>
            <w:u w:val="single" w:color="auto"/>
            <w:color w:val="0000EE"/>
          </w:rPr>
          <w:t>Form 10-K (filed March 16, 2006) and incorporated by reference</w:t>
        </w:r>
      </w:hyperlink>
      <w:r>
        <w:rPr>
          <w:rFonts w:ascii="Arial" w:cs="Arial" w:eastAsia="Arial" w:hAnsi="Arial"/>
          <w:sz w:val="18"/>
          <w:szCs w:val="18"/>
          <w:u w:val="single" w:color="auto"/>
          <w:color w:val="0000EE"/>
        </w:rPr>
        <w:t xml:space="preserve"> </w:t>
      </w:r>
      <w:hyperlink r:id="rId88">
        <w:r>
          <w:rPr>
            <w:rFonts w:ascii="Arial" w:cs="Arial" w:eastAsia="Arial" w:hAnsi="Arial"/>
            <w:sz w:val="18"/>
            <w:szCs w:val="18"/>
            <w:u w:val="single" w:color="auto"/>
            <w:color w:val="0000EE"/>
          </w:rPr>
          <w:t>thereto</w:t>
        </w:r>
      </w:hyperlink>
    </w:p>
    <w:p>
      <w:pPr>
        <w:spacing w:after="0" w:line="1" w:lineRule="exact"/>
        <w:rPr>
          <w:rFonts w:ascii="Arial" w:cs="Arial" w:eastAsia="Arial" w:hAnsi="Arial"/>
          <w:sz w:val="18"/>
          <w:szCs w:val="18"/>
          <w:u w:val="single" w:color="auto"/>
          <w:color w:val="0000EE"/>
        </w:rPr>
      </w:pPr>
    </w:p>
    <w:p>
      <w:pPr>
        <w:jc w:val="both"/>
        <w:ind w:right="80"/>
        <w:spacing w:after="0" w:line="250" w:lineRule="auto"/>
        <w:rPr>
          <w:rFonts w:ascii="Arial" w:cs="Arial" w:eastAsia="Arial" w:hAnsi="Arial"/>
          <w:sz w:val="18"/>
          <w:szCs w:val="18"/>
          <w:u w:val="single" w:color="auto"/>
          <w:color w:val="0000EE"/>
        </w:rPr>
      </w:pPr>
      <w:hyperlink r:id="rId89">
        <w:r>
          <w:rPr>
            <w:rFonts w:ascii="Arial" w:cs="Arial" w:eastAsia="Arial" w:hAnsi="Arial"/>
            <w:sz w:val="18"/>
            <w:szCs w:val="18"/>
            <w:u w:val="single" w:color="auto"/>
            <w:color w:val="0000EE"/>
          </w:rPr>
          <w:t>Previously filed as an exhibit to the Company’s Annual Report on</w:t>
        </w:r>
      </w:hyperlink>
      <w:r>
        <w:rPr>
          <w:rFonts w:ascii="Arial" w:cs="Arial" w:eastAsia="Arial" w:hAnsi="Arial"/>
          <w:sz w:val="18"/>
          <w:szCs w:val="18"/>
          <w:u w:val="single" w:color="auto"/>
          <w:color w:val="0000EE"/>
        </w:rPr>
        <w:t xml:space="preserve"> </w:t>
      </w:r>
      <w:hyperlink r:id="rId89">
        <w:r>
          <w:rPr>
            <w:rFonts w:ascii="Arial" w:cs="Arial" w:eastAsia="Arial" w:hAnsi="Arial"/>
            <w:sz w:val="18"/>
            <w:szCs w:val="18"/>
            <w:u w:val="single" w:color="auto"/>
            <w:color w:val="0000EE"/>
          </w:rPr>
          <w:t>Form 10-K (filed March 16, 2006) and incorporated by reference</w:t>
        </w:r>
      </w:hyperlink>
      <w:r>
        <w:rPr>
          <w:rFonts w:ascii="Arial" w:cs="Arial" w:eastAsia="Arial" w:hAnsi="Arial"/>
          <w:sz w:val="18"/>
          <w:szCs w:val="18"/>
          <w:u w:val="single" w:color="auto"/>
          <w:color w:val="0000EE"/>
        </w:rPr>
        <w:t xml:space="preserve"> </w:t>
      </w:r>
      <w:hyperlink r:id="rId89">
        <w:r>
          <w:rPr>
            <w:rFonts w:ascii="Arial" w:cs="Arial" w:eastAsia="Arial" w:hAnsi="Arial"/>
            <w:sz w:val="18"/>
            <w:szCs w:val="18"/>
            <w:u w:val="single" w:color="auto"/>
            <w:color w:val="0000EE"/>
          </w:rPr>
          <w:t>thereto</w:t>
        </w:r>
      </w:hyperlink>
    </w:p>
    <w:p>
      <w:pPr>
        <w:spacing w:after="0" w:line="1" w:lineRule="exact"/>
        <w:rPr>
          <w:rFonts w:ascii="Arial" w:cs="Arial" w:eastAsia="Arial" w:hAnsi="Arial"/>
          <w:sz w:val="18"/>
          <w:szCs w:val="18"/>
          <w:u w:val="single" w:color="auto"/>
          <w:color w:val="0000EE"/>
        </w:rPr>
      </w:pPr>
    </w:p>
    <w:p>
      <w:pPr>
        <w:jc w:val="both"/>
        <w:ind w:right="80"/>
        <w:spacing w:after="0" w:line="250" w:lineRule="auto"/>
        <w:rPr>
          <w:rFonts w:ascii="Arial" w:cs="Arial" w:eastAsia="Arial" w:hAnsi="Arial"/>
          <w:sz w:val="18"/>
          <w:szCs w:val="18"/>
          <w:u w:val="single" w:color="auto"/>
          <w:color w:val="0000EE"/>
        </w:rPr>
      </w:pPr>
      <w:hyperlink r:id="rId90">
        <w:r>
          <w:rPr>
            <w:rFonts w:ascii="Arial" w:cs="Arial" w:eastAsia="Arial" w:hAnsi="Arial"/>
            <w:sz w:val="18"/>
            <w:szCs w:val="18"/>
            <w:u w:val="single" w:color="auto"/>
            <w:color w:val="0000EE"/>
          </w:rPr>
          <w:t>Previously filed as an exhibit to the Company’s Annual Report on</w:t>
        </w:r>
      </w:hyperlink>
      <w:r>
        <w:rPr>
          <w:rFonts w:ascii="Arial" w:cs="Arial" w:eastAsia="Arial" w:hAnsi="Arial"/>
          <w:sz w:val="18"/>
          <w:szCs w:val="18"/>
          <w:u w:val="single" w:color="auto"/>
          <w:color w:val="0000EE"/>
        </w:rPr>
        <w:t xml:space="preserve"> </w:t>
      </w:r>
      <w:hyperlink r:id="rId90">
        <w:r>
          <w:rPr>
            <w:rFonts w:ascii="Arial" w:cs="Arial" w:eastAsia="Arial" w:hAnsi="Arial"/>
            <w:sz w:val="18"/>
            <w:szCs w:val="18"/>
            <w:u w:val="single" w:color="auto"/>
            <w:color w:val="0000EE"/>
          </w:rPr>
          <w:t>Form 10-K (filed March 16, 2011) and incorporated by reference</w:t>
        </w:r>
      </w:hyperlink>
      <w:r>
        <w:rPr>
          <w:rFonts w:ascii="Arial" w:cs="Arial" w:eastAsia="Arial" w:hAnsi="Arial"/>
          <w:sz w:val="18"/>
          <w:szCs w:val="18"/>
          <w:u w:val="single" w:color="auto"/>
          <w:color w:val="0000EE"/>
        </w:rPr>
        <w:t xml:space="preserve"> </w:t>
      </w:r>
      <w:hyperlink r:id="rId90">
        <w:r>
          <w:rPr>
            <w:rFonts w:ascii="Arial" w:cs="Arial" w:eastAsia="Arial" w:hAnsi="Arial"/>
            <w:sz w:val="18"/>
            <w:szCs w:val="18"/>
            <w:u w:val="single" w:color="auto"/>
            <w:color w:val="0000EE"/>
          </w:rPr>
          <w:t>thereto</w:t>
        </w:r>
      </w:hyperlink>
    </w:p>
    <w:p>
      <w:pPr>
        <w:spacing w:after="0" w:line="1" w:lineRule="exact"/>
        <w:rPr>
          <w:rFonts w:ascii="Arial" w:cs="Arial" w:eastAsia="Arial" w:hAnsi="Arial"/>
          <w:sz w:val="18"/>
          <w:szCs w:val="18"/>
          <w:u w:val="single" w:color="auto"/>
          <w:color w:val="0000EE"/>
        </w:rPr>
      </w:pPr>
    </w:p>
    <w:p>
      <w:pPr>
        <w:jc w:val="both"/>
        <w:ind w:right="80"/>
        <w:spacing w:after="0" w:line="250" w:lineRule="auto"/>
        <w:rPr>
          <w:rFonts w:ascii="Arial" w:cs="Arial" w:eastAsia="Arial" w:hAnsi="Arial"/>
          <w:sz w:val="18"/>
          <w:szCs w:val="18"/>
          <w:u w:val="single" w:color="auto"/>
          <w:color w:val="0000EE"/>
        </w:rPr>
      </w:pPr>
      <w:hyperlink r:id="rId91">
        <w:r>
          <w:rPr>
            <w:rFonts w:ascii="Arial" w:cs="Arial" w:eastAsia="Arial" w:hAnsi="Arial"/>
            <w:sz w:val="18"/>
            <w:szCs w:val="18"/>
            <w:u w:val="single" w:color="auto"/>
            <w:color w:val="0000EE"/>
          </w:rPr>
          <w:t>Previously filed as an exhibit to the Company’s Annual Report on</w:t>
        </w:r>
      </w:hyperlink>
      <w:r>
        <w:rPr>
          <w:rFonts w:ascii="Arial" w:cs="Arial" w:eastAsia="Arial" w:hAnsi="Arial"/>
          <w:sz w:val="18"/>
          <w:szCs w:val="18"/>
          <w:u w:val="single" w:color="auto"/>
          <w:color w:val="0000EE"/>
        </w:rPr>
        <w:t xml:space="preserve"> </w:t>
      </w:r>
      <w:hyperlink r:id="rId91">
        <w:r>
          <w:rPr>
            <w:rFonts w:ascii="Arial" w:cs="Arial" w:eastAsia="Arial" w:hAnsi="Arial"/>
            <w:sz w:val="18"/>
            <w:szCs w:val="18"/>
            <w:u w:val="single" w:color="auto"/>
            <w:color w:val="0000EE"/>
          </w:rPr>
          <w:t>Form 10-K (filed March 16, 2020) and incorporated by reference</w:t>
        </w:r>
      </w:hyperlink>
      <w:r>
        <w:rPr>
          <w:rFonts w:ascii="Arial" w:cs="Arial" w:eastAsia="Arial" w:hAnsi="Arial"/>
          <w:sz w:val="18"/>
          <w:szCs w:val="18"/>
          <w:u w:val="single" w:color="auto"/>
          <w:color w:val="0000EE"/>
        </w:rPr>
        <w:t xml:space="preserve"> </w:t>
      </w:r>
      <w:hyperlink r:id="rId91">
        <w:r>
          <w:rPr>
            <w:rFonts w:ascii="Arial" w:cs="Arial" w:eastAsia="Arial" w:hAnsi="Arial"/>
            <w:sz w:val="18"/>
            <w:szCs w:val="18"/>
            <w:u w:val="single" w:color="auto"/>
            <w:color w:val="0000EE"/>
          </w:rPr>
          <w:t>thereto</w:t>
        </w:r>
      </w:hyperlink>
    </w:p>
    <w:p>
      <w:pPr>
        <w:spacing w:after="0" w:line="1" w:lineRule="exact"/>
        <w:rPr>
          <w:rFonts w:ascii="Arial" w:cs="Arial" w:eastAsia="Arial" w:hAnsi="Arial"/>
          <w:sz w:val="18"/>
          <w:szCs w:val="18"/>
          <w:u w:val="single" w:color="auto"/>
          <w:color w:val="0000EE"/>
        </w:rPr>
      </w:pPr>
    </w:p>
    <w:p>
      <w:pPr>
        <w:ind w:right="60"/>
        <w:spacing w:after="0" w:line="250" w:lineRule="auto"/>
        <w:rPr>
          <w:rFonts w:ascii="Arial" w:cs="Arial" w:eastAsia="Arial" w:hAnsi="Arial"/>
          <w:sz w:val="18"/>
          <w:szCs w:val="18"/>
          <w:u w:val="single" w:color="auto"/>
          <w:color w:val="0000EE"/>
        </w:rPr>
      </w:pPr>
      <w:hyperlink r:id="rId92">
        <w:r>
          <w:rPr>
            <w:rFonts w:ascii="Arial" w:cs="Arial" w:eastAsia="Arial" w:hAnsi="Arial"/>
            <w:sz w:val="18"/>
            <w:szCs w:val="18"/>
            <w:u w:val="single" w:color="auto"/>
            <w:color w:val="0000EE"/>
          </w:rPr>
          <w:t>Previously filed as an exhibit to the Company’s Current Report on</w:t>
        </w:r>
      </w:hyperlink>
      <w:r>
        <w:rPr>
          <w:rFonts w:ascii="Arial" w:cs="Arial" w:eastAsia="Arial" w:hAnsi="Arial"/>
          <w:sz w:val="18"/>
          <w:szCs w:val="18"/>
          <w:u w:val="single" w:color="auto"/>
          <w:color w:val="0000EE"/>
        </w:rPr>
        <w:t xml:space="preserve"> </w:t>
      </w:r>
      <w:hyperlink r:id="rId92">
        <w:r>
          <w:rPr>
            <w:rFonts w:ascii="Arial" w:cs="Arial" w:eastAsia="Arial" w:hAnsi="Arial"/>
            <w:sz w:val="18"/>
            <w:szCs w:val="18"/>
            <w:u w:val="single" w:color="auto"/>
            <w:color w:val="0000EE"/>
          </w:rPr>
          <w:t>Form 8-K (filed July 8, 2019) and incorporated by reference</w:t>
        </w:r>
      </w:hyperlink>
      <w:r>
        <w:rPr>
          <w:rFonts w:ascii="Arial" w:cs="Arial" w:eastAsia="Arial" w:hAnsi="Arial"/>
          <w:sz w:val="18"/>
          <w:szCs w:val="18"/>
          <w:u w:val="single" w:color="auto"/>
          <w:color w:val="0000EE"/>
        </w:rPr>
        <w:t xml:space="preserve"> </w:t>
      </w:r>
      <w:hyperlink r:id="rId92">
        <w:r>
          <w:rPr>
            <w:rFonts w:ascii="Arial" w:cs="Arial" w:eastAsia="Arial" w:hAnsi="Arial"/>
            <w:sz w:val="18"/>
            <w:szCs w:val="18"/>
            <w:u w:val="single" w:color="auto"/>
            <w:color w:val="0000EE"/>
          </w:rPr>
          <w:t>thereto.</w:t>
        </w:r>
      </w:hyperlink>
    </w:p>
    <w:p>
      <w:pPr>
        <w:spacing w:after="0" w:line="1" w:lineRule="exact"/>
        <w:rPr>
          <w:rFonts w:ascii="Arial" w:cs="Arial" w:eastAsia="Arial" w:hAnsi="Arial"/>
          <w:sz w:val="18"/>
          <w:szCs w:val="18"/>
          <w:u w:val="single" w:color="auto"/>
          <w:color w:val="0000EE"/>
        </w:rPr>
      </w:pPr>
    </w:p>
    <w:p>
      <w:pPr>
        <w:ind w:right="60"/>
        <w:spacing w:after="0" w:line="250" w:lineRule="auto"/>
        <w:rPr>
          <w:rFonts w:ascii="Arial" w:cs="Arial" w:eastAsia="Arial" w:hAnsi="Arial"/>
          <w:sz w:val="18"/>
          <w:szCs w:val="18"/>
          <w:u w:val="single" w:color="auto"/>
          <w:color w:val="0000EE"/>
        </w:rPr>
      </w:pPr>
      <w:hyperlink r:id="rId93">
        <w:r>
          <w:rPr>
            <w:rFonts w:ascii="Arial" w:cs="Arial" w:eastAsia="Arial" w:hAnsi="Arial"/>
            <w:sz w:val="18"/>
            <w:szCs w:val="18"/>
            <w:u w:val="single" w:color="auto"/>
            <w:color w:val="0000EE"/>
          </w:rPr>
          <w:t>Previously filed as an exhibit to the Company’s Current Report on</w:t>
        </w:r>
      </w:hyperlink>
      <w:r>
        <w:rPr>
          <w:rFonts w:ascii="Arial" w:cs="Arial" w:eastAsia="Arial" w:hAnsi="Arial"/>
          <w:sz w:val="18"/>
          <w:szCs w:val="18"/>
          <w:u w:val="single" w:color="auto"/>
          <w:color w:val="0000EE"/>
        </w:rPr>
        <w:t xml:space="preserve"> </w:t>
      </w:r>
      <w:hyperlink r:id="rId93">
        <w:r>
          <w:rPr>
            <w:rFonts w:ascii="Arial" w:cs="Arial" w:eastAsia="Arial" w:hAnsi="Arial"/>
            <w:sz w:val="18"/>
            <w:szCs w:val="18"/>
            <w:u w:val="single" w:color="auto"/>
            <w:color w:val="0000EE"/>
          </w:rPr>
          <w:t>Form 8-K (filed July 19, 2019) and incorporated by reference</w:t>
        </w:r>
      </w:hyperlink>
      <w:r>
        <w:rPr>
          <w:rFonts w:ascii="Arial" w:cs="Arial" w:eastAsia="Arial" w:hAnsi="Arial"/>
          <w:sz w:val="18"/>
          <w:szCs w:val="18"/>
          <w:u w:val="single" w:color="auto"/>
          <w:color w:val="0000EE"/>
        </w:rPr>
        <w:t xml:space="preserve"> </w:t>
      </w:r>
      <w:hyperlink r:id="rId93">
        <w:r>
          <w:rPr>
            <w:rFonts w:ascii="Arial" w:cs="Arial" w:eastAsia="Arial" w:hAnsi="Arial"/>
            <w:sz w:val="18"/>
            <w:szCs w:val="18"/>
            <w:u w:val="single" w:color="auto"/>
            <w:color w:val="0000EE"/>
          </w:rPr>
          <w:t>thereto.</w:t>
        </w:r>
      </w:hyperlink>
    </w:p>
    <w:p>
      <w:pPr>
        <w:spacing w:after="0" w:line="1" w:lineRule="exact"/>
        <w:rPr>
          <w:rFonts w:ascii="Arial" w:cs="Arial" w:eastAsia="Arial" w:hAnsi="Arial"/>
          <w:sz w:val="18"/>
          <w:szCs w:val="18"/>
          <w:u w:val="single" w:color="auto"/>
          <w:color w:val="0000EE"/>
        </w:rPr>
      </w:pPr>
    </w:p>
    <w:p>
      <w:pPr>
        <w:ind w:right="60"/>
        <w:spacing w:after="0" w:line="250" w:lineRule="auto"/>
        <w:rPr>
          <w:rFonts w:ascii="Arial" w:cs="Arial" w:eastAsia="Arial" w:hAnsi="Arial"/>
          <w:sz w:val="18"/>
          <w:szCs w:val="18"/>
          <w:u w:val="single" w:color="auto"/>
          <w:color w:val="0000EE"/>
        </w:rPr>
      </w:pPr>
      <w:hyperlink r:id="rId94">
        <w:r>
          <w:rPr>
            <w:rFonts w:ascii="Arial" w:cs="Arial" w:eastAsia="Arial" w:hAnsi="Arial"/>
            <w:sz w:val="18"/>
            <w:szCs w:val="18"/>
            <w:u w:val="single" w:color="auto"/>
            <w:color w:val="0000EE"/>
          </w:rPr>
          <w:t>Previously filed as an exhibit to the Company’s Current Report on</w:t>
        </w:r>
      </w:hyperlink>
      <w:r>
        <w:rPr>
          <w:rFonts w:ascii="Arial" w:cs="Arial" w:eastAsia="Arial" w:hAnsi="Arial"/>
          <w:sz w:val="18"/>
          <w:szCs w:val="18"/>
          <w:u w:val="single" w:color="auto"/>
          <w:color w:val="0000EE"/>
        </w:rPr>
        <w:t xml:space="preserve"> </w:t>
      </w:r>
      <w:hyperlink r:id="rId94">
        <w:r>
          <w:rPr>
            <w:rFonts w:ascii="Arial" w:cs="Arial" w:eastAsia="Arial" w:hAnsi="Arial"/>
            <w:sz w:val="18"/>
            <w:szCs w:val="18"/>
            <w:u w:val="single" w:color="auto"/>
            <w:color w:val="0000EE"/>
          </w:rPr>
          <w:t>Form 8-K (filed March 6, 2020) and incorporated by reference</w:t>
        </w:r>
      </w:hyperlink>
      <w:r>
        <w:rPr>
          <w:rFonts w:ascii="Arial" w:cs="Arial" w:eastAsia="Arial" w:hAnsi="Arial"/>
          <w:sz w:val="18"/>
          <w:szCs w:val="18"/>
          <w:u w:val="single" w:color="auto"/>
          <w:color w:val="0000EE"/>
        </w:rPr>
        <w:t xml:space="preserve"> </w:t>
      </w:r>
      <w:hyperlink r:id="rId94">
        <w:r>
          <w:rPr>
            <w:rFonts w:ascii="Arial" w:cs="Arial" w:eastAsia="Arial" w:hAnsi="Arial"/>
            <w:sz w:val="18"/>
            <w:szCs w:val="18"/>
            <w:u w:val="single" w:color="auto"/>
            <w:color w:val="0000EE"/>
          </w:rPr>
          <w:t>thereto.</w:t>
        </w:r>
      </w:hyperlink>
    </w:p>
    <w:p>
      <w:pPr>
        <w:spacing w:after="0" w:line="1" w:lineRule="exact"/>
        <w:rPr>
          <w:rFonts w:ascii="Arial" w:cs="Arial" w:eastAsia="Arial" w:hAnsi="Arial"/>
          <w:sz w:val="18"/>
          <w:szCs w:val="18"/>
          <w:u w:val="single" w:color="auto"/>
          <w:color w:val="0000EE"/>
        </w:rPr>
      </w:pPr>
    </w:p>
    <w:p>
      <w:pPr>
        <w:ind w:right="60"/>
        <w:spacing w:after="0" w:line="250" w:lineRule="auto"/>
        <w:rPr>
          <w:rFonts w:ascii="Arial" w:cs="Arial" w:eastAsia="Arial" w:hAnsi="Arial"/>
          <w:sz w:val="18"/>
          <w:szCs w:val="18"/>
          <w:u w:val="single" w:color="auto"/>
          <w:color w:val="0000EE"/>
        </w:rPr>
      </w:pPr>
      <w:hyperlink r:id="rId95">
        <w:r>
          <w:rPr>
            <w:rFonts w:ascii="Arial" w:cs="Arial" w:eastAsia="Arial" w:hAnsi="Arial"/>
            <w:sz w:val="18"/>
            <w:szCs w:val="18"/>
            <w:u w:val="single" w:color="auto"/>
            <w:color w:val="0000EE"/>
          </w:rPr>
          <w:t>Previously filed as an exhibit to the Company’s Current Report on</w:t>
        </w:r>
      </w:hyperlink>
      <w:r>
        <w:rPr>
          <w:rFonts w:ascii="Arial" w:cs="Arial" w:eastAsia="Arial" w:hAnsi="Arial"/>
          <w:sz w:val="18"/>
          <w:szCs w:val="18"/>
          <w:u w:val="single" w:color="auto"/>
          <w:color w:val="0000EE"/>
        </w:rPr>
        <w:t xml:space="preserve"> </w:t>
      </w:r>
      <w:hyperlink r:id="rId95">
        <w:r>
          <w:rPr>
            <w:rFonts w:ascii="Arial" w:cs="Arial" w:eastAsia="Arial" w:hAnsi="Arial"/>
            <w:sz w:val="18"/>
            <w:szCs w:val="18"/>
            <w:u w:val="single" w:color="auto"/>
            <w:color w:val="0000EE"/>
          </w:rPr>
          <w:t>Form 8-K (filed December 23, 2020) and incorporated by</w:t>
        </w:r>
      </w:hyperlink>
      <w:r>
        <w:rPr>
          <w:rFonts w:ascii="Arial" w:cs="Arial" w:eastAsia="Arial" w:hAnsi="Arial"/>
          <w:sz w:val="18"/>
          <w:szCs w:val="18"/>
          <w:u w:val="single" w:color="auto"/>
          <w:color w:val="0000EE"/>
        </w:rPr>
        <w:t xml:space="preserve"> </w:t>
      </w:r>
      <w:hyperlink r:id="rId95">
        <w:r>
          <w:rPr>
            <w:rFonts w:ascii="Arial" w:cs="Arial" w:eastAsia="Arial" w:hAnsi="Arial"/>
            <w:sz w:val="18"/>
            <w:szCs w:val="18"/>
            <w:u w:val="single" w:color="auto"/>
            <w:color w:val="0000EE"/>
          </w:rPr>
          <w:t>reference thereto.</w:t>
        </w:r>
      </w:hyperlink>
    </w:p>
    <w:p>
      <w:pPr>
        <w:spacing w:after="0" w:line="1" w:lineRule="exact"/>
        <w:rPr>
          <w:rFonts w:ascii="Arial" w:cs="Arial" w:eastAsia="Arial" w:hAnsi="Arial"/>
          <w:sz w:val="18"/>
          <w:szCs w:val="18"/>
          <w:u w:val="single" w:color="auto"/>
          <w:color w:val="0000EE"/>
        </w:rPr>
      </w:pPr>
    </w:p>
    <w:p>
      <w:pPr>
        <w:ind w:right="60"/>
        <w:spacing w:after="0" w:line="255" w:lineRule="auto"/>
        <w:rPr>
          <w:rFonts w:ascii="Arial" w:cs="Arial" w:eastAsia="Arial" w:hAnsi="Arial"/>
          <w:sz w:val="18"/>
          <w:szCs w:val="18"/>
          <w:u w:val="single" w:color="auto"/>
          <w:color w:val="0000EE"/>
        </w:rPr>
      </w:pPr>
      <w:hyperlink r:id="rId96">
        <w:r>
          <w:rPr>
            <w:rFonts w:ascii="Arial" w:cs="Arial" w:eastAsia="Arial" w:hAnsi="Arial"/>
            <w:sz w:val="18"/>
            <w:szCs w:val="18"/>
            <w:u w:val="single" w:color="auto"/>
            <w:color w:val="0000EE"/>
          </w:rPr>
          <w:t>Previously filed as an exhibit to the Company’s Current Report on</w:t>
        </w:r>
      </w:hyperlink>
      <w:r>
        <w:rPr>
          <w:rFonts w:ascii="Arial" w:cs="Arial" w:eastAsia="Arial" w:hAnsi="Arial"/>
          <w:sz w:val="18"/>
          <w:szCs w:val="18"/>
          <w:u w:val="single" w:color="auto"/>
          <w:color w:val="0000EE"/>
        </w:rPr>
        <w:t xml:space="preserve"> </w:t>
      </w:r>
      <w:hyperlink r:id="rId96">
        <w:r>
          <w:rPr>
            <w:rFonts w:ascii="Arial" w:cs="Arial" w:eastAsia="Arial" w:hAnsi="Arial"/>
            <w:sz w:val="18"/>
            <w:szCs w:val="18"/>
            <w:u w:val="single" w:color="auto"/>
            <w:color w:val="0000EE"/>
          </w:rPr>
          <w:t>Form 8-K (filed December 23, 2020) and incorporated by</w:t>
        </w:r>
      </w:hyperlink>
      <w:r>
        <w:rPr>
          <w:rFonts w:ascii="Arial" w:cs="Arial" w:eastAsia="Arial" w:hAnsi="Arial"/>
          <w:sz w:val="18"/>
          <w:szCs w:val="18"/>
          <w:u w:val="single" w:color="auto"/>
          <w:color w:val="0000EE"/>
        </w:rPr>
        <w:t xml:space="preserve"> </w:t>
      </w:r>
      <w:hyperlink r:id="rId96">
        <w:r>
          <w:rPr>
            <w:rFonts w:ascii="Arial" w:cs="Arial" w:eastAsia="Arial" w:hAnsi="Arial"/>
            <w:sz w:val="18"/>
            <w:szCs w:val="18"/>
            <w:u w:val="single" w:color="auto"/>
            <w:color w:val="0000EE"/>
          </w:rPr>
          <w:t>reference thereto.</w:t>
        </w:r>
      </w:hyperlink>
    </w:p>
    <w:p>
      <w:pPr>
        <w:spacing w:after="0" w:line="190" w:lineRule="exact"/>
        <w:rPr>
          <w:rFonts w:ascii="Arial" w:cs="Arial" w:eastAsia="Arial" w:hAnsi="Arial"/>
          <w:sz w:val="18"/>
          <w:szCs w:val="18"/>
          <w:u w:val="single" w:color="auto"/>
          <w:color w:val="0000EE"/>
        </w:rPr>
      </w:pPr>
    </w:p>
    <w:p>
      <w:pPr>
        <w:ind w:right="60"/>
        <w:spacing w:after="0" w:line="263" w:lineRule="auto"/>
        <w:rPr>
          <w:rFonts w:ascii="Arial" w:cs="Arial" w:eastAsia="Arial" w:hAnsi="Arial"/>
          <w:sz w:val="18"/>
          <w:szCs w:val="18"/>
          <w:u w:val="single" w:color="auto"/>
          <w:color w:val="0000EE"/>
        </w:rPr>
      </w:pPr>
      <w:hyperlink r:id="rId97">
        <w:r>
          <w:rPr>
            <w:rFonts w:ascii="Arial" w:cs="Arial" w:eastAsia="Arial" w:hAnsi="Arial"/>
            <w:sz w:val="18"/>
            <w:szCs w:val="18"/>
            <w:u w:val="single" w:color="auto"/>
            <w:color w:val="0000EE"/>
          </w:rPr>
          <w:t>Previously filed as an exhibit to the Company’s Current Report on</w:t>
        </w:r>
      </w:hyperlink>
      <w:r>
        <w:rPr>
          <w:rFonts w:ascii="Arial" w:cs="Arial" w:eastAsia="Arial" w:hAnsi="Arial"/>
          <w:sz w:val="18"/>
          <w:szCs w:val="18"/>
          <w:u w:val="single" w:color="auto"/>
          <w:color w:val="0000EE"/>
        </w:rPr>
        <w:t xml:space="preserve"> </w:t>
      </w:r>
      <w:hyperlink r:id="rId97">
        <w:r>
          <w:rPr>
            <w:rFonts w:ascii="Arial" w:cs="Arial" w:eastAsia="Arial" w:hAnsi="Arial"/>
            <w:sz w:val="18"/>
            <w:szCs w:val="18"/>
            <w:u w:val="single" w:color="auto"/>
            <w:color w:val="0000EE"/>
          </w:rPr>
          <w:t>Form 8-K (filed December 23, 2020) and incorporated by</w:t>
        </w:r>
      </w:hyperlink>
      <w:r>
        <w:rPr>
          <w:rFonts w:ascii="Arial" w:cs="Arial" w:eastAsia="Arial" w:hAnsi="Arial"/>
          <w:sz w:val="18"/>
          <w:szCs w:val="18"/>
          <w:u w:val="single" w:color="auto"/>
          <w:color w:val="0000EE"/>
        </w:rPr>
        <w:t xml:space="preserve"> </w:t>
      </w:r>
      <w:hyperlink r:id="rId97">
        <w:r>
          <w:rPr>
            <w:rFonts w:ascii="Arial" w:cs="Arial" w:eastAsia="Arial" w:hAnsi="Arial"/>
            <w:sz w:val="18"/>
            <w:szCs w:val="18"/>
            <w:u w:val="single" w:color="auto"/>
            <w:color w:val="0000EE"/>
          </w:rPr>
          <w:t>reference thereto.</w:t>
        </w:r>
      </w:hyperlink>
    </w:p>
    <w:p>
      <w:pPr>
        <w:sectPr>
          <w:pgSz w:w="11900" w:h="16838" w:orient="portrait"/>
          <w:cols w:equalWidth="0" w:num="2">
            <w:col w:w="6200" w:space="220"/>
            <w:col w:w="4820"/>
          </w:cols>
          <w:pgMar w:left="320" w:top="125" w:right="339" w:bottom="393" w:gutter="0" w:footer="0" w:header="0"/>
          <w:type w:val="continuous"/>
        </w:sectPr>
      </w:pPr>
    </w:p>
    <w:bookmarkStart w:id="62" w:name="page63"/>
    <w:bookmarkEnd w:id="62"/>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08" w:lineRule="exact"/>
        <w:rPr>
          <w:sz w:val="20"/>
          <w:szCs w:val="20"/>
          <w:color w:val="auto"/>
        </w:rPr>
      </w:pPr>
    </w:p>
    <w:tbl>
      <w:tblPr>
        <w:tblLayout w:type="fixed"/>
        <w:tblInd w:w="240" w:type="dxa"/>
        <w:tblCellMar>
          <w:top w:w="0" w:type="dxa"/>
          <w:left w:w="0" w:type="dxa"/>
          <w:bottom w:w="0" w:type="dxa"/>
          <w:right w:w="0" w:type="dxa"/>
        </w:tblCellMar>
      </w:tblPr>
      <w:tr>
        <w:trPr>
          <w:trHeight w:val="207"/>
        </w:trPr>
        <w:tc>
          <w:tcPr>
            <w:tcW w:w="580" w:type="dxa"/>
            <w:vAlign w:val="bottom"/>
            <w:gridSpan w:val="4"/>
          </w:tcPr>
          <w:p>
            <w:pPr>
              <w:jc w:val="center"/>
              <w:spacing w:after="0"/>
              <w:rPr>
                <w:rFonts w:ascii="Arial" w:cs="Arial" w:eastAsia="Arial" w:hAnsi="Arial"/>
                <w:sz w:val="18"/>
                <w:szCs w:val="18"/>
                <w:color w:val="0000EE"/>
                <w:w w:val="90"/>
              </w:rPr>
            </w:pPr>
            <w:hyperlink r:id="rId99">
              <w:r>
                <w:rPr>
                  <w:rFonts w:ascii="Arial" w:cs="Arial" w:eastAsia="Arial" w:hAnsi="Arial"/>
                  <w:sz w:val="18"/>
                  <w:szCs w:val="18"/>
                  <w:color w:val="0000EE"/>
                  <w:w w:val="90"/>
                </w:rPr>
                <w:t>10.</w:t>
              </w:r>
              <w:r>
                <w:rPr>
                  <w:rFonts w:ascii="Arial" w:cs="Arial" w:eastAsia="Arial" w:hAnsi="Arial"/>
                  <w:sz w:val="18"/>
                  <w:szCs w:val="18"/>
                  <w:u w:val="single" w:color="auto"/>
                  <w:color w:val="0000EE"/>
                  <w:w w:val="90"/>
                </w:rPr>
                <w:t>16#</w:t>
              </w:r>
            </w:hyperlink>
          </w:p>
        </w:tc>
        <w:tc>
          <w:tcPr>
            <w:tcW w:w="560" w:type="dxa"/>
            <w:vAlign w:val="bottom"/>
          </w:tcPr>
          <w:p>
            <w:pPr>
              <w:spacing w:after="0"/>
              <w:rPr>
                <w:sz w:val="17"/>
                <w:szCs w:val="17"/>
                <w:color w:val="auto"/>
              </w:rPr>
            </w:pPr>
          </w:p>
        </w:tc>
        <w:tc>
          <w:tcPr>
            <w:tcW w:w="5040" w:type="dxa"/>
            <w:vAlign w:val="bottom"/>
            <w:gridSpan w:val="15"/>
          </w:tcPr>
          <w:p>
            <w:pPr>
              <w:spacing w:after="0"/>
              <w:rPr>
                <w:rFonts w:ascii="Arial" w:cs="Arial" w:eastAsia="Arial" w:hAnsi="Arial"/>
                <w:sz w:val="18"/>
                <w:szCs w:val="18"/>
                <w:color w:val="0000EE"/>
              </w:rPr>
            </w:pPr>
            <w:hyperlink r:id="rId99">
              <w:r>
                <w:rPr>
                  <w:rFonts w:ascii="Arial" w:cs="Arial" w:eastAsia="Arial" w:hAnsi="Arial"/>
                  <w:sz w:val="18"/>
                  <w:szCs w:val="18"/>
                  <w:color w:val="0000EE"/>
                </w:rPr>
                <w:t>Harvard Bioscience, Inc. 2021 Incentive Plan.</w:t>
              </w:r>
            </w:hyperlink>
          </w:p>
        </w:tc>
        <w:tc>
          <w:tcPr>
            <w:tcW w:w="4760" w:type="dxa"/>
            <w:vAlign w:val="bottom"/>
            <w:gridSpan w:val="6"/>
          </w:tcPr>
          <w:p>
            <w:pPr>
              <w:spacing w:after="0"/>
              <w:rPr>
                <w:rFonts w:ascii="Arial" w:cs="Arial" w:eastAsia="Arial" w:hAnsi="Arial"/>
                <w:sz w:val="18"/>
                <w:szCs w:val="18"/>
                <w:color w:val="0000EE"/>
                <w:w w:val="90"/>
              </w:rPr>
            </w:pPr>
            <w:hyperlink r:id="rId99">
              <w:r>
                <w:rPr>
                  <w:rFonts w:ascii="Arial" w:cs="Arial" w:eastAsia="Arial" w:hAnsi="Arial"/>
                  <w:sz w:val="18"/>
                  <w:szCs w:val="18"/>
                  <w:color w:val="0000EE"/>
                  <w:w w:val="90"/>
                </w:rPr>
                <w:t>Previously filed as an exhibit to the Company’s Current Report on</w:t>
              </w:r>
            </w:hyperlink>
          </w:p>
        </w:tc>
      </w:tr>
      <w:tr>
        <w:trPr>
          <w:trHeight w:val="196"/>
        </w:trPr>
        <w:tc>
          <w:tcPr>
            <w:tcW w:w="80" w:type="dxa"/>
            <w:vAlign w:val="bottom"/>
          </w:tcPr>
          <w:p>
            <w:pPr>
              <w:spacing w:after="0"/>
              <w:rPr>
                <w:sz w:val="17"/>
                <w:szCs w:val="17"/>
                <w:color w:val="auto"/>
              </w:rPr>
            </w:pPr>
          </w:p>
        </w:tc>
        <w:tc>
          <w:tcPr>
            <w:tcW w:w="100" w:type="dxa"/>
            <w:vAlign w:val="bottom"/>
            <w:tcBorders>
              <w:top w:val="single" w:sz="8" w:color="0000EE"/>
            </w:tcBorders>
          </w:tcPr>
          <w:p>
            <w:pPr>
              <w:spacing w:after="0"/>
              <w:rPr>
                <w:sz w:val="17"/>
                <w:szCs w:val="17"/>
                <w:color w:val="auto"/>
              </w:rPr>
            </w:pPr>
          </w:p>
        </w:tc>
        <w:tc>
          <w:tcPr>
            <w:tcW w:w="320" w:type="dxa"/>
            <w:vAlign w:val="bottom"/>
            <w:tcBorders>
              <w:top w:val="single" w:sz="8" w:color="0000EE"/>
            </w:tcBorders>
          </w:tcPr>
          <w:p>
            <w:pPr>
              <w:spacing w:after="0"/>
              <w:rPr>
                <w:sz w:val="17"/>
                <w:szCs w:val="17"/>
                <w:color w:val="auto"/>
              </w:rPr>
            </w:pPr>
          </w:p>
        </w:tc>
        <w:tc>
          <w:tcPr>
            <w:tcW w:w="80" w:type="dxa"/>
            <w:vAlign w:val="bottom"/>
            <w:tcBorders>
              <w:top w:val="single" w:sz="8" w:color="0000EE"/>
            </w:tcBorders>
          </w:tcPr>
          <w:p>
            <w:pPr>
              <w:spacing w:after="0"/>
              <w:rPr>
                <w:sz w:val="17"/>
                <w:szCs w:val="17"/>
                <w:color w:val="auto"/>
              </w:rPr>
            </w:pPr>
          </w:p>
        </w:tc>
        <w:tc>
          <w:tcPr>
            <w:tcW w:w="560" w:type="dxa"/>
            <w:vAlign w:val="bottom"/>
          </w:tcPr>
          <w:p>
            <w:pPr>
              <w:spacing w:after="0"/>
              <w:rPr>
                <w:sz w:val="17"/>
                <w:szCs w:val="17"/>
                <w:color w:val="auto"/>
              </w:rPr>
            </w:pPr>
          </w:p>
        </w:tc>
        <w:tc>
          <w:tcPr>
            <w:tcW w:w="360" w:type="dxa"/>
            <w:vAlign w:val="bottom"/>
            <w:tcBorders>
              <w:top w:val="single" w:sz="8" w:color="0000EE"/>
            </w:tcBorders>
          </w:tcPr>
          <w:p>
            <w:pPr>
              <w:spacing w:after="0"/>
              <w:rPr>
                <w:sz w:val="17"/>
                <w:szCs w:val="17"/>
                <w:color w:val="auto"/>
              </w:rPr>
            </w:pPr>
          </w:p>
        </w:tc>
        <w:tc>
          <w:tcPr>
            <w:tcW w:w="1760" w:type="dxa"/>
            <w:vAlign w:val="bottom"/>
            <w:tcBorders>
              <w:top w:val="single" w:sz="8" w:color="0000EE"/>
            </w:tcBorders>
          </w:tcPr>
          <w:p>
            <w:pPr>
              <w:spacing w:after="0"/>
              <w:rPr>
                <w:sz w:val="17"/>
                <w:szCs w:val="17"/>
                <w:color w:val="auto"/>
              </w:rPr>
            </w:pPr>
          </w:p>
        </w:tc>
        <w:tc>
          <w:tcPr>
            <w:tcW w:w="200" w:type="dxa"/>
            <w:vAlign w:val="bottom"/>
            <w:tcBorders>
              <w:top w:val="single" w:sz="8" w:color="0000EE"/>
            </w:tcBorders>
          </w:tcPr>
          <w:p>
            <w:pPr>
              <w:spacing w:after="0"/>
              <w:rPr>
                <w:sz w:val="17"/>
                <w:szCs w:val="17"/>
                <w:color w:val="auto"/>
              </w:rPr>
            </w:pPr>
          </w:p>
        </w:tc>
        <w:tc>
          <w:tcPr>
            <w:tcW w:w="980" w:type="dxa"/>
            <w:vAlign w:val="bottom"/>
            <w:tcBorders>
              <w:top w:val="single" w:sz="8" w:color="0000EE"/>
            </w:tcBorders>
          </w:tcPr>
          <w:p>
            <w:pPr>
              <w:spacing w:after="0"/>
              <w:rPr>
                <w:sz w:val="17"/>
                <w:szCs w:val="17"/>
                <w:color w:val="auto"/>
              </w:rPr>
            </w:pPr>
          </w:p>
        </w:tc>
        <w:tc>
          <w:tcPr>
            <w:tcW w:w="1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4460" w:type="dxa"/>
            <w:vAlign w:val="bottom"/>
            <w:tcBorders>
              <w:top w:val="single" w:sz="8" w:color="0000EE"/>
              <w:bottom w:val="single" w:sz="8" w:color="0000EE"/>
            </w:tcBorders>
            <w:gridSpan w:val="4"/>
          </w:tcPr>
          <w:p>
            <w:pPr>
              <w:spacing w:after="0" w:line="196" w:lineRule="exact"/>
              <w:rPr>
                <w:rFonts w:ascii="Arial" w:cs="Arial" w:eastAsia="Arial" w:hAnsi="Arial"/>
                <w:sz w:val="18"/>
                <w:szCs w:val="18"/>
                <w:color w:val="0000EE"/>
                <w:w w:val="91"/>
              </w:rPr>
            </w:pPr>
            <w:hyperlink r:id="rId99">
              <w:r>
                <w:rPr>
                  <w:rFonts w:ascii="Arial" w:cs="Arial" w:eastAsia="Arial" w:hAnsi="Arial"/>
                  <w:sz w:val="18"/>
                  <w:szCs w:val="18"/>
                  <w:color w:val="0000EE"/>
                  <w:w w:val="91"/>
                </w:rPr>
                <w:t>Form 8-K (filed May 19, 2021) and incorporated by reference</w:t>
              </w:r>
            </w:hyperlink>
          </w:p>
        </w:tc>
        <w:tc>
          <w:tcPr>
            <w:tcW w:w="300" w:type="dxa"/>
            <w:vAlign w:val="bottom"/>
            <w:tcBorders>
              <w:top w:val="single" w:sz="8" w:color="0000EE"/>
            </w:tcBorders>
            <w:gridSpan w:val="2"/>
          </w:tcPr>
          <w:p>
            <w:pPr>
              <w:spacing w:after="0"/>
              <w:rPr>
                <w:sz w:val="17"/>
                <w:szCs w:val="17"/>
                <w:color w:val="auto"/>
              </w:rPr>
            </w:pPr>
          </w:p>
        </w:tc>
      </w:tr>
      <w:tr>
        <w:trPr>
          <w:trHeight w:val="196"/>
        </w:trPr>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7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4760" w:type="dxa"/>
            <w:vAlign w:val="bottom"/>
            <w:gridSpan w:val="6"/>
          </w:tcPr>
          <w:p>
            <w:pPr>
              <w:spacing w:after="0" w:line="196" w:lineRule="exact"/>
              <w:rPr>
                <w:rFonts w:ascii="Arial" w:cs="Arial" w:eastAsia="Arial" w:hAnsi="Arial"/>
                <w:sz w:val="18"/>
                <w:szCs w:val="18"/>
                <w:color w:val="0000EE"/>
              </w:rPr>
            </w:pPr>
            <w:hyperlink r:id="rId99">
              <w:r>
                <w:rPr>
                  <w:rFonts w:ascii="Arial" w:cs="Arial" w:eastAsia="Arial" w:hAnsi="Arial"/>
                  <w:sz w:val="18"/>
                  <w:szCs w:val="18"/>
                  <w:color w:val="0000EE"/>
                </w:rPr>
                <w:t>thereto.</w:t>
              </w:r>
            </w:hyperlink>
          </w:p>
        </w:tc>
      </w:tr>
      <w:tr>
        <w:trPr>
          <w:trHeight w:val="20"/>
        </w:trPr>
        <w:tc>
          <w:tcPr>
            <w:tcW w:w="180" w:type="dxa"/>
            <w:vAlign w:val="bottom"/>
            <w:gridSpan w:val="2"/>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7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8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440" w:type="dxa"/>
            <w:vAlign w:val="bottom"/>
            <w:shd w:val="clear" w:color="auto" w:fill="0000EE"/>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3160" w:type="dxa"/>
            <w:vAlign w:val="bottom"/>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r>
        <w:trPr>
          <w:trHeight w:val="196"/>
        </w:trPr>
        <w:tc>
          <w:tcPr>
            <w:tcW w:w="80" w:type="dxa"/>
            <w:vAlign w:val="bottom"/>
          </w:tcPr>
          <w:p>
            <w:pPr>
              <w:spacing w:after="0"/>
              <w:rPr>
                <w:sz w:val="17"/>
                <w:szCs w:val="17"/>
                <w:color w:val="auto"/>
              </w:rPr>
            </w:pPr>
          </w:p>
        </w:tc>
        <w:tc>
          <w:tcPr>
            <w:tcW w:w="500" w:type="dxa"/>
            <w:vAlign w:val="bottom"/>
            <w:gridSpan w:val="3"/>
          </w:tcPr>
          <w:p>
            <w:pPr>
              <w:jc w:val="center"/>
              <w:spacing w:after="0" w:line="196" w:lineRule="exact"/>
              <w:rPr>
                <w:rFonts w:ascii="Arial" w:cs="Arial" w:eastAsia="Arial" w:hAnsi="Arial"/>
                <w:sz w:val="18"/>
                <w:szCs w:val="18"/>
                <w:color w:val="0000EE"/>
                <w:w w:val="90"/>
              </w:rPr>
            </w:pPr>
            <w:hyperlink w:anchor="page64">
              <w:r>
                <w:rPr>
                  <w:rFonts w:ascii="Arial" w:cs="Arial" w:eastAsia="Arial" w:hAnsi="Arial"/>
                  <w:sz w:val="18"/>
                  <w:szCs w:val="18"/>
                  <w:color w:val="0000EE"/>
                  <w:w w:val="90"/>
                </w:rPr>
                <w:t>10.</w:t>
              </w:r>
              <w:r>
                <w:rPr>
                  <w:rFonts w:ascii="Arial" w:cs="Arial" w:eastAsia="Arial" w:hAnsi="Arial"/>
                  <w:sz w:val="18"/>
                  <w:szCs w:val="18"/>
                  <w:u w:val="single" w:color="auto"/>
                  <w:color w:val="0000EE"/>
                  <w:w w:val="90"/>
                </w:rPr>
                <w:t>17#</w:t>
              </w:r>
            </w:hyperlink>
          </w:p>
        </w:tc>
        <w:tc>
          <w:tcPr>
            <w:tcW w:w="560" w:type="dxa"/>
            <w:vAlign w:val="bottom"/>
          </w:tcPr>
          <w:p>
            <w:pPr>
              <w:spacing w:after="0"/>
              <w:rPr>
                <w:sz w:val="17"/>
                <w:szCs w:val="17"/>
                <w:color w:val="auto"/>
              </w:rPr>
            </w:pPr>
          </w:p>
        </w:tc>
        <w:tc>
          <w:tcPr>
            <w:tcW w:w="5040" w:type="dxa"/>
            <w:vAlign w:val="bottom"/>
            <w:gridSpan w:val="15"/>
          </w:tcPr>
          <w:p>
            <w:pPr>
              <w:spacing w:after="0" w:line="196" w:lineRule="exact"/>
              <w:rPr>
                <w:rFonts w:ascii="Arial" w:cs="Arial" w:eastAsia="Arial" w:hAnsi="Arial"/>
                <w:sz w:val="18"/>
                <w:szCs w:val="18"/>
                <w:color w:val="0000EE"/>
              </w:rPr>
            </w:pPr>
            <w:hyperlink w:anchor="page64">
              <w:r>
                <w:rPr>
                  <w:rFonts w:ascii="Arial" w:cs="Arial" w:eastAsia="Arial" w:hAnsi="Arial"/>
                  <w:sz w:val="18"/>
                  <w:szCs w:val="18"/>
                  <w:color w:val="0000EE"/>
                </w:rPr>
                <w:t>Form of Performance RSU Award Agreement - 2021 Incentive</w:t>
              </w:r>
            </w:hyperlink>
          </w:p>
        </w:tc>
        <w:tc>
          <w:tcPr>
            <w:tcW w:w="4760" w:type="dxa"/>
            <w:vAlign w:val="bottom"/>
            <w:gridSpan w:val="6"/>
          </w:tcPr>
          <w:p>
            <w:pPr>
              <w:spacing w:after="0" w:line="196" w:lineRule="exact"/>
              <w:rPr>
                <w:rFonts w:ascii="Arial" w:cs="Arial" w:eastAsia="Arial" w:hAnsi="Arial"/>
                <w:sz w:val="18"/>
                <w:szCs w:val="18"/>
                <w:color w:val="0000EE"/>
              </w:rPr>
            </w:pPr>
            <w:hyperlink w:anchor="page64">
              <w:r>
                <w:rPr>
                  <w:rFonts w:ascii="Arial" w:cs="Arial" w:eastAsia="Arial" w:hAnsi="Arial"/>
                  <w:sz w:val="18"/>
                  <w:szCs w:val="18"/>
                  <w:color w:val="0000EE"/>
                </w:rPr>
                <w:t>Filed with this report</w:t>
              </w:r>
            </w:hyperlink>
          </w:p>
        </w:tc>
      </w:tr>
      <w:tr>
        <w:trPr>
          <w:trHeight w:val="196"/>
        </w:trPr>
        <w:tc>
          <w:tcPr>
            <w:tcW w:w="80" w:type="dxa"/>
            <w:vAlign w:val="bottom"/>
          </w:tcPr>
          <w:p>
            <w:pPr>
              <w:spacing w:after="0"/>
              <w:rPr>
                <w:sz w:val="17"/>
                <w:szCs w:val="17"/>
                <w:color w:val="auto"/>
              </w:rPr>
            </w:pPr>
          </w:p>
        </w:tc>
        <w:tc>
          <w:tcPr>
            <w:tcW w:w="100" w:type="dxa"/>
            <w:vAlign w:val="bottom"/>
            <w:tcBorders>
              <w:top w:val="single" w:sz="8" w:color="0000EE"/>
            </w:tcBorders>
          </w:tcPr>
          <w:p>
            <w:pPr>
              <w:spacing w:after="0"/>
              <w:rPr>
                <w:sz w:val="17"/>
                <w:szCs w:val="17"/>
                <w:color w:val="auto"/>
              </w:rPr>
            </w:pPr>
          </w:p>
        </w:tc>
        <w:tc>
          <w:tcPr>
            <w:tcW w:w="320" w:type="dxa"/>
            <w:vAlign w:val="bottom"/>
            <w:tcBorders>
              <w:top w:val="single" w:sz="8" w:color="0000EE"/>
            </w:tcBorders>
          </w:tcPr>
          <w:p>
            <w:pPr>
              <w:spacing w:after="0"/>
              <w:rPr>
                <w:sz w:val="17"/>
                <w:szCs w:val="17"/>
                <w:color w:val="auto"/>
              </w:rPr>
            </w:pPr>
          </w:p>
        </w:tc>
        <w:tc>
          <w:tcPr>
            <w:tcW w:w="80" w:type="dxa"/>
            <w:vAlign w:val="bottom"/>
            <w:tcBorders>
              <w:top w:val="single" w:sz="8" w:color="0000EE"/>
            </w:tcBorders>
          </w:tcPr>
          <w:p>
            <w:pPr>
              <w:spacing w:after="0"/>
              <w:rPr>
                <w:sz w:val="17"/>
                <w:szCs w:val="17"/>
                <w:color w:val="auto"/>
              </w:rPr>
            </w:pPr>
          </w:p>
        </w:tc>
        <w:tc>
          <w:tcPr>
            <w:tcW w:w="560" w:type="dxa"/>
            <w:vAlign w:val="bottom"/>
          </w:tcPr>
          <w:p>
            <w:pPr>
              <w:spacing w:after="0"/>
              <w:rPr>
                <w:sz w:val="17"/>
                <w:szCs w:val="17"/>
                <w:color w:val="auto"/>
              </w:rPr>
            </w:pPr>
          </w:p>
        </w:tc>
        <w:tc>
          <w:tcPr>
            <w:tcW w:w="360" w:type="dxa"/>
            <w:vAlign w:val="bottom"/>
            <w:tcBorders>
              <w:top w:val="single" w:sz="8" w:color="0000EE"/>
              <w:bottom w:val="single" w:sz="8" w:color="0000EE"/>
            </w:tcBorders>
          </w:tcPr>
          <w:p>
            <w:pPr>
              <w:spacing w:after="0" w:line="196" w:lineRule="exact"/>
              <w:rPr>
                <w:rFonts w:ascii="Arial" w:cs="Arial" w:eastAsia="Arial" w:hAnsi="Arial"/>
                <w:sz w:val="18"/>
                <w:szCs w:val="18"/>
                <w:color w:val="0000EE"/>
                <w:w w:val="82"/>
              </w:rPr>
            </w:pPr>
            <w:hyperlink w:anchor="page64">
              <w:r>
                <w:rPr>
                  <w:rFonts w:ascii="Arial" w:cs="Arial" w:eastAsia="Arial" w:hAnsi="Arial"/>
                  <w:sz w:val="18"/>
                  <w:szCs w:val="18"/>
                  <w:color w:val="0000EE"/>
                  <w:w w:val="82"/>
                </w:rPr>
                <w:t>Plan.</w:t>
              </w:r>
            </w:hyperlink>
          </w:p>
        </w:tc>
        <w:tc>
          <w:tcPr>
            <w:tcW w:w="4160" w:type="dxa"/>
            <w:vAlign w:val="bottom"/>
            <w:tcBorders>
              <w:top w:val="single" w:sz="8" w:color="0000EE"/>
            </w:tcBorders>
            <w:gridSpan w:val="10"/>
          </w:tcPr>
          <w:p>
            <w:pPr>
              <w:spacing w:after="0"/>
              <w:rPr>
                <w:sz w:val="17"/>
                <w:szCs w:val="17"/>
                <w:color w:val="auto"/>
              </w:rPr>
            </w:pPr>
          </w:p>
        </w:tc>
        <w:tc>
          <w:tcPr>
            <w:tcW w:w="520" w:type="dxa"/>
            <w:vAlign w:val="bottom"/>
            <w:gridSpan w:val="4"/>
          </w:tcPr>
          <w:p>
            <w:pPr>
              <w:spacing w:after="0"/>
              <w:rPr>
                <w:sz w:val="17"/>
                <w:szCs w:val="17"/>
                <w:color w:val="auto"/>
              </w:rPr>
            </w:pPr>
          </w:p>
        </w:tc>
        <w:tc>
          <w:tcPr>
            <w:tcW w:w="100" w:type="dxa"/>
            <w:vAlign w:val="bottom"/>
            <w:tcBorders>
              <w:top w:val="single" w:sz="8" w:color="0000EE"/>
            </w:tcBorders>
          </w:tcPr>
          <w:p>
            <w:pPr>
              <w:spacing w:after="0"/>
              <w:rPr>
                <w:sz w:val="17"/>
                <w:szCs w:val="17"/>
                <w:color w:val="auto"/>
              </w:rPr>
            </w:pPr>
          </w:p>
        </w:tc>
        <w:tc>
          <w:tcPr>
            <w:tcW w:w="440" w:type="dxa"/>
            <w:vAlign w:val="bottom"/>
            <w:tcBorders>
              <w:top w:val="single" w:sz="8" w:color="0000EE"/>
            </w:tcBorders>
          </w:tcPr>
          <w:p>
            <w:pPr>
              <w:spacing w:after="0"/>
              <w:rPr>
                <w:sz w:val="17"/>
                <w:szCs w:val="17"/>
                <w:color w:val="auto"/>
              </w:rPr>
            </w:pPr>
          </w:p>
        </w:tc>
        <w:tc>
          <w:tcPr>
            <w:tcW w:w="980" w:type="dxa"/>
            <w:vAlign w:val="bottom"/>
            <w:tcBorders>
              <w:top w:val="single" w:sz="8" w:color="0000EE"/>
            </w:tcBorders>
          </w:tcPr>
          <w:p>
            <w:pPr>
              <w:spacing w:after="0"/>
              <w:rPr>
                <w:sz w:val="17"/>
                <w:szCs w:val="17"/>
                <w:color w:val="auto"/>
              </w:rPr>
            </w:pPr>
          </w:p>
        </w:tc>
        <w:tc>
          <w:tcPr>
            <w:tcW w:w="29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80" w:type="dxa"/>
            <w:vAlign w:val="bottom"/>
          </w:tcPr>
          <w:p>
            <w:pPr>
              <w:spacing w:after="0"/>
              <w:rPr>
                <w:sz w:val="17"/>
                <w:szCs w:val="17"/>
                <w:color w:val="auto"/>
              </w:rPr>
            </w:pPr>
          </w:p>
        </w:tc>
      </w:tr>
      <w:tr>
        <w:trPr>
          <w:trHeight w:val="196"/>
        </w:trPr>
        <w:tc>
          <w:tcPr>
            <w:tcW w:w="80" w:type="dxa"/>
            <w:vAlign w:val="bottom"/>
          </w:tcPr>
          <w:p>
            <w:pPr>
              <w:spacing w:after="0"/>
              <w:rPr>
                <w:sz w:val="17"/>
                <w:szCs w:val="17"/>
                <w:color w:val="auto"/>
              </w:rPr>
            </w:pPr>
          </w:p>
        </w:tc>
        <w:tc>
          <w:tcPr>
            <w:tcW w:w="500" w:type="dxa"/>
            <w:vAlign w:val="bottom"/>
            <w:tcBorders>
              <w:bottom w:val="single" w:sz="8" w:color="0000EE"/>
            </w:tcBorders>
            <w:gridSpan w:val="3"/>
          </w:tcPr>
          <w:p>
            <w:pPr>
              <w:jc w:val="center"/>
              <w:spacing w:after="0" w:line="196" w:lineRule="exact"/>
              <w:rPr>
                <w:rFonts w:ascii="Arial" w:cs="Arial" w:eastAsia="Arial" w:hAnsi="Arial"/>
                <w:sz w:val="18"/>
                <w:szCs w:val="18"/>
                <w:color w:val="0000EE"/>
                <w:w w:val="90"/>
              </w:rPr>
            </w:pPr>
            <w:hyperlink w:anchor="page71">
              <w:r>
                <w:rPr>
                  <w:rFonts w:ascii="Arial" w:cs="Arial" w:eastAsia="Arial" w:hAnsi="Arial"/>
                  <w:sz w:val="18"/>
                  <w:szCs w:val="18"/>
                  <w:color w:val="0000EE"/>
                  <w:w w:val="90"/>
                </w:rPr>
                <w:t>10.</w:t>
              </w:r>
              <w:r>
                <w:rPr>
                  <w:rFonts w:ascii="Arial" w:cs="Arial" w:eastAsia="Arial" w:hAnsi="Arial"/>
                  <w:sz w:val="18"/>
                  <w:szCs w:val="18"/>
                  <w:u w:val="single" w:color="auto"/>
                  <w:color w:val="0000EE"/>
                  <w:w w:val="90"/>
                </w:rPr>
                <w:t>18#</w:t>
              </w:r>
            </w:hyperlink>
          </w:p>
        </w:tc>
        <w:tc>
          <w:tcPr>
            <w:tcW w:w="560" w:type="dxa"/>
            <w:vAlign w:val="bottom"/>
          </w:tcPr>
          <w:p>
            <w:pPr>
              <w:spacing w:after="0"/>
              <w:rPr>
                <w:sz w:val="17"/>
                <w:szCs w:val="17"/>
                <w:color w:val="auto"/>
              </w:rPr>
            </w:pPr>
          </w:p>
        </w:tc>
        <w:tc>
          <w:tcPr>
            <w:tcW w:w="4600" w:type="dxa"/>
            <w:vAlign w:val="bottom"/>
            <w:tcBorders>
              <w:bottom w:val="single" w:sz="8" w:color="0000EE"/>
            </w:tcBorders>
            <w:gridSpan w:val="13"/>
          </w:tcPr>
          <w:p>
            <w:pPr>
              <w:spacing w:after="0" w:line="196" w:lineRule="exact"/>
              <w:rPr>
                <w:rFonts w:ascii="Arial" w:cs="Arial" w:eastAsia="Arial" w:hAnsi="Arial"/>
                <w:sz w:val="18"/>
                <w:szCs w:val="18"/>
                <w:color w:val="0000EE"/>
                <w:w w:val="91"/>
              </w:rPr>
            </w:pPr>
            <w:hyperlink w:anchor="page71">
              <w:r>
                <w:rPr>
                  <w:rFonts w:ascii="Arial" w:cs="Arial" w:eastAsia="Arial" w:hAnsi="Arial"/>
                  <w:sz w:val="18"/>
                  <w:szCs w:val="18"/>
                  <w:color w:val="0000EE"/>
                  <w:w w:val="91"/>
                </w:rPr>
                <w:t>Form of Time-Based RSU Awards Agreement – 2021 Incentive</w:t>
              </w:r>
            </w:hyperlink>
          </w:p>
        </w:tc>
        <w:tc>
          <w:tcPr>
            <w:tcW w:w="440" w:type="dxa"/>
            <w:vAlign w:val="bottom"/>
            <w:gridSpan w:val="2"/>
          </w:tcPr>
          <w:p>
            <w:pPr>
              <w:spacing w:after="0"/>
              <w:rPr>
                <w:sz w:val="17"/>
                <w:szCs w:val="17"/>
                <w:color w:val="auto"/>
              </w:rPr>
            </w:pPr>
          </w:p>
        </w:tc>
        <w:tc>
          <w:tcPr>
            <w:tcW w:w="1520" w:type="dxa"/>
            <w:vAlign w:val="bottom"/>
            <w:tcBorders>
              <w:bottom w:val="single" w:sz="8" w:color="0000EE"/>
            </w:tcBorders>
            <w:gridSpan w:val="3"/>
          </w:tcPr>
          <w:p>
            <w:pPr>
              <w:spacing w:after="0" w:line="196" w:lineRule="exact"/>
              <w:rPr>
                <w:rFonts w:ascii="Arial" w:cs="Arial" w:eastAsia="Arial" w:hAnsi="Arial"/>
                <w:sz w:val="18"/>
                <w:szCs w:val="18"/>
                <w:color w:val="0000EE"/>
                <w:w w:val="93"/>
              </w:rPr>
            </w:pPr>
            <w:hyperlink w:anchor="page71">
              <w:r>
                <w:rPr>
                  <w:rFonts w:ascii="Arial" w:cs="Arial" w:eastAsia="Arial" w:hAnsi="Arial"/>
                  <w:sz w:val="18"/>
                  <w:szCs w:val="18"/>
                  <w:color w:val="0000EE"/>
                  <w:w w:val="93"/>
                </w:rPr>
                <w:t>Filed with this report</w:t>
              </w:r>
            </w:hyperlink>
          </w:p>
        </w:tc>
        <w:tc>
          <w:tcPr>
            <w:tcW w:w="3240" w:type="dxa"/>
            <w:vAlign w:val="bottom"/>
            <w:gridSpan w:val="3"/>
          </w:tcPr>
          <w:p>
            <w:pPr>
              <w:spacing w:after="0"/>
              <w:rPr>
                <w:sz w:val="17"/>
                <w:szCs w:val="17"/>
                <w:color w:val="auto"/>
              </w:rPr>
            </w:pPr>
          </w:p>
        </w:tc>
      </w:tr>
      <w:tr>
        <w:trPr>
          <w:trHeight w:val="196"/>
        </w:trPr>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360" w:type="dxa"/>
            <w:vAlign w:val="bottom"/>
            <w:tcBorders>
              <w:bottom w:val="single" w:sz="8" w:color="0000EE"/>
            </w:tcBorders>
          </w:tcPr>
          <w:p>
            <w:pPr>
              <w:spacing w:after="0" w:line="196" w:lineRule="exact"/>
              <w:rPr>
                <w:rFonts w:ascii="Arial" w:cs="Arial" w:eastAsia="Arial" w:hAnsi="Arial"/>
                <w:sz w:val="18"/>
                <w:szCs w:val="18"/>
                <w:color w:val="0000EE"/>
                <w:w w:val="82"/>
              </w:rPr>
            </w:pPr>
            <w:hyperlink w:anchor="page71">
              <w:r>
                <w:rPr>
                  <w:rFonts w:ascii="Arial" w:cs="Arial" w:eastAsia="Arial" w:hAnsi="Arial"/>
                  <w:sz w:val="18"/>
                  <w:szCs w:val="18"/>
                  <w:color w:val="0000EE"/>
                  <w:w w:val="82"/>
                </w:rPr>
                <w:t>Plan.</w:t>
              </w:r>
            </w:hyperlink>
          </w:p>
        </w:tc>
        <w:tc>
          <w:tcPr>
            <w:tcW w:w="4680" w:type="dxa"/>
            <w:vAlign w:val="bottom"/>
            <w:gridSpan w:val="14"/>
          </w:tcPr>
          <w:p>
            <w:pPr>
              <w:spacing w:after="0"/>
              <w:rPr>
                <w:sz w:val="17"/>
                <w:szCs w:val="17"/>
                <w:color w:val="auto"/>
              </w:rPr>
            </w:pPr>
          </w:p>
        </w:tc>
        <w:tc>
          <w:tcPr>
            <w:tcW w:w="10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29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80" w:type="dxa"/>
            <w:vAlign w:val="bottom"/>
          </w:tcPr>
          <w:p>
            <w:pPr>
              <w:spacing w:after="0"/>
              <w:rPr>
                <w:sz w:val="17"/>
                <w:szCs w:val="17"/>
                <w:color w:val="auto"/>
              </w:rPr>
            </w:pPr>
          </w:p>
        </w:tc>
      </w:tr>
      <w:tr>
        <w:trPr>
          <w:trHeight w:val="196"/>
        </w:trPr>
        <w:tc>
          <w:tcPr>
            <w:tcW w:w="80" w:type="dxa"/>
            <w:vAlign w:val="bottom"/>
          </w:tcPr>
          <w:p>
            <w:pPr>
              <w:spacing w:after="0"/>
              <w:rPr>
                <w:sz w:val="17"/>
                <w:szCs w:val="17"/>
                <w:color w:val="auto"/>
              </w:rPr>
            </w:pPr>
          </w:p>
        </w:tc>
        <w:tc>
          <w:tcPr>
            <w:tcW w:w="500" w:type="dxa"/>
            <w:vAlign w:val="bottom"/>
            <w:gridSpan w:val="3"/>
          </w:tcPr>
          <w:p>
            <w:pPr>
              <w:jc w:val="center"/>
              <w:spacing w:after="0" w:line="196" w:lineRule="exact"/>
              <w:rPr>
                <w:rFonts w:ascii="Arial" w:cs="Arial" w:eastAsia="Arial" w:hAnsi="Arial"/>
                <w:sz w:val="18"/>
                <w:szCs w:val="18"/>
                <w:color w:val="0000EE"/>
                <w:w w:val="90"/>
              </w:rPr>
            </w:pPr>
            <w:hyperlink w:anchor="page75">
              <w:r>
                <w:rPr>
                  <w:rFonts w:ascii="Arial" w:cs="Arial" w:eastAsia="Arial" w:hAnsi="Arial"/>
                  <w:sz w:val="18"/>
                  <w:szCs w:val="18"/>
                  <w:color w:val="0000EE"/>
                  <w:w w:val="90"/>
                </w:rPr>
                <w:t>10.</w:t>
              </w:r>
              <w:r>
                <w:rPr>
                  <w:rFonts w:ascii="Arial" w:cs="Arial" w:eastAsia="Arial" w:hAnsi="Arial"/>
                  <w:sz w:val="18"/>
                  <w:szCs w:val="18"/>
                  <w:u w:val="single" w:color="auto"/>
                  <w:color w:val="0000EE"/>
                  <w:w w:val="90"/>
                </w:rPr>
                <w:t>19#</w:t>
              </w:r>
            </w:hyperlink>
          </w:p>
        </w:tc>
        <w:tc>
          <w:tcPr>
            <w:tcW w:w="560" w:type="dxa"/>
            <w:vAlign w:val="bottom"/>
          </w:tcPr>
          <w:p>
            <w:pPr>
              <w:spacing w:after="0"/>
              <w:rPr>
                <w:sz w:val="17"/>
                <w:szCs w:val="17"/>
                <w:color w:val="auto"/>
              </w:rPr>
            </w:pPr>
          </w:p>
        </w:tc>
        <w:tc>
          <w:tcPr>
            <w:tcW w:w="5040" w:type="dxa"/>
            <w:vAlign w:val="bottom"/>
            <w:gridSpan w:val="15"/>
          </w:tcPr>
          <w:p>
            <w:pPr>
              <w:spacing w:after="0" w:line="196" w:lineRule="exact"/>
              <w:rPr>
                <w:rFonts w:ascii="Arial" w:cs="Arial" w:eastAsia="Arial" w:hAnsi="Arial"/>
                <w:sz w:val="18"/>
                <w:szCs w:val="18"/>
                <w:color w:val="0000EE"/>
              </w:rPr>
            </w:pPr>
            <w:hyperlink w:anchor="page75">
              <w:r>
                <w:rPr>
                  <w:rFonts w:ascii="Arial" w:cs="Arial" w:eastAsia="Arial" w:hAnsi="Arial"/>
                  <w:sz w:val="18"/>
                  <w:szCs w:val="18"/>
                  <w:color w:val="0000EE"/>
                </w:rPr>
                <w:t>Form of RSU Award for Directors – 2021 Incentive Plan.</w:t>
              </w:r>
            </w:hyperlink>
          </w:p>
        </w:tc>
        <w:tc>
          <w:tcPr>
            <w:tcW w:w="4760" w:type="dxa"/>
            <w:vAlign w:val="bottom"/>
            <w:gridSpan w:val="6"/>
          </w:tcPr>
          <w:p>
            <w:pPr>
              <w:spacing w:after="0" w:line="196" w:lineRule="exact"/>
              <w:rPr>
                <w:rFonts w:ascii="Arial" w:cs="Arial" w:eastAsia="Arial" w:hAnsi="Arial"/>
                <w:sz w:val="18"/>
                <w:szCs w:val="18"/>
                <w:color w:val="0000EE"/>
              </w:rPr>
            </w:pPr>
            <w:hyperlink w:anchor="page75">
              <w:r>
                <w:rPr>
                  <w:rFonts w:ascii="Arial" w:cs="Arial" w:eastAsia="Arial" w:hAnsi="Arial"/>
                  <w:sz w:val="18"/>
                  <w:szCs w:val="18"/>
                  <w:color w:val="0000EE"/>
                </w:rPr>
                <w:t>Filed with this report</w:t>
              </w:r>
            </w:hyperlink>
          </w:p>
        </w:tc>
      </w:tr>
      <w:tr>
        <w:trPr>
          <w:trHeight w:val="20"/>
        </w:trPr>
        <w:tc>
          <w:tcPr>
            <w:tcW w:w="80" w:type="dxa"/>
            <w:vAlign w:val="bottom"/>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32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2120" w:type="dxa"/>
            <w:vAlign w:val="bottom"/>
            <w:gridSpan w:val="2"/>
            <w:shd w:val="clear" w:color="auto" w:fill="0000EE"/>
          </w:tcPr>
          <w:p>
            <w:pPr>
              <w:spacing w:after="0" w:line="20" w:lineRule="exact"/>
              <w:rPr>
                <w:sz w:val="1"/>
                <w:szCs w:val="1"/>
                <w:color w:val="auto"/>
              </w:rPr>
            </w:pPr>
          </w:p>
        </w:tc>
        <w:tc>
          <w:tcPr>
            <w:tcW w:w="200" w:type="dxa"/>
            <w:vAlign w:val="bottom"/>
            <w:shd w:val="clear" w:color="auto" w:fill="0000EE"/>
          </w:tcPr>
          <w:p>
            <w:pPr>
              <w:spacing w:after="0" w:line="20" w:lineRule="exact"/>
              <w:rPr>
                <w:sz w:val="1"/>
                <w:szCs w:val="1"/>
                <w:color w:val="auto"/>
              </w:rPr>
            </w:pPr>
          </w:p>
        </w:tc>
        <w:tc>
          <w:tcPr>
            <w:tcW w:w="1080" w:type="dxa"/>
            <w:vAlign w:val="bottom"/>
            <w:gridSpan w:val="2"/>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540" w:type="dxa"/>
            <w:vAlign w:val="bottom"/>
            <w:shd w:val="clear" w:color="auto" w:fill="0000EE"/>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1420" w:type="dxa"/>
            <w:vAlign w:val="bottom"/>
            <w:gridSpan w:val="2"/>
            <w:shd w:val="clear" w:color="auto" w:fill="0000EE"/>
          </w:tcPr>
          <w:p>
            <w:pPr>
              <w:spacing w:after="0" w:line="20" w:lineRule="exact"/>
              <w:rPr>
                <w:sz w:val="1"/>
                <w:szCs w:val="1"/>
                <w:color w:val="auto"/>
              </w:rPr>
            </w:pPr>
          </w:p>
        </w:tc>
        <w:tc>
          <w:tcPr>
            <w:tcW w:w="3160" w:type="dxa"/>
            <w:vAlign w:val="bottom"/>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r>
        <w:trPr>
          <w:trHeight w:val="196"/>
        </w:trPr>
        <w:tc>
          <w:tcPr>
            <w:tcW w:w="80" w:type="dxa"/>
            <w:vAlign w:val="bottom"/>
          </w:tcPr>
          <w:p>
            <w:pPr>
              <w:spacing w:after="0"/>
              <w:rPr>
                <w:sz w:val="17"/>
                <w:szCs w:val="17"/>
                <w:color w:val="auto"/>
              </w:rPr>
            </w:pPr>
          </w:p>
        </w:tc>
        <w:tc>
          <w:tcPr>
            <w:tcW w:w="500" w:type="dxa"/>
            <w:vAlign w:val="bottom"/>
            <w:tcBorders>
              <w:bottom w:val="single" w:sz="8" w:color="0000EE"/>
            </w:tcBorders>
            <w:gridSpan w:val="3"/>
          </w:tcPr>
          <w:p>
            <w:pPr>
              <w:jc w:val="center"/>
              <w:spacing w:after="0" w:line="196" w:lineRule="exact"/>
              <w:rPr>
                <w:rFonts w:ascii="Arial" w:cs="Arial" w:eastAsia="Arial" w:hAnsi="Arial"/>
                <w:sz w:val="18"/>
                <w:szCs w:val="18"/>
                <w:color w:val="0000EE"/>
                <w:w w:val="90"/>
              </w:rPr>
            </w:pPr>
            <w:hyperlink r:id="rId100">
              <w:r>
                <w:rPr>
                  <w:rFonts w:ascii="Arial" w:cs="Arial" w:eastAsia="Arial" w:hAnsi="Arial"/>
                  <w:sz w:val="18"/>
                  <w:szCs w:val="18"/>
                  <w:color w:val="0000EE"/>
                  <w:w w:val="90"/>
                </w:rPr>
                <w:t>10.</w:t>
              </w:r>
              <w:r>
                <w:rPr>
                  <w:rFonts w:ascii="Arial" w:cs="Arial" w:eastAsia="Arial" w:hAnsi="Arial"/>
                  <w:sz w:val="18"/>
                  <w:szCs w:val="18"/>
                  <w:u w:val="single" w:color="auto"/>
                  <w:color w:val="0000EE"/>
                  <w:w w:val="90"/>
                </w:rPr>
                <w:t>20#</w:t>
              </w:r>
            </w:hyperlink>
          </w:p>
        </w:tc>
        <w:tc>
          <w:tcPr>
            <w:tcW w:w="560" w:type="dxa"/>
            <w:vAlign w:val="bottom"/>
          </w:tcPr>
          <w:p>
            <w:pPr>
              <w:spacing w:after="0"/>
              <w:rPr>
                <w:sz w:val="17"/>
                <w:szCs w:val="17"/>
                <w:color w:val="auto"/>
              </w:rPr>
            </w:pPr>
          </w:p>
        </w:tc>
        <w:tc>
          <w:tcPr>
            <w:tcW w:w="4680" w:type="dxa"/>
            <w:vAlign w:val="bottom"/>
            <w:tcBorders>
              <w:bottom w:val="single" w:sz="8" w:color="0000EE"/>
            </w:tcBorders>
            <w:gridSpan w:val="14"/>
          </w:tcPr>
          <w:p>
            <w:pPr>
              <w:spacing w:after="0" w:line="196" w:lineRule="exact"/>
              <w:rPr>
                <w:rFonts w:ascii="Arial" w:cs="Arial" w:eastAsia="Arial" w:hAnsi="Arial"/>
                <w:sz w:val="18"/>
                <w:szCs w:val="18"/>
                <w:color w:val="0000EE"/>
                <w:w w:val="88"/>
              </w:rPr>
            </w:pPr>
            <w:hyperlink r:id="rId100">
              <w:r>
                <w:rPr>
                  <w:rFonts w:ascii="Arial" w:cs="Arial" w:eastAsia="Arial" w:hAnsi="Arial"/>
                  <w:sz w:val="18"/>
                  <w:szCs w:val="18"/>
                  <w:color w:val="0000EE"/>
                  <w:w w:val="88"/>
                </w:rPr>
                <w:t>Separation Agreement and Release between Harvard Bioscience,</w:t>
              </w:r>
            </w:hyperlink>
          </w:p>
        </w:tc>
        <w:tc>
          <w:tcPr>
            <w:tcW w:w="360" w:type="dxa"/>
            <w:vAlign w:val="bottom"/>
          </w:tcPr>
          <w:p>
            <w:pPr>
              <w:spacing w:after="0"/>
              <w:rPr>
                <w:sz w:val="17"/>
                <w:szCs w:val="17"/>
                <w:color w:val="auto"/>
              </w:rPr>
            </w:pPr>
          </w:p>
        </w:tc>
        <w:tc>
          <w:tcPr>
            <w:tcW w:w="4760" w:type="dxa"/>
            <w:vAlign w:val="bottom"/>
            <w:tcBorders>
              <w:bottom w:val="single" w:sz="8" w:color="0000EE"/>
            </w:tcBorders>
            <w:gridSpan w:val="6"/>
          </w:tcPr>
          <w:p>
            <w:pPr>
              <w:spacing w:after="0" w:line="196" w:lineRule="exact"/>
              <w:rPr>
                <w:rFonts w:ascii="Arial" w:cs="Arial" w:eastAsia="Arial" w:hAnsi="Arial"/>
                <w:sz w:val="18"/>
                <w:szCs w:val="18"/>
                <w:color w:val="0000EE"/>
                <w:w w:val="90"/>
              </w:rPr>
            </w:pPr>
            <w:hyperlink r:id="rId100">
              <w:r>
                <w:rPr>
                  <w:rFonts w:ascii="Arial" w:cs="Arial" w:eastAsia="Arial" w:hAnsi="Arial"/>
                  <w:sz w:val="18"/>
                  <w:szCs w:val="18"/>
                  <w:color w:val="0000EE"/>
                  <w:w w:val="90"/>
                </w:rPr>
                <w:t>Previously filed as an exhibit to the Company’s Current Report on</w:t>
              </w:r>
            </w:hyperlink>
          </w:p>
        </w:tc>
      </w:tr>
      <w:tr>
        <w:trPr>
          <w:trHeight w:val="196"/>
        </w:trPr>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5040" w:type="dxa"/>
            <w:vAlign w:val="bottom"/>
            <w:gridSpan w:val="15"/>
          </w:tcPr>
          <w:p>
            <w:pPr>
              <w:spacing w:after="0" w:line="196" w:lineRule="exact"/>
              <w:rPr>
                <w:rFonts w:ascii="Arial" w:cs="Arial" w:eastAsia="Arial" w:hAnsi="Arial"/>
                <w:sz w:val="18"/>
                <w:szCs w:val="18"/>
                <w:color w:val="0000EE"/>
              </w:rPr>
            </w:pPr>
            <w:hyperlink r:id="rId100">
              <w:r>
                <w:rPr>
                  <w:rFonts w:ascii="Arial" w:cs="Arial" w:eastAsia="Arial" w:hAnsi="Arial"/>
                  <w:sz w:val="18"/>
                  <w:szCs w:val="18"/>
                  <w:color w:val="0000EE"/>
                </w:rPr>
                <w:t>Inc. and Ken Olson, dated as of January 26, 2022.</w:t>
              </w:r>
            </w:hyperlink>
          </w:p>
        </w:tc>
        <w:tc>
          <w:tcPr>
            <w:tcW w:w="4760" w:type="dxa"/>
            <w:vAlign w:val="bottom"/>
            <w:gridSpan w:val="6"/>
          </w:tcPr>
          <w:p>
            <w:pPr>
              <w:spacing w:after="0" w:line="196" w:lineRule="exact"/>
              <w:rPr>
                <w:rFonts w:ascii="Arial" w:cs="Arial" w:eastAsia="Arial" w:hAnsi="Arial"/>
                <w:sz w:val="18"/>
                <w:szCs w:val="18"/>
                <w:color w:val="0000EE"/>
                <w:w w:val="92"/>
              </w:rPr>
            </w:pPr>
            <w:hyperlink r:id="rId100">
              <w:r>
                <w:rPr>
                  <w:rFonts w:ascii="Arial" w:cs="Arial" w:eastAsia="Arial" w:hAnsi="Arial"/>
                  <w:sz w:val="18"/>
                  <w:szCs w:val="18"/>
                  <w:color w:val="0000EE"/>
                  <w:w w:val="92"/>
                </w:rPr>
                <w:t>Form 8-K (filed January 28, 2022) and incorporated by reference</w:t>
              </w:r>
            </w:hyperlink>
          </w:p>
        </w:tc>
      </w:tr>
      <w:tr>
        <w:trPr>
          <w:trHeight w:val="196"/>
        </w:trPr>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360" w:type="dxa"/>
            <w:vAlign w:val="bottom"/>
            <w:tcBorders>
              <w:top w:val="single" w:sz="8" w:color="0000EE"/>
            </w:tcBorders>
          </w:tcPr>
          <w:p>
            <w:pPr>
              <w:spacing w:after="0"/>
              <w:rPr>
                <w:sz w:val="17"/>
                <w:szCs w:val="17"/>
                <w:color w:val="auto"/>
              </w:rPr>
            </w:pPr>
          </w:p>
        </w:tc>
        <w:tc>
          <w:tcPr>
            <w:tcW w:w="1760" w:type="dxa"/>
            <w:vAlign w:val="bottom"/>
            <w:tcBorders>
              <w:top w:val="single" w:sz="8" w:color="0000EE"/>
            </w:tcBorders>
          </w:tcPr>
          <w:p>
            <w:pPr>
              <w:spacing w:after="0"/>
              <w:rPr>
                <w:sz w:val="17"/>
                <w:szCs w:val="17"/>
                <w:color w:val="auto"/>
              </w:rPr>
            </w:pPr>
          </w:p>
        </w:tc>
        <w:tc>
          <w:tcPr>
            <w:tcW w:w="200" w:type="dxa"/>
            <w:vAlign w:val="bottom"/>
            <w:tcBorders>
              <w:top w:val="single" w:sz="8" w:color="0000EE"/>
            </w:tcBorders>
          </w:tcPr>
          <w:p>
            <w:pPr>
              <w:spacing w:after="0"/>
              <w:rPr>
                <w:sz w:val="17"/>
                <w:szCs w:val="17"/>
                <w:color w:val="auto"/>
              </w:rPr>
            </w:pPr>
          </w:p>
        </w:tc>
        <w:tc>
          <w:tcPr>
            <w:tcW w:w="980" w:type="dxa"/>
            <w:vAlign w:val="bottom"/>
            <w:tcBorders>
              <w:top w:val="single" w:sz="8" w:color="0000EE"/>
            </w:tcBorders>
          </w:tcPr>
          <w:p>
            <w:pPr>
              <w:spacing w:after="0"/>
              <w:rPr>
                <w:sz w:val="17"/>
                <w:szCs w:val="17"/>
                <w:color w:val="auto"/>
              </w:rPr>
            </w:pPr>
          </w:p>
        </w:tc>
        <w:tc>
          <w:tcPr>
            <w:tcW w:w="100" w:type="dxa"/>
            <w:vAlign w:val="bottom"/>
            <w:tcBorders>
              <w:top w:val="single" w:sz="8" w:color="0000EE"/>
            </w:tcBorders>
          </w:tcPr>
          <w:p>
            <w:pPr>
              <w:spacing w:after="0"/>
              <w:rPr>
                <w:sz w:val="17"/>
                <w:szCs w:val="17"/>
                <w:color w:val="auto"/>
              </w:rPr>
            </w:pPr>
          </w:p>
        </w:tc>
        <w:tc>
          <w:tcPr>
            <w:tcW w:w="20" w:type="dxa"/>
            <w:vAlign w:val="bottom"/>
            <w:tcBorders>
              <w:top w:val="single" w:sz="8" w:color="0000EE"/>
            </w:tcBorders>
          </w:tcPr>
          <w:p>
            <w:pPr>
              <w:spacing w:after="0"/>
              <w:rPr>
                <w:sz w:val="17"/>
                <w:szCs w:val="17"/>
                <w:color w:val="auto"/>
              </w:rPr>
            </w:pPr>
          </w:p>
        </w:tc>
        <w:tc>
          <w:tcPr>
            <w:tcW w:w="160" w:type="dxa"/>
            <w:vAlign w:val="bottom"/>
            <w:tcBorders>
              <w:top w:val="single" w:sz="8" w:color="0000EE"/>
            </w:tcBorders>
          </w:tcPr>
          <w:p>
            <w:pPr>
              <w:spacing w:after="0"/>
              <w:rPr>
                <w:sz w:val="17"/>
                <w:szCs w:val="17"/>
                <w:color w:val="auto"/>
              </w:rPr>
            </w:pPr>
          </w:p>
        </w:tc>
        <w:tc>
          <w:tcPr>
            <w:tcW w:w="5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4680" w:type="dxa"/>
            <w:vAlign w:val="bottom"/>
            <w:tcBorders>
              <w:top w:val="single" w:sz="8" w:color="0000EE"/>
            </w:tcBorders>
            <w:gridSpan w:val="5"/>
          </w:tcPr>
          <w:p>
            <w:pPr>
              <w:spacing w:after="0" w:line="196" w:lineRule="exact"/>
              <w:rPr>
                <w:rFonts w:ascii="Arial" w:cs="Arial" w:eastAsia="Arial" w:hAnsi="Arial"/>
                <w:sz w:val="18"/>
                <w:szCs w:val="18"/>
                <w:color w:val="0000EE"/>
              </w:rPr>
            </w:pPr>
            <w:hyperlink r:id="rId100">
              <w:r>
                <w:rPr>
                  <w:rFonts w:ascii="Arial" w:cs="Arial" w:eastAsia="Arial" w:hAnsi="Arial"/>
                  <w:sz w:val="18"/>
                  <w:szCs w:val="18"/>
                  <w:color w:val="0000EE"/>
                </w:rPr>
                <w:t>thereto.</w:t>
              </w:r>
            </w:hyperlink>
          </w:p>
        </w:tc>
        <w:tc>
          <w:tcPr>
            <w:tcW w:w="80" w:type="dxa"/>
            <w:vAlign w:val="bottom"/>
          </w:tcPr>
          <w:p>
            <w:pPr>
              <w:spacing w:after="0"/>
              <w:rPr>
                <w:sz w:val="17"/>
                <w:szCs w:val="17"/>
                <w:color w:val="auto"/>
              </w:rPr>
            </w:pPr>
          </w:p>
        </w:tc>
      </w:tr>
      <w:tr>
        <w:trPr>
          <w:trHeight w:val="20"/>
        </w:trPr>
        <w:tc>
          <w:tcPr>
            <w:tcW w:w="180" w:type="dxa"/>
            <w:vAlign w:val="bottom"/>
            <w:gridSpan w:val="2"/>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2120" w:type="dxa"/>
            <w:vAlign w:val="bottom"/>
            <w:gridSpan w:val="2"/>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8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4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40" w:type="dxa"/>
            <w:vAlign w:val="bottom"/>
            <w:gridSpan w:val="2"/>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440" w:type="dxa"/>
            <w:vAlign w:val="bottom"/>
            <w:shd w:val="clear" w:color="auto" w:fill="0000EE"/>
          </w:tcPr>
          <w:p>
            <w:pPr>
              <w:spacing w:after="0" w:line="20" w:lineRule="exact"/>
              <w:rPr>
                <w:sz w:val="1"/>
                <w:szCs w:val="1"/>
                <w:color w:val="auto"/>
              </w:rPr>
            </w:pPr>
          </w:p>
        </w:tc>
        <w:tc>
          <w:tcPr>
            <w:tcW w:w="4220" w:type="dxa"/>
            <w:vAlign w:val="bottom"/>
            <w:gridSpan w:val="4"/>
          </w:tcPr>
          <w:p>
            <w:pPr>
              <w:spacing w:after="0" w:line="20" w:lineRule="exact"/>
              <w:rPr>
                <w:sz w:val="1"/>
                <w:szCs w:val="1"/>
                <w:color w:val="auto"/>
              </w:rPr>
            </w:pPr>
          </w:p>
        </w:tc>
      </w:tr>
      <w:tr>
        <w:trPr>
          <w:trHeight w:val="196"/>
        </w:trPr>
        <w:tc>
          <w:tcPr>
            <w:tcW w:w="500" w:type="dxa"/>
            <w:vAlign w:val="bottom"/>
            <w:gridSpan w:val="3"/>
          </w:tcPr>
          <w:p>
            <w:pPr>
              <w:jc w:val="center"/>
              <w:ind w:left="90"/>
              <w:spacing w:after="0" w:line="196" w:lineRule="exact"/>
              <w:rPr>
                <w:rFonts w:ascii="Arial" w:cs="Arial" w:eastAsia="Arial" w:hAnsi="Arial"/>
                <w:sz w:val="18"/>
                <w:szCs w:val="18"/>
                <w:color w:val="0000EE"/>
                <w:w w:val="91"/>
              </w:rPr>
            </w:pPr>
            <w:hyperlink w:anchor="page78">
              <w:r>
                <w:rPr>
                  <w:rFonts w:ascii="Arial" w:cs="Arial" w:eastAsia="Arial" w:hAnsi="Arial"/>
                  <w:sz w:val="18"/>
                  <w:szCs w:val="18"/>
                  <w:color w:val="0000EE"/>
                  <w:w w:val="91"/>
                </w:rPr>
                <w:t>21.</w:t>
              </w:r>
              <w:r>
                <w:rPr>
                  <w:rFonts w:ascii="Arial" w:cs="Arial" w:eastAsia="Arial" w:hAnsi="Arial"/>
                  <w:sz w:val="18"/>
                  <w:szCs w:val="18"/>
                  <w:u w:val="single" w:color="auto"/>
                  <w:color w:val="0000EE"/>
                  <w:w w:val="91"/>
                </w:rPr>
                <w:t>1</w:t>
              </w:r>
            </w:hyperlink>
          </w:p>
        </w:tc>
        <w:tc>
          <w:tcPr>
            <w:tcW w:w="8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5040" w:type="dxa"/>
            <w:vAlign w:val="bottom"/>
            <w:gridSpan w:val="15"/>
          </w:tcPr>
          <w:p>
            <w:pPr>
              <w:spacing w:after="0" w:line="196" w:lineRule="exact"/>
              <w:rPr>
                <w:rFonts w:ascii="Arial" w:cs="Arial" w:eastAsia="Arial" w:hAnsi="Arial"/>
                <w:sz w:val="18"/>
                <w:szCs w:val="18"/>
                <w:color w:val="0000EE"/>
              </w:rPr>
            </w:pPr>
            <w:hyperlink w:anchor="page78">
              <w:r>
                <w:rPr>
                  <w:rFonts w:ascii="Arial" w:cs="Arial" w:eastAsia="Arial" w:hAnsi="Arial"/>
                  <w:sz w:val="18"/>
                  <w:szCs w:val="18"/>
                  <w:color w:val="0000EE"/>
                </w:rPr>
                <w:t>Subsidiaries of the Registrant</w:t>
              </w:r>
            </w:hyperlink>
          </w:p>
        </w:tc>
        <w:tc>
          <w:tcPr>
            <w:tcW w:w="4760" w:type="dxa"/>
            <w:vAlign w:val="bottom"/>
            <w:gridSpan w:val="6"/>
          </w:tcPr>
          <w:p>
            <w:pPr>
              <w:spacing w:after="0" w:line="196" w:lineRule="exact"/>
              <w:rPr>
                <w:rFonts w:ascii="Arial" w:cs="Arial" w:eastAsia="Arial" w:hAnsi="Arial"/>
                <w:sz w:val="18"/>
                <w:szCs w:val="18"/>
                <w:color w:val="0000EE"/>
              </w:rPr>
            </w:pPr>
            <w:hyperlink w:anchor="page78">
              <w:r>
                <w:rPr>
                  <w:rFonts w:ascii="Arial" w:cs="Arial" w:eastAsia="Arial" w:hAnsi="Arial"/>
                  <w:sz w:val="18"/>
                  <w:szCs w:val="18"/>
                  <w:color w:val="0000EE"/>
                </w:rPr>
                <w:t>Filed with this report</w:t>
              </w:r>
            </w:hyperlink>
          </w:p>
        </w:tc>
      </w:tr>
      <w:tr>
        <w:trPr>
          <w:trHeight w:val="20"/>
        </w:trPr>
        <w:tc>
          <w:tcPr>
            <w:tcW w:w="180" w:type="dxa"/>
            <w:vAlign w:val="bottom"/>
            <w:gridSpan w:val="2"/>
          </w:tcPr>
          <w:p>
            <w:pPr>
              <w:spacing w:after="0" w:line="20" w:lineRule="exact"/>
              <w:rPr>
                <w:sz w:val="1"/>
                <w:szCs w:val="1"/>
                <w:color w:val="auto"/>
              </w:rPr>
            </w:pPr>
          </w:p>
        </w:tc>
        <w:tc>
          <w:tcPr>
            <w:tcW w:w="320" w:type="dxa"/>
            <w:vAlign w:val="bottom"/>
            <w:shd w:val="clear" w:color="auto" w:fill="0000EE"/>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2120" w:type="dxa"/>
            <w:vAlign w:val="bottom"/>
            <w:gridSpan w:val="2"/>
            <w:shd w:val="clear" w:color="auto" w:fill="0000EE"/>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8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4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40" w:type="dxa"/>
            <w:vAlign w:val="bottom"/>
            <w:gridSpan w:val="2"/>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1420" w:type="dxa"/>
            <w:vAlign w:val="bottom"/>
            <w:gridSpan w:val="2"/>
            <w:shd w:val="clear" w:color="auto" w:fill="0000EE"/>
          </w:tcPr>
          <w:p>
            <w:pPr>
              <w:spacing w:after="0" w:line="20" w:lineRule="exact"/>
              <w:rPr>
                <w:sz w:val="1"/>
                <w:szCs w:val="1"/>
                <w:color w:val="auto"/>
              </w:rPr>
            </w:pPr>
          </w:p>
        </w:tc>
        <w:tc>
          <w:tcPr>
            <w:tcW w:w="3240" w:type="dxa"/>
            <w:vAlign w:val="bottom"/>
            <w:gridSpan w:val="3"/>
          </w:tcPr>
          <w:p>
            <w:pPr>
              <w:spacing w:after="0" w:line="20" w:lineRule="exact"/>
              <w:rPr>
                <w:sz w:val="1"/>
                <w:szCs w:val="1"/>
                <w:color w:val="auto"/>
              </w:rPr>
            </w:pPr>
          </w:p>
        </w:tc>
      </w:tr>
      <w:tr>
        <w:trPr>
          <w:trHeight w:val="196"/>
        </w:trPr>
        <w:tc>
          <w:tcPr>
            <w:tcW w:w="500" w:type="dxa"/>
            <w:vAlign w:val="bottom"/>
            <w:gridSpan w:val="3"/>
          </w:tcPr>
          <w:p>
            <w:pPr>
              <w:jc w:val="center"/>
              <w:ind w:left="90"/>
              <w:spacing w:after="0" w:line="196" w:lineRule="exact"/>
              <w:rPr>
                <w:rFonts w:ascii="Arial" w:cs="Arial" w:eastAsia="Arial" w:hAnsi="Arial"/>
                <w:sz w:val="18"/>
                <w:szCs w:val="18"/>
                <w:color w:val="0000EE"/>
                <w:w w:val="91"/>
              </w:rPr>
            </w:pPr>
            <w:hyperlink w:anchor="page79">
              <w:r>
                <w:rPr>
                  <w:rFonts w:ascii="Arial" w:cs="Arial" w:eastAsia="Arial" w:hAnsi="Arial"/>
                  <w:sz w:val="18"/>
                  <w:szCs w:val="18"/>
                  <w:color w:val="0000EE"/>
                  <w:w w:val="91"/>
                </w:rPr>
                <w:t>23.</w:t>
              </w:r>
              <w:r>
                <w:rPr>
                  <w:rFonts w:ascii="Arial" w:cs="Arial" w:eastAsia="Arial" w:hAnsi="Arial"/>
                  <w:sz w:val="18"/>
                  <w:szCs w:val="18"/>
                  <w:u w:val="single" w:color="auto"/>
                  <w:color w:val="0000EE"/>
                  <w:w w:val="91"/>
                </w:rPr>
                <w:t>1</w:t>
              </w:r>
            </w:hyperlink>
          </w:p>
        </w:tc>
        <w:tc>
          <w:tcPr>
            <w:tcW w:w="8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5040" w:type="dxa"/>
            <w:vAlign w:val="bottom"/>
            <w:gridSpan w:val="15"/>
          </w:tcPr>
          <w:p>
            <w:pPr>
              <w:spacing w:after="0" w:line="196" w:lineRule="exact"/>
              <w:rPr>
                <w:rFonts w:ascii="Arial" w:cs="Arial" w:eastAsia="Arial" w:hAnsi="Arial"/>
                <w:sz w:val="18"/>
                <w:szCs w:val="18"/>
                <w:color w:val="0000EE"/>
              </w:rPr>
            </w:pPr>
            <w:hyperlink w:anchor="page79">
              <w:r>
                <w:rPr>
                  <w:rFonts w:ascii="Arial" w:cs="Arial" w:eastAsia="Arial" w:hAnsi="Arial"/>
                  <w:sz w:val="18"/>
                  <w:szCs w:val="18"/>
                  <w:color w:val="0000EE"/>
                </w:rPr>
                <w:t>Consent of Grant Thornton LLP</w:t>
              </w:r>
            </w:hyperlink>
          </w:p>
        </w:tc>
        <w:tc>
          <w:tcPr>
            <w:tcW w:w="4760" w:type="dxa"/>
            <w:vAlign w:val="bottom"/>
            <w:gridSpan w:val="6"/>
          </w:tcPr>
          <w:p>
            <w:pPr>
              <w:spacing w:after="0" w:line="196" w:lineRule="exact"/>
              <w:rPr>
                <w:rFonts w:ascii="Arial" w:cs="Arial" w:eastAsia="Arial" w:hAnsi="Arial"/>
                <w:sz w:val="18"/>
                <w:szCs w:val="18"/>
                <w:color w:val="0000EE"/>
              </w:rPr>
            </w:pPr>
            <w:hyperlink w:anchor="page79">
              <w:r>
                <w:rPr>
                  <w:rFonts w:ascii="Arial" w:cs="Arial" w:eastAsia="Arial" w:hAnsi="Arial"/>
                  <w:sz w:val="18"/>
                  <w:szCs w:val="18"/>
                  <w:color w:val="0000EE"/>
                </w:rPr>
                <w:t>Filed with this report</w:t>
              </w:r>
            </w:hyperlink>
          </w:p>
        </w:tc>
      </w:tr>
      <w:tr>
        <w:trPr>
          <w:trHeight w:val="20"/>
        </w:trPr>
        <w:tc>
          <w:tcPr>
            <w:tcW w:w="180" w:type="dxa"/>
            <w:vAlign w:val="bottom"/>
            <w:gridSpan w:val="2"/>
          </w:tcPr>
          <w:p>
            <w:pPr>
              <w:spacing w:after="0" w:line="20" w:lineRule="exact"/>
              <w:rPr>
                <w:sz w:val="1"/>
                <w:szCs w:val="1"/>
                <w:color w:val="auto"/>
              </w:rPr>
            </w:pPr>
          </w:p>
        </w:tc>
        <w:tc>
          <w:tcPr>
            <w:tcW w:w="320" w:type="dxa"/>
            <w:vAlign w:val="bottom"/>
            <w:shd w:val="clear" w:color="auto" w:fill="0000EE"/>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2320" w:type="dxa"/>
            <w:vAlign w:val="bottom"/>
            <w:gridSpan w:val="3"/>
            <w:shd w:val="clear" w:color="auto" w:fill="0000EE"/>
          </w:tcPr>
          <w:p>
            <w:pPr>
              <w:spacing w:after="0" w:line="20" w:lineRule="exact"/>
              <w:rPr>
                <w:sz w:val="1"/>
                <w:szCs w:val="1"/>
                <w:color w:val="auto"/>
              </w:rPr>
            </w:pPr>
          </w:p>
        </w:tc>
        <w:tc>
          <w:tcPr>
            <w:tcW w:w="108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4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40" w:type="dxa"/>
            <w:vAlign w:val="bottom"/>
            <w:gridSpan w:val="2"/>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1420" w:type="dxa"/>
            <w:vAlign w:val="bottom"/>
            <w:gridSpan w:val="2"/>
            <w:shd w:val="clear" w:color="auto" w:fill="0000EE"/>
          </w:tcPr>
          <w:p>
            <w:pPr>
              <w:spacing w:after="0" w:line="20" w:lineRule="exact"/>
              <w:rPr>
                <w:sz w:val="1"/>
                <w:szCs w:val="1"/>
                <w:color w:val="auto"/>
              </w:rPr>
            </w:pPr>
          </w:p>
        </w:tc>
        <w:tc>
          <w:tcPr>
            <w:tcW w:w="3240" w:type="dxa"/>
            <w:vAlign w:val="bottom"/>
            <w:gridSpan w:val="3"/>
          </w:tcPr>
          <w:p>
            <w:pPr>
              <w:spacing w:after="0" w:line="20" w:lineRule="exact"/>
              <w:rPr>
                <w:sz w:val="1"/>
                <w:szCs w:val="1"/>
                <w:color w:val="auto"/>
              </w:rPr>
            </w:pPr>
          </w:p>
        </w:tc>
      </w:tr>
      <w:tr>
        <w:trPr>
          <w:trHeight w:val="196"/>
        </w:trPr>
        <w:tc>
          <w:tcPr>
            <w:tcW w:w="500" w:type="dxa"/>
            <w:vAlign w:val="bottom"/>
            <w:gridSpan w:val="3"/>
          </w:tcPr>
          <w:p>
            <w:pPr>
              <w:jc w:val="center"/>
              <w:ind w:left="90"/>
              <w:spacing w:after="0" w:line="196" w:lineRule="exact"/>
              <w:rPr>
                <w:rFonts w:ascii="Arial" w:cs="Arial" w:eastAsia="Arial" w:hAnsi="Arial"/>
                <w:sz w:val="18"/>
                <w:szCs w:val="18"/>
                <w:color w:val="0000EE"/>
                <w:w w:val="91"/>
              </w:rPr>
            </w:pPr>
            <w:hyperlink w:anchor="page80">
              <w:r>
                <w:rPr>
                  <w:rFonts w:ascii="Arial" w:cs="Arial" w:eastAsia="Arial" w:hAnsi="Arial"/>
                  <w:sz w:val="18"/>
                  <w:szCs w:val="18"/>
                  <w:color w:val="0000EE"/>
                  <w:w w:val="91"/>
                </w:rPr>
                <w:t>31.</w:t>
              </w:r>
              <w:r>
                <w:rPr>
                  <w:rFonts w:ascii="Arial" w:cs="Arial" w:eastAsia="Arial" w:hAnsi="Arial"/>
                  <w:sz w:val="18"/>
                  <w:szCs w:val="18"/>
                  <w:u w:val="single" w:color="auto"/>
                  <w:color w:val="0000EE"/>
                  <w:w w:val="91"/>
                </w:rPr>
                <w:t>1</w:t>
              </w:r>
            </w:hyperlink>
          </w:p>
        </w:tc>
        <w:tc>
          <w:tcPr>
            <w:tcW w:w="8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5040" w:type="dxa"/>
            <w:vAlign w:val="bottom"/>
            <w:gridSpan w:val="15"/>
          </w:tcPr>
          <w:p>
            <w:pPr>
              <w:spacing w:after="0" w:line="196" w:lineRule="exact"/>
              <w:rPr>
                <w:rFonts w:ascii="Arial" w:cs="Arial" w:eastAsia="Arial" w:hAnsi="Arial"/>
                <w:sz w:val="18"/>
                <w:szCs w:val="18"/>
                <w:color w:val="0000EE"/>
              </w:rPr>
            </w:pPr>
            <w:hyperlink w:anchor="page80">
              <w:r>
                <w:rPr>
                  <w:rFonts w:ascii="Arial" w:cs="Arial" w:eastAsia="Arial" w:hAnsi="Arial"/>
                  <w:sz w:val="18"/>
                  <w:szCs w:val="18"/>
                  <w:color w:val="0000EE"/>
                </w:rPr>
                <w:t>Certification of Chief Financial Officer of Harvard Bioscience,</w:t>
              </w:r>
            </w:hyperlink>
          </w:p>
        </w:tc>
        <w:tc>
          <w:tcPr>
            <w:tcW w:w="4760" w:type="dxa"/>
            <w:vAlign w:val="bottom"/>
            <w:gridSpan w:val="6"/>
          </w:tcPr>
          <w:p>
            <w:pPr>
              <w:spacing w:after="0" w:line="196" w:lineRule="exact"/>
              <w:rPr>
                <w:rFonts w:ascii="Arial" w:cs="Arial" w:eastAsia="Arial" w:hAnsi="Arial"/>
                <w:sz w:val="18"/>
                <w:szCs w:val="18"/>
                <w:color w:val="0000EE"/>
              </w:rPr>
            </w:pPr>
            <w:hyperlink w:anchor="page80">
              <w:r>
                <w:rPr>
                  <w:rFonts w:ascii="Arial" w:cs="Arial" w:eastAsia="Arial" w:hAnsi="Arial"/>
                  <w:sz w:val="18"/>
                  <w:szCs w:val="18"/>
                  <w:color w:val="0000EE"/>
                </w:rPr>
                <w:t>Filed with this report</w:t>
              </w:r>
            </w:hyperlink>
          </w:p>
        </w:tc>
      </w:tr>
      <w:tr>
        <w:trPr>
          <w:trHeight w:val="196"/>
        </w:trPr>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20" w:type="dxa"/>
            <w:vAlign w:val="bottom"/>
            <w:tcBorders>
              <w:top w:val="single" w:sz="8" w:color="0000EE"/>
            </w:tcBorders>
          </w:tcPr>
          <w:p>
            <w:pPr>
              <w:spacing w:after="0"/>
              <w:rPr>
                <w:sz w:val="17"/>
                <w:szCs w:val="17"/>
                <w:color w:val="auto"/>
              </w:rPr>
            </w:pPr>
          </w:p>
        </w:tc>
        <w:tc>
          <w:tcPr>
            <w:tcW w:w="8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4280" w:type="dxa"/>
            <w:vAlign w:val="bottom"/>
            <w:tcBorders>
              <w:top w:val="single" w:sz="8" w:color="0000EE"/>
              <w:bottom w:val="single" w:sz="8" w:color="0000EE"/>
            </w:tcBorders>
            <w:gridSpan w:val="10"/>
          </w:tcPr>
          <w:p>
            <w:pPr>
              <w:spacing w:after="0" w:line="196" w:lineRule="exact"/>
              <w:rPr>
                <w:rFonts w:ascii="Arial" w:cs="Arial" w:eastAsia="Arial" w:hAnsi="Arial"/>
                <w:sz w:val="18"/>
                <w:szCs w:val="18"/>
                <w:color w:val="0000EE"/>
                <w:w w:val="88"/>
              </w:rPr>
            </w:pPr>
            <w:hyperlink w:anchor="page80">
              <w:r>
                <w:rPr>
                  <w:rFonts w:ascii="Arial" w:cs="Arial" w:eastAsia="Arial" w:hAnsi="Arial"/>
                  <w:sz w:val="18"/>
                  <w:szCs w:val="18"/>
                  <w:color w:val="0000EE"/>
                  <w:w w:val="88"/>
                </w:rPr>
                <w:t>Inc., pursuant to Rules 13a-15(e) and 15d-15(e), as adopted</w:t>
              </w:r>
            </w:hyperlink>
          </w:p>
        </w:tc>
        <w:tc>
          <w:tcPr>
            <w:tcW w:w="240" w:type="dxa"/>
            <w:vAlign w:val="bottom"/>
            <w:tcBorders>
              <w:top w:val="single" w:sz="8" w:color="0000EE"/>
            </w:tcBorders>
          </w:tcPr>
          <w:p>
            <w:pPr>
              <w:spacing w:after="0"/>
              <w:rPr>
                <w:sz w:val="17"/>
                <w:szCs w:val="17"/>
                <w:color w:val="auto"/>
              </w:rPr>
            </w:pPr>
          </w:p>
        </w:tc>
        <w:tc>
          <w:tcPr>
            <w:tcW w:w="520" w:type="dxa"/>
            <w:vAlign w:val="bottom"/>
            <w:gridSpan w:val="4"/>
          </w:tcPr>
          <w:p>
            <w:pPr>
              <w:spacing w:after="0"/>
              <w:rPr>
                <w:sz w:val="17"/>
                <w:szCs w:val="17"/>
                <w:color w:val="auto"/>
              </w:rPr>
            </w:pPr>
          </w:p>
        </w:tc>
        <w:tc>
          <w:tcPr>
            <w:tcW w:w="100" w:type="dxa"/>
            <w:vAlign w:val="bottom"/>
            <w:tcBorders>
              <w:top w:val="single" w:sz="8" w:color="0000EE"/>
            </w:tcBorders>
          </w:tcPr>
          <w:p>
            <w:pPr>
              <w:spacing w:after="0"/>
              <w:rPr>
                <w:sz w:val="17"/>
                <w:szCs w:val="17"/>
                <w:color w:val="auto"/>
              </w:rPr>
            </w:pPr>
          </w:p>
        </w:tc>
        <w:tc>
          <w:tcPr>
            <w:tcW w:w="440" w:type="dxa"/>
            <w:vAlign w:val="bottom"/>
            <w:tcBorders>
              <w:top w:val="single" w:sz="8" w:color="0000EE"/>
            </w:tcBorders>
          </w:tcPr>
          <w:p>
            <w:pPr>
              <w:spacing w:after="0"/>
              <w:rPr>
                <w:sz w:val="17"/>
                <w:szCs w:val="17"/>
                <w:color w:val="auto"/>
              </w:rPr>
            </w:pPr>
          </w:p>
        </w:tc>
        <w:tc>
          <w:tcPr>
            <w:tcW w:w="980" w:type="dxa"/>
            <w:vAlign w:val="bottom"/>
            <w:tcBorders>
              <w:top w:val="single" w:sz="8" w:color="0000EE"/>
            </w:tcBorders>
          </w:tcPr>
          <w:p>
            <w:pPr>
              <w:spacing w:after="0"/>
              <w:rPr>
                <w:sz w:val="17"/>
                <w:szCs w:val="17"/>
                <w:color w:val="auto"/>
              </w:rPr>
            </w:pPr>
          </w:p>
        </w:tc>
        <w:tc>
          <w:tcPr>
            <w:tcW w:w="29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80" w:type="dxa"/>
            <w:vAlign w:val="bottom"/>
          </w:tcPr>
          <w:p>
            <w:pPr>
              <w:spacing w:after="0"/>
              <w:rPr>
                <w:sz w:val="17"/>
                <w:szCs w:val="17"/>
                <w:color w:val="auto"/>
              </w:rPr>
            </w:pPr>
          </w:p>
        </w:tc>
      </w:tr>
      <w:tr>
        <w:trPr>
          <w:trHeight w:val="196"/>
        </w:trPr>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4260" w:type="dxa"/>
            <w:vAlign w:val="bottom"/>
            <w:tcBorders>
              <w:bottom w:val="single" w:sz="8" w:color="0000EE"/>
            </w:tcBorders>
            <w:gridSpan w:val="9"/>
          </w:tcPr>
          <w:p>
            <w:pPr>
              <w:spacing w:after="0" w:line="196" w:lineRule="exact"/>
              <w:rPr>
                <w:rFonts w:ascii="Arial" w:cs="Arial" w:eastAsia="Arial" w:hAnsi="Arial"/>
                <w:sz w:val="18"/>
                <w:szCs w:val="18"/>
                <w:color w:val="0000EE"/>
                <w:w w:val="90"/>
              </w:rPr>
            </w:pPr>
            <w:hyperlink w:anchor="page80">
              <w:r>
                <w:rPr>
                  <w:rFonts w:ascii="Arial" w:cs="Arial" w:eastAsia="Arial" w:hAnsi="Arial"/>
                  <w:sz w:val="18"/>
                  <w:szCs w:val="18"/>
                  <w:color w:val="0000EE"/>
                  <w:w w:val="90"/>
                </w:rPr>
                <w:t>pursuant to Section 302 of the Sarbanes-Oxley Act of 2002</w:t>
              </w:r>
            </w:hyperlink>
          </w:p>
        </w:tc>
        <w:tc>
          <w:tcPr>
            <w:tcW w:w="780" w:type="dxa"/>
            <w:vAlign w:val="bottom"/>
            <w:gridSpan w:val="6"/>
          </w:tcPr>
          <w:p>
            <w:pPr>
              <w:spacing w:after="0"/>
              <w:rPr>
                <w:sz w:val="17"/>
                <w:szCs w:val="17"/>
                <w:color w:val="auto"/>
              </w:rPr>
            </w:pPr>
          </w:p>
        </w:tc>
        <w:tc>
          <w:tcPr>
            <w:tcW w:w="10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29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80" w:type="dxa"/>
            <w:vAlign w:val="bottom"/>
          </w:tcPr>
          <w:p>
            <w:pPr>
              <w:spacing w:after="0"/>
              <w:rPr>
                <w:sz w:val="17"/>
                <w:szCs w:val="17"/>
                <w:color w:val="auto"/>
              </w:rPr>
            </w:pPr>
          </w:p>
        </w:tc>
      </w:tr>
      <w:tr>
        <w:trPr>
          <w:trHeight w:val="196"/>
        </w:trPr>
        <w:tc>
          <w:tcPr>
            <w:tcW w:w="500" w:type="dxa"/>
            <w:vAlign w:val="bottom"/>
            <w:gridSpan w:val="3"/>
          </w:tcPr>
          <w:p>
            <w:pPr>
              <w:jc w:val="center"/>
              <w:ind w:left="90"/>
              <w:spacing w:after="0" w:line="196" w:lineRule="exact"/>
              <w:rPr>
                <w:rFonts w:ascii="Arial" w:cs="Arial" w:eastAsia="Arial" w:hAnsi="Arial"/>
                <w:sz w:val="18"/>
                <w:szCs w:val="18"/>
                <w:color w:val="0000EE"/>
                <w:w w:val="91"/>
              </w:rPr>
            </w:pPr>
            <w:hyperlink w:anchor="page81">
              <w:r>
                <w:rPr>
                  <w:rFonts w:ascii="Arial" w:cs="Arial" w:eastAsia="Arial" w:hAnsi="Arial"/>
                  <w:sz w:val="18"/>
                  <w:szCs w:val="18"/>
                  <w:color w:val="0000EE"/>
                  <w:w w:val="91"/>
                </w:rPr>
                <w:t>31.</w:t>
              </w:r>
              <w:r>
                <w:rPr>
                  <w:rFonts w:ascii="Arial" w:cs="Arial" w:eastAsia="Arial" w:hAnsi="Arial"/>
                  <w:sz w:val="18"/>
                  <w:szCs w:val="18"/>
                  <w:u w:val="single" w:color="auto"/>
                  <w:color w:val="0000EE"/>
                  <w:w w:val="91"/>
                </w:rPr>
                <w:t>2</w:t>
              </w:r>
            </w:hyperlink>
          </w:p>
        </w:tc>
        <w:tc>
          <w:tcPr>
            <w:tcW w:w="8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5040" w:type="dxa"/>
            <w:vAlign w:val="bottom"/>
            <w:gridSpan w:val="15"/>
          </w:tcPr>
          <w:p>
            <w:pPr>
              <w:spacing w:after="0" w:line="196" w:lineRule="exact"/>
              <w:rPr>
                <w:rFonts w:ascii="Arial" w:cs="Arial" w:eastAsia="Arial" w:hAnsi="Arial"/>
                <w:sz w:val="18"/>
                <w:szCs w:val="18"/>
                <w:color w:val="0000EE"/>
              </w:rPr>
            </w:pPr>
            <w:hyperlink w:anchor="page81">
              <w:r>
                <w:rPr>
                  <w:rFonts w:ascii="Arial" w:cs="Arial" w:eastAsia="Arial" w:hAnsi="Arial"/>
                  <w:sz w:val="18"/>
                  <w:szCs w:val="18"/>
                  <w:color w:val="0000EE"/>
                </w:rPr>
                <w:t>Certification of Chief Executive Officer of Harvard Bioscience,</w:t>
              </w:r>
            </w:hyperlink>
          </w:p>
        </w:tc>
        <w:tc>
          <w:tcPr>
            <w:tcW w:w="4760" w:type="dxa"/>
            <w:vAlign w:val="bottom"/>
            <w:gridSpan w:val="6"/>
          </w:tcPr>
          <w:p>
            <w:pPr>
              <w:spacing w:after="0" w:line="196" w:lineRule="exact"/>
              <w:rPr>
                <w:rFonts w:ascii="Arial" w:cs="Arial" w:eastAsia="Arial" w:hAnsi="Arial"/>
                <w:sz w:val="18"/>
                <w:szCs w:val="18"/>
                <w:color w:val="0000EE"/>
              </w:rPr>
            </w:pPr>
            <w:hyperlink w:anchor="page81">
              <w:r>
                <w:rPr>
                  <w:rFonts w:ascii="Arial" w:cs="Arial" w:eastAsia="Arial" w:hAnsi="Arial"/>
                  <w:sz w:val="18"/>
                  <w:szCs w:val="18"/>
                  <w:color w:val="0000EE"/>
                </w:rPr>
                <w:t>Filed with this report</w:t>
              </w:r>
            </w:hyperlink>
          </w:p>
        </w:tc>
      </w:tr>
      <w:tr>
        <w:trPr>
          <w:trHeight w:val="196"/>
        </w:trPr>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20" w:type="dxa"/>
            <w:vAlign w:val="bottom"/>
            <w:tcBorders>
              <w:top w:val="single" w:sz="8" w:color="0000EE"/>
            </w:tcBorders>
          </w:tcPr>
          <w:p>
            <w:pPr>
              <w:spacing w:after="0"/>
              <w:rPr>
                <w:sz w:val="17"/>
                <w:szCs w:val="17"/>
                <w:color w:val="auto"/>
              </w:rPr>
            </w:pPr>
          </w:p>
        </w:tc>
        <w:tc>
          <w:tcPr>
            <w:tcW w:w="8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4280" w:type="dxa"/>
            <w:vAlign w:val="bottom"/>
            <w:tcBorders>
              <w:top w:val="single" w:sz="8" w:color="0000EE"/>
              <w:bottom w:val="single" w:sz="8" w:color="0000EE"/>
            </w:tcBorders>
            <w:gridSpan w:val="10"/>
          </w:tcPr>
          <w:p>
            <w:pPr>
              <w:spacing w:after="0" w:line="196" w:lineRule="exact"/>
              <w:rPr>
                <w:rFonts w:ascii="Arial" w:cs="Arial" w:eastAsia="Arial" w:hAnsi="Arial"/>
                <w:sz w:val="18"/>
                <w:szCs w:val="18"/>
                <w:color w:val="0000EE"/>
                <w:w w:val="88"/>
              </w:rPr>
            </w:pPr>
            <w:hyperlink w:anchor="page81">
              <w:r>
                <w:rPr>
                  <w:rFonts w:ascii="Arial" w:cs="Arial" w:eastAsia="Arial" w:hAnsi="Arial"/>
                  <w:sz w:val="18"/>
                  <w:szCs w:val="18"/>
                  <w:color w:val="0000EE"/>
                  <w:w w:val="88"/>
                </w:rPr>
                <w:t>Inc., pursuant to Rules 13a-15(e) and 15d-15(e), as adopted</w:t>
              </w:r>
            </w:hyperlink>
          </w:p>
        </w:tc>
        <w:tc>
          <w:tcPr>
            <w:tcW w:w="300" w:type="dxa"/>
            <w:vAlign w:val="bottom"/>
            <w:tcBorders>
              <w:top w:val="single" w:sz="8" w:color="0000EE"/>
            </w:tcBorders>
            <w:gridSpan w:val="2"/>
          </w:tcPr>
          <w:p>
            <w:pPr>
              <w:spacing w:after="0"/>
              <w:rPr>
                <w:sz w:val="17"/>
                <w:szCs w:val="17"/>
                <w:color w:val="auto"/>
              </w:rPr>
            </w:pPr>
          </w:p>
        </w:tc>
        <w:tc>
          <w:tcPr>
            <w:tcW w:w="460" w:type="dxa"/>
            <w:vAlign w:val="bottom"/>
            <w:gridSpan w:val="3"/>
          </w:tcPr>
          <w:p>
            <w:pPr>
              <w:spacing w:after="0"/>
              <w:rPr>
                <w:sz w:val="17"/>
                <w:szCs w:val="17"/>
                <w:color w:val="auto"/>
              </w:rPr>
            </w:pPr>
          </w:p>
        </w:tc>
        <w:tc>
          <w:tcPr>
            <w:tcW w:w="100" w:type="dxa"/>
            <w:vAlign w:val="bottom"/>
            <w:tcBorders>
              <w:top w:val="single" w:sz="8" w:color="0000EE"/>
            </w:tcBorders>
          </w:tcPr>
          <w:p>
            <w:pPr>
              <w:spacing w:after="0"/>
              <w:rPr>
                <w:sz w:val="17"/>
                <w:szCs w:val="17"/>
                <w:color w:val="auto"/>
              </w:rPr>
            </w:pPr>
          </w:p>
        </w:tc>
        <w:tc>
          <w:tcPr>
            <w:tcW w:w="440" w:type="dxa"/>
            <w:vAlign w:val="bottom"/>
            <w:tcBorders>
              <w:top w:val="single" w:sz="8" w:color="0000EE"/>
            </w:tcBorders>
          </w:tcPr>
          <w:p>
            <w:pPr>
              <w:spacing w:after="0"/>
              <w:rPr>
                <w:sz w:val="17"/>
                <w:szCs w:val="17"/>
                <w:color w:val="auto"/>
              </w:rPr>
            </w:pPr>
          </w:p>
        </w:tc>
        <w:tc>
          <w:tcPr>
            <w:tcW w:w="980" w:type="dxa"/>
            <w:vAlign w:val="bottom"/>
            <w:tcBorders>
              <w:top w:val="single" w:sz="8" w:color="0000EE"/>
            </w:tcBorders>
          </w:tcPr>
          <w:p>
            <w:pPr>
              <w:spacing w:after="0"/>
              <w:rPr>
                <w:sz w:val="17"/>
                <w:szCs w:val="17"/>
                <w:color w:val="auto"/>
              </w:rPr>
            </w:pPr>
          </w:p>
        </w:tc>
        <w:tc>
          <w:tcPr>
            <w:tcW w:w="29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80" w:type="dxa"/>
            <w:vAlign w:val="bottom"/>
          </w:tcPr>
          <w:p>
            <w:pPr>
              <w:spacing w:after="0"/>
              <w:rPr>
                <w:sz w:val="17"/>
                <w:szCs w:val="17"/>
                <w:color w:val="auto"/>
              </w:rPr>
            </w:pPr>
          </w:p>
        </w:tc>
      </w:tr>
      <w:tr>
        <w:trPr>
          <w:trHeight w:val="196"/>
        </w:trPr>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4260" w:type="dxa"/>
            <w:vAlign w:val="bottom"/>
            <w:tcBorders>
              <w:bottom w:val="single" w:sz="8" w:color="0000EE"/>
            </w:tcBorders>
            <w:gridSpan w:val="9"/>
          </w:tcPr>
          <w:p>
            <w:pPr>
              <w:spacing w:after="0" w:line="196" w:lineRule="exact"/>
              <w:rPr>
                <w:rFonts w:ascii="Arial" w:cs="Arial" w:eastAsia="Arial" w:hAnsi="Arial"/>
                <w:sz w:val="18"/>
                <w:szCs w:val="18"/>
                <w:color w:val="0000EE"/>
                <w:w w:val="90"/>
              </w:rPr>
            </w:pPr>
            <w:hyperlink w:anchor="page81">
              <w:r>
                <w:rPr>
                  <w:rFonts w:ascii="Arial" w:cs="Arial" w:eastAsia="Arial" w:hAnsi="Arial"/>
                  <w:sz w:val="18"/>
                  <w:szCs w:val="18"/>
                  <w:color w:val="0000EE"/>
                  <w:w w:val="90"/>
                </w:rPr>
                <w:t>pursuant to Section 302 of the Sarbanes-Oxley Act of 2002</w:t>
              </w:r>
            </w:hyperlink>
          </w:p>
        </w:tc>
        <w:tc>
          <w:tcPr>
            <w:tcW w:w="780" w:type="dxa"/>
            <w:vAlign w:val="bottom"/>
            <w:gridSpan w:val="6"/>
          </w:tcPr>
          <w:p>
            <w:pPr>
              <w:spacing w:after="0"/>
              <w:rPr>
                <w:sz w:val="17"/>
                <w:szCs w:val="17"/>
                <w:color w:val="auto"/>
              </w:rPr>
            </w:pPr>
          </w:p>
        </w:tc>
        <w:tc>
          <w:tcPr>
            <w:tcW w:w="10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29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80" w:type="dxa"/>
            <w:vAlign w:val="bottom"/>
          </w:tcPr>
          <w:p>
            <w:pPr>
              <w:spacing w:after="0"/>
              <w:rPr>
                <w:sz w:val="17"/>
                <w:szCs w:val="17"/>
                <w:color w:val="auto"/>
              </w:rPr>
            </w:pPr>
          </w:p>
        </w:tc>
      </w:tr>
      <w:tr>
        <w:trPr>
          <w:trHeight w:val="196"/>
        </w:trPr>
        <w:tc>
          <w:tcPr>
            <w:tcW w:w="500" w:type="dxa"/>
            <w:vAlign w:val="bottom"/>
            <w:gridSpan w:val="3"/>
          </w:tcPr>
          <w:p>
            <w:pPr>
              <w:jc w:val="center"/>
              <w:ind w:left="90"/>
              <w:spacing w:after="0" w:line="196" w:lineRule="exact"/>
              <w:rPr>
                <w:rFonts w:ascii="Arial" w:cs="Arial" w:eastAsia="Arial" w:hAnsi="Arial"/>
                <w:sz w:val="18"/>
                <w:szCs w:val="18"/>
                <w:color w:val="0000EE"/>
                <w:w w:val="91"/>
              </w:rPr>
            </w:pPr>
            <w:hyperlink w:anchor="page82">
              <w:r>
                <w:rPr>
                  <w:rFonts w:ascii="Arial" w:cs="Arial" w:eastAsia="Arial" w:hAnsi="Arial"/>
                  <w:sz w:val="18"/>
                  <w:szCs w:val="18"/>
                  <w:color w:val="0000EE"/>
                  <w:w w:val="91"/>
                </w:rPr>
                <w:t>32.</w:t>
              </w:r>
              <w:r>
                <w:rPr>
                  <w:rFonts w:ascii="Arial" w:cs="Arial" w:eastAsia="Arial" w:hAnsi="Arial"/>
                  <w:sz w:val="18"/>
                  <w:szCs w:val="18"/>
                  <w:u w:val="single" w:color="auto"/>
                  <w:color w:val="0000EE"/>
                  <w:w w:val="91"/>
                </w:rPr>
                <w:t>1</w:t>
              </w:r>
            </w:hyperlink>
          </w:p>
        </w:tc>
        <w:tc>
          <w:tcPr>
            <w:tcW w:w="8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5040" w:type="dxa"/>
            <w:vAlign w:val="bottom"/>
            <w:gridSpan w:val="15"/>
          </w:tcPr>
          <w:p>
            <w:pPr>
              <w:spacing w:after="0" w:line="196" w:lineRule="exact"/>
              <w:rPr>
                <w:rFonts w:ascii="Arial" w:cs="Arial" w:eastAsia="Arial" w:hAnsi="Arial"/>
                <w:sz w:val="18"/>
                <w:szCs w:val="18"/>
                <w:color w:val="0000EE"/>
              </w:rPr>
            </w:pPr>
            <w:hyperlink w:anchor="page82">
              <w:r>
                <w:rPr>
                  <w:rFonts w:ascii="Arial" w:cs="Arial" w:eastAsia="Arial" w:hAnsi="Arial"/>
                  <w:sz w:val="18"/>
                  <w:szCs w:val="18"/>
                  <w:color w:val="0000EE"/>
                </w:rPr>
                <w:t>Certification of Chief Financial Officer of Harvard Bioscience,</w:t>
              </w:r>
            </w:hyperlink>
          </w:p>
        </w:tc>
        <w:tc>
          <w:tcPr>
            <w:tcW w:w="540" w:type="dxa"/>
            <w:vAlign w:val="bottom"/>
            <w:gridSpan w:val="2"/>
          </w:tcPr>
          <w:p>
            <w:pPr>
              <w:spacing w:after="0" w:line="196" w:lineRule="exact"/>
              <w:rPr>
                <w:rFonts w:ascii="Arial" w:cs="Arial" w:eastAsia="Arial" w:hAnsi="Arial"/>
                <w:sz w:val="18"/>
                <w:szCs w:val="18"/>
                <w:color w:val="0000EE"/>
              </w:rPr>
            </w:pPr>
            <w:hyperlink w:anchor="page82">
              <w:r>
                <w:rPr>
                  <w:rFonts w:ascii="Arial" w:cs="Arial" w:eastAsia="Arial" w:hAnsi="Arial"/>
                  <w:sz w:val="18"/>
                  <w:szCs w:val="18"/>
                  <w:color w:val="0000EE"/>
                </w:rPr>
                <w:t>*</w:t>
              </w:r>
            </w:hyperlink>
          </w:p>
        </w:tc>
        <w:tc>
          <w:tcPr>
            <w:tcW w:w="980" w:type="dxa"/>
            <w:vAlign w:val="bottom"/>
          </w:tcPr>
          <w:p>
            <w:pPr>
              <w:spacing w:after="0"/>
              <w:rPr>
                <w:sz w:val="17"/>
                <w:szCs w:val="17"/>
                <w:color w:val="auto"/>
              </w:rPr>
            </w:pPr>
          </w:p>
        </w:tc>
        <w:tc>
          <w:tcPr>
            <w:tcW w:w="29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80" w:type="dxa"/>
            <w:vAlign w:val="bottom"/>
          </w:tcPr>
          <w:p>
            <w:pPr>
              <w:spacing w:after="0"/>
              <w:rPr>
                <w:sz w:val="17"/>
                <w:szCs w:val="17"/>
                <w:color w:val="auto"/>
              </w:rPr>
            </w:pPr>
          </w:p>
        </w:tc>
      </w:tr>
      <w:tr>
        <w:trPr>
          <w:trHeight w:val="20"/>
        </w:trPr>
        <w:tc>
          <w:tcPr>
            <w:tcW w:w="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20" w:type="dxa"/>
            <w:vAlign w:val="bottom"/>
            <w:shd w:val="clear" w:color="auto" w:fill="0000EE"/>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3400" w:type="dxa"/>
            <w:vAlign w:val="bottom"/>
            <w:gridSpan w:val="5"/>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1100" w:type="dxa"/>
            <w:vAlign w:val="bottom"/>
            <w:gridSpan w:val="5"/>
            <w:shd w:val="clear" w:color="auto" w:fill="0000EE"/>
          </w:tcPr>
          <w:p>
            <w:pPr>
              <w:spacing w:after="0" w:line="20" w:lineRule="exact"/>
              <w:rPr>
                <w:sz w:val="1"/>
                <w:szCs w:val="1"/>
                <w:color w:val="auto"/>
              </w:rPr>
            </w:pPr>
          </w:p>
        </w:tc>
        <w:tc>
          <w:tcPr>
            <w:tcW w:w="80" w:type="dxa"/>
            <w:vAlign w:val="bottom"/>
            <w:gridSpan w:val="2"/>
          </w:tcPr>
          <w:p>
            <w:pPr>
              <w:spacing w:after="0" w:line="20" w:lineRule="exact"/>
              <w:rPr>
                <w:sz w:val="1"/>
                <w:szCs w:val="1"/>
                <w:color w:val="auto"/>
              </w:rPr>
            </w:pPr>
          </w:p>
        </w:tc>
        <w:tc>
          <w:tcPr>
            <w:tcW w:w="440" w:type="dxa"/>
            <w:vAlign w:val="bottom"/>
            <w:gridSpan w:val="2"/>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29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r>
        <w:trPr>
          <w:trHeight w:val="196"/>
        </w:trPr>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5040" w:type="dxa"/>
            <w:vAlign w:val="bottom"/>
            <w:gridSpan w:val="15"/>
          </w:tcPr>
          <w:p>
            <w:pPr>
              <w:spacing w:after="0" w:line="196" w:lineRule="exact"/>
              <w:rPr>
                <w:rFonts w:ascii="Arial" w:cs="Arial" w:eastAsia="Arial" w:hAnsi="Arial"/>
                <w:sz w:val="18"/>
                <w:szCs w:val="18"/>
                <w:color w:val="0000EE"/>
                <w:w w:val="97"/>
              </w:rPr>
            </w:pPr>
            <w:hyperlink w:anchor="page82">
              <w:r>
                <w:rPr>
                  <w:rFonts w:ascii="Arial" w:cs="Arial" w:eastAsia="Arial" w:hAnsi="Arial"/>
                  <w:sz w:val="18"/>
                  <w:szCs w:val="18"/>
                  <w:color w:val="0000EE"/>
                  <w:w w:val="97"/>
                </w:rPr>
                <w:t>Inc., pursuant to 18 U.S.C. Section 1350, as adopted pursuant to</w:t>
              </w:r>
            </w:hyperlink>
          </w:p>
        </w:tc>
        <w:tc>
          <w:tcPr>
            <w:tcW w:w="10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29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80" w:type="dxa"/>
            <w:vAlign w:val="bottom"/>
          </w:tcPr>
          <w:p>
            <w:pPr>
              <w:spacing w:after="0"/>
              <w:rPr>
                <w:sz w:val="17"/>
                <w:szCs w:val="17"/>
                <w:color w:val="auto"/>
              </w:rPr>
            </w:pPr>
          </w:p>
        </w:tc>
      </w:tr>
      <w:tr>
        <w:trPr>
          <w:trHeight w:val="196"/>
        </w:trPr>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3420" w:type="dxa"/>
            <w:vAlign w:val="bottom"/>
            <w:tcBorders>
              <w:top w:val="single" w:sz="8" w:color="0000EE"/>
              <w:bottom w:val="single" w:sz="8" w:color="0000EE"/>
            </w:tcBorders>
            <w:gridSpan w:val="6"/>
          </w:tcPr>
          <w:p>
            <w:pPr>
              <w:spacing w:after="0" w:line="196" w:lineRule="exact"/>
              <w:rPr>
                <w:rFonts w:ascii="Arial" w:cs="Arial" w:eastAsia="Arial" w:hAnsi="Arial"/>
                <w:sz w:val="18"/>
                <w:szCs w:val="18"/>
                <w:color w:val="0000EE"/>
                <w:w w:val="90"/>
              </w:rPr>
            </w:pPr>
            <w:hyperlink w:anchor="page82">
              <w:r>
                <w:rPr>
                  <w:rFonts w:ascii="Arial" w:cs="Arial" w:eastAsia="Arial" w:hAnsi="Arial"/>
                  <w:sz w:val="18"/>
                  <w:szCs w:val="18"/>
                  <w:color w:val="0000EE"/>
                  <w:w w:val="90"/>
                </w:rPr>
                <w:t>Section 906 of the Sarbanes-Oxley Act of 2002</w:t>
              </w:r>
            </w:hyperlink>
          </w:p>
        </w:tc>
        <w:tc>
          <w:tcPr>
            <w:tcW w:w="1180" w:type="dxa"/>
            <w:vAlign w:val="bottom"/>
            <w:tcBorders>
              <w:top w:val="single" w:sz="8" w:color="0000EE"/>
            </w:tcBorders>
            <w:gridSpan w:val="7"/>
          </w:tcPr>
          <w:p>
            <w:pPr>
              <w:spacing w:after="0"/>
              <w:rPr>
                <w:sz w:val="17"/>
                <w:szCs w:val="17"/>
                <w:color w:val="auto"/>
              </w:rPr>
            </w:pPr>
          </w:p>
        </w:tc>
        <w:tc>
          <w:tcPr>
            <w:tcW w:w="440" w:type="dxa"/>
            <w:vAlign w:val="bottom"/>
            <w:gridSpan w:val="2"/>
          </w:tcPr>
          <w:p>
            <w:pPr>
              <w:spacing w:after="0"/>
              <w:rPr>
                <w:sz w:val="17"/>
                <w:szCs w:val="17"/>
                <w:color w:val="auto"/>
              </w:rPr>
            </w:pPr>
          </w:p>
        </w:tc>
        <w:tc>
          <w:tcPr>
            <w:tcW w:w="10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29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80" w:type="dxa"/>
            <w:vAlign w:val="bottom"/>
          </w:tcPr>
          <w:p>
            <w:pPr>
              <w:spacing w:after="0"/>
              <w:rPr>
                <w:sz w:val="17"/>
                <w:szCs w:val="17"/>
                <w:color w:val="auto"/>
              </w:rPr>
            </w:pPr>
          </w:p>
        </w:tc>
      </w:tr>
      <w:tr>
        <w:trPr>
          <w:trHeight w:val="196"/>
        </w:trPr>
        <w:tc>
          <w:tcPr>
            <w:tcW w:w="500" w:type="dxa"/>
            <w:vAlign w:val="bottom"/>
            <w:gridSpan w:val="3"/>
          </w:tcPr>
          <w:p>
            <w:pPr>
              <w:jc w:val="center"/>
              <w:ind w:left="90"/>
              <w:spacing w:after="0" w:line="196" w:lineRule="exact"/>
              <w:rPr>
                <w:rFonts w:ascii="Arial" w:cs="Arial" w:eastAsia="Arial" w:hAnsi="Arial"/>
                <w:sz w:val="18"/>
                <w:szCs w:val="18"/>
                <w:color w:val="0000EE"/>
                <w:w w:val="91"/>
              </w:rPr>
            </w:pPr>
            <w:hyperlink w:anchor="page83">
              <w:r>
                <w:rPr>
                  <w:rFonts w:ascii="Arial" w:cs="Arial" w:eastAsia="Arial" w:hAnsi="Arial"/>
                  <w:sz w:val="18"/>
                  <w:szCs w:val="18"/>
                  <w:color w:val="0000EE"/>
                  <w:w w:val="91"/>
                </w:rPr>
                <w:t>32.</w:t>
              </w:r>
              <w:r>
                <w:rPr>
                  <w:rFonts w:ascii="Arial" w:cs="Arial" w:eastAsia="Arial" w:hAnsi="Arial"/>
                  <w:sz w:val="18"/>
                  <w:szCs w:val="18"/>
                  <w:u w:val="single" w:color="auto"/>
                  <w:color w:val="0000EE"/>
                  <w:w w:val="91"/>
                </w:rPr>
                <w:t>2</w:t>
              </w:r>
            </w:hyperlink>
          </w:p>
        </w:tc>
        <w:tc>
          <w:tcPr>
            <w:tcW w:w="8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5040" w:type="dxa"/>
            <w:vAlign w:val="bottom"/>
            <w:gridSpan w:val="15"/>
          </w:tcPr>
          <w:p>
            <w:pPr>
              <w:spacing w:after="0" w:line="196" w:lineRule="exact"/>
              <w:rPr>
                <w:rFonts w:ascii="Arial" w:cs="Arial" w:eastAsia="Arial" w:hAnsi="Arial"/>
                <w:sz w:val="18"/>
                <w:szCs w:val="18"/>
                <w:color w:val="0000EE"/>
              </w:rPr>
            </w:pPr>
            <w:hyperlink w:anchor="page83">
              <w:r>
                <w:rPr>
                  <w:rFonts w:ascii="Arial" w:cs="Arial" w:eastAsia="Arial" w:hAnsi="Arial"/>
                  <w:sz w:val="18"/>
                  <w:szCs w:val="18"/>
                  <w:color w:val="0000EE"/>
                </w:rPr>
                <w:t>Certification of Chief Executive Officer of Harvard Bioscience,</w:t>
              </w:r>
            </w:hyperlink>
          </w:p>
        </w:tc>
        <w:tc>
          <w:tcPr>
            <w:tcW w:w="540" w:type="dxa"/>
            <w:vAlign w:val="bottom"/>
            <w:gridSpan w:val="2"/>
          </w:tcPr>
          <w:p>
            <w:pPr>
              <w:spacing w:after="0" w:line="196" w:lineRule="exact"/>
              <w:rPr>
                <w:rFonts w:ascii="Arial" w:cs="Arial" w:eastAsia="Arial" w:hAnsi="Arial"/>
                <w:sz w:val="18"/>
                <w:szCs w:val="18"/>
                <w:color w:val="0000EE"/>
              </w:rPr>
            </w:pPr>
            <w:hyperlink w:anchor="page83">
              <w:r>
                <w:rPr>
                  <w:rFonts w:ascii="Arial" w:cs="Arial" w:eastAsia="Arial" w:hAnsi="Arial"/>
                  <w:sz w:val="18"/>
                  <w:szCs w:val="18"/>
                  <w:color w:val="0000EE"/>
                </w:rPr>
                <w:t>*</w:t>
              </w:r>
            </w:hyperlink>
          </w:p>
        </w:tc>
        <w:tc>
          <w:tcPr>
            <w:tcW w:w="980" w:type="dxa"/>
            <w:vAlign w:val="bottom"/>
          </w:tcPr>
          <w:p>
            <w:pPr>
              <w:spacing w:after="0"/>
              <w:rPr>
                <w:sz w:val="17"/>
                <w:szCs w:val="17"/>
                <w:color w:val="auto"/>
              </w:rPr>
            </w:pPr>
          </w:p>
        </w:tc>
        <w:tc>
          <w:tcPr>
            <w:tcW w:w="29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80" w:type="dxa"/>
            <w:vAlign w:val="bottom"/>
          </w:tcPr>
          <w:p>
            <w:pPr>
              <w:spacing w:after="0"/>
              <w:rPr>
                <w:sz w:val="17"/>
                <w:szCs w:val="17"/>
                <w:color w:val="auto"/>
              </w:rPr>
            </w:pPr>
          </w:p>
        </w:tc>
      </w:tr>
      <w:tr>
        <w:trPr>
          <w:trHeight w:val="20"/>
        </w:trPr>
        <w:tc>
          <w:tcPr>
            <w:tcW w:w="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20" w:type="dxa"/>
            <w:vAlign w:val="bottom"/>
            <w:shd w:val="clear" w:color="auto" w:fill="0000EE"/>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3400" w:type="dxa"/>
            <w:vAlign w:val="bottom"/>
            <w:gridSpan w:val="5"/>
            <w:shd w:val="clear" w:color="auto" w:fill="0000EE"/>
          </w:tcPr>
          <w:p>
            <w:pPr>
              <w:spacing w:after="0" w:line="20" w:lineRule="exact"/>
              <w:rPr>
                <w:sz w:val="1"/>
                <w:szCs w:val="1"/>
                <w:color w:val="auto"/>
              </w:rPr>
            </w:pPr>
          </w:p>
        </w:tc>
        <w:tc>
          <w:tcPr>
            <w:tcW w:w="1180" w:type="dxa"/>
            <w:vAlign w:val="bottom"/>
            <w:gridSpan w:val="7"/>
            <w:shd w:val="clear" w:color="auto" w:fill="0000EE"/>
          </w:tcPr>
          <w:p>
            <w:pPr>
              <w:spacing w:after="0" w:line="20" w:lineRule="exact"/>
              <w:rPr>
                <w:sz w:val="1"/>
                <w:szCs w:val="1"/>
                <w:color w:val="auto"/>
              </w:rPr>
            </w:pPr>
          </w:p>
        </w:tc>
        <w:tc>
          <w:tcPr>
            <w:tcW w:w="460" w:type="dxa"/>
            <w:vAlign w:val="bottom"/>
            <w:gridSpan w:val="3"/>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29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r>
        <w:trPr>
          <w:trHeight w:val="196"/>
        </w:trPr>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5040" w:type="dxa"/>
            <w:vAlign w:val="bottom"/>
            <w:gridSpan w:val="15"/>
          </w:tcPr>
          <w:p>
            <w:pPr>
              <w:spacing w:after="0" w:line="196" w:lineRule="exact"/>
              <w:rPr>
                <w:rFonts w:ascii="Arial" w:cs="Arial" w:eastAsia="Arial" w:hAnsi="Arial"/>
                <w:sz w:val="18"/>
                <w:szCs w:val="18"/>
                <w:color w:val="0000EE"/>
                <w:w w:val="97"/>
              </w:rPr>
            </w:pPr>
            <w:hyperlink w:anchor="page83">
              <w:r>
                <w:rPr>
                  <w:rFonts w:ascii="Arial" w:cs="Arial" w:eastAsia="Arial" w:hAnsi="Arial"/>
                  <w:sz w:val="18"/>
                  <w:szCs w:val="18"/>
                  <w:color w:val="0000EE"/>
                  <w:w w:val="97"/>
                </w:rPr>
                <w:t>Inc., pursuant to 18 U.S.C. Section 1350, as adopted pursuant to</w:t>
              </w:r>
            </w:hyperlink>
          </w:p>
        </w:tc>
        <w:tc>
          <w:tcPr>
            <w:tcW w:w="10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29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80" w:type="dxa"/>
            <w:vAlign w:val="bottom"/>
          </w:tcPr>
          <w:p>
            <w:pPr>
              <w:spacing w:after="0"/>
              <w:rPr>
                <w:sz w:val="17"/>
                <w:szCs w:val="17"/>
                <w:color w:val="auto"/>
              </w:rPr>
            </w:pPr>
          </w:p>
        </w:tc>
      </w:tr>
      <w:tr>
        <w:trPr>
          <w:trHeight w:val="196"/>
        </w:trPr>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4600" w:type="dxa"/>
            <w:vAlign w:val="bottom"/>
            <w:tcBorders>
              <w:top w:val="single" w:sz="8" w:color="0000EE"/>
            </w:tcBorders>
            <w:gridSpan w:val="13"/>
          </w:tcPr>
          <w:p>
            <w:pPr>
              <w:spacing w:after="0" w:line="196" w:lineRule="exact"/>
              <w:rPr>
                <w:rFonts w:ascii="Arial" w:cs="Arial" w:eastAsia="Arial" w:hAnsi="Arial"/>
                <w:sz w:val="18"/>
                <w:szCs w:val="18"/>
                <w:color w:val="0000EE"/>
              </w:rPr>
            </w:pPr>
            <w:hyperlink w:anchor="page83">
              <w:r>
                <w:rPr>
                  <w:rFonts w:ascii="Arial" w:cs="Arial" w:eastAsia="Arial" w:hAnsi="Arial"/>
                  <w:sz w:val="18"/>
                  <w:szCs w:val="18"/>
                  <w:color w:val="0000EE"/>
                </w:rPr>
                <w:t>Section 906 of the Sarbanes-Oxley Act of 2002</w:t>
              </w:r>
            </w:hyperlink>
          </w:p>
        </w:tc>
        <w:tc>
          <w:tcPr>
            <w:tcW w:w="440" w:type="dxa"/>
            <w:vAlign w:val="bottom"/>
            <w:gridSpan w:val="2"/>
          </w:tcPr>
          <w:p>
            <w:pPr>
              <w:spacing w:after="0"/>
              <w:rPr>
                <w:sz w:val="17"/>
                <w:szCs w:val="17"/>
                <w:color w:val="auto"/>
              </w:rPr>
            </w:pPr>
          </w:p>
        </w:tc>
        <w:tc>
          <w:tcPr>
            <w:tcW w:w="10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29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80" w:type="dxa"/>
            <w:vAlign w:val="bottom"/>
          </w:tcPr>
          <w:p>
            <w:pPr>
              <w:spacing w:after="0"/>
              <w:rPr>
                <w:sz w:val="17"/>
                <w:szCs w:val="17"/>
                <w:color w:val="auto"/>
              </w:rPr>
            </w:pPr>
          </w:p>
        </w:tc>
      </w:tr>
      <w:tr>
        <w:trPr>
          <w:trHeight w:val="222"/>
        </w:trPr>
        <w:tc>
          <w:tcPr>
            <w:tcW w:w="1140" w:type="dxa"/>
            <w:vAlign w:val="bottom"/>
            <w:gridSpan w:val="5"/>
          </w:tcPr>
          <w:p>
            <w:pPr>
              <w:jc w:val="center"/>
              <w:ind w:right="460"/>
              <w:spacing w:after="0"/>
              <w:rPr>
                <w:sz w:val="20"/>
                <w:szCs w:val="20"/>
                <w:color w:val="auto"/>
              </w:rPr>
            </w:pPr>
            <w:r>
              <w:rPr>
                <w:rFonts w:ascii="Arial" w:cs="Arial" w:eastAsia="Arial" w:hAnsi="Arial"/>
                <w:sz w:val="18"/>
                <w:szCs w:val="18"/>
                <w:color w:val="auto"/>
                <w:w w:val="92"/>
              </w:rPr>
              <w:t>101.INS</w:t>
            </w:r>
          </w:p>
        </w:tc>
        <w:tc>
          <w:tcPr>
            <w:tcW w:w="3400" w:type="dxa"/>
            <w:vAlign w:val="bottom"/>
            <w:tcBorders>
              <w:top w:val="single" w:sz="8" w:color="0000EE"/>
            </w:tcBorders>
            <w:gridSpan w:val="5"/>
          </w:tcPr>
          <w:p>
            <w:pPr>
              <w:spacing w:after="0"/>
              <w:rPr>
                <w:sz w:val="20"/>
                <w:szCs w:val="20"/>
                <w:color w:val="auto"/>
              </w:rPr>
            </w:pPr>
            <w:r>
              <w:rPr>
                <w:rFonts w:ascii="Arial" w:cs="Arial" w:eastAsia="Arial" w:hAnsi="Arial"/>
                <w:sz w:val="18"/>
                <w:szCs w:val="18"/>
                <w:color w:val="auto"/>
              </w:rPr>
              <w:t>Inline XBRL Instance Document</w:t>
            </w:r>
          </w:p>
        </w:tc>
        <w:tc>
          <w:tcPr>
            <w:tcW w:w="1640" w:type="dxa"/>
            <w:vAlign w:val="bottom"/>
            <w:gridSpan w:val="10"/>
          </w:tcPr>
          <w:p>
            <w:pPr>
              <w:spacing w:after="0"/>
              <w:rPr>
                <w:sz w:val="19"/>
                <w:szCs w:val="19"/>
                <w:color w:val="auto"/>
              </w:rPr>
            </w:pPr>
          </w:p>
        </w:tc>
        <w:tc>
          <w:tcPr>
            <w:tcW w:w="100" w:type="dxa"/>
            <w:vAlign w:val="bottom"/>
          </w:tcPr>
          <w:p>
            <w:pPr>
              <w:spacing w:after="0"/>
              <w:rPr>
                <w:sz w:val="19"/>
                <w:szCs w:val="19"/>
                <w:color w:val="auto"/>
              </w:rPr>
            </w:pPr>
          </w:p>
        </w:tc>
        <w:tc>
          <w:tcPr>
            <w:tcW w:w="4660" w:type="dxa"/>
            <w:vAlign w:val="bottom"/>
            <w:gridSpan w:val="5"/>
          </w:tcPr>
          <w:p>
            <w:pPr>
              <w:spacing w:after="0"/>
              <w:rPr>
                <w:sz w:val="20"/>
                <w:szCs w:val="20"/>
                <w:color w:val="auto"/>
              </w:rPr>
            </w:pPr>
            <w:r>
              <w:rPr>
                <w:rFonts w:ascii="Arial" w:cs="Arial" w:eastAsia="Arial" w:hAnsi="Arial"/>
                <w:sz w:val="18"/>
                <w:szCs w:val="18"/>
                <w:color w:val="auto"/>
              </w:rPr>
              <w:t>Filed with this report</w:t>
            </w:r>
          </w:p>
        </w:tc>
      </w:tr>
      <w:tr>
        <w:trPr>
          <w:trHeight w:val="216"/>
        </w:trPr>
        <w:tc>
          <w:tcPr>
            <w:tcW w:w="1140" w:type="dxa"/>
            <w:vAlign w:val="bottom"/>
            <w:gridSpan w:val="5"/>
          </w:tcPr>
          <w:p>
            <w:pPr>
              <w:jc w:val="center"/>
              <w:ind w:right="480"/>
              <w:spacing w:after="0"/>
              <w:rPr>
                <w:sz w:val="20"/>
                <w:szCs w:val="20"/>
                <w:color w:val="auto"/>
              </w:rPr>
            </w:pPr>
            <w:r>
              <w:rPr>
                <w:rFonts w:ascii="Arial" w:cs="Arial" w:eastAsia="Arial" w:hAnsi="Arial"/>
                <w:sz w:val="18"/>
                <w:szCs w:val="18"/>
                <w:color w:val="auto"/>
                <w:w w:val="90"/>
              </w:rPr>
              <w:t>101.SCH</w:t>
            </w:r>
          </w:p>
        </w:tc>
        <w:tc>
          <w:tcPr>
            <w:tcW w:w="5040" w:type="dxa"/>
            <w:vAlign w:val="bottom"/>
            <w:gridSpan w:val="15"/>
          </w:tcPr>
          <w:p>
            <w:pPr>
              <w:spacing w:after="0"/>
              <w:rPr>
                <w:sz w:val="20"/>
                <w:szCs w:val="20"/>
                <w:color w:val="auto"/>
              </w:rPr>
            </w:pPr>
            <w:r>
              <w:rPr>
                <w:rFonts w:ascii="Arial" w:cs="Arial" w:eastAsia="Arial" w:hAnsi="Arial"/>
                <w:sz w:val="18"/>
                <w:szCs w:val="18"/>
                <w:color w:val="auto"/>
              </w:rPr>
              <w:t>Inline XBRL Taxonomy Extension Schema Document</w:t>
            </w:r>
          </w:p>
        </w:tc>
        <w:tc>
          <w:tcPr>
            <w:tcW w:w="100" w:type="dxa"/>
            <w:vAlign w:val="bottom"/>
          </w:tcPr>
          <w:p>
            <w:pPr>
              <w:spacing w:after="0"/>
              <w:rPr>
                <w:sz w:val="18"/>
                <w:szCs w:val="18"/>
                <w:color w:val="auto"/>
              </w:rPr>
            </w:pPr>
          </w:p>
        </w:tc>
        <w:tc>
          <w:tcPr>
            <w:tcW w:w="4660" w:type="dxa"/>
            <w:vAlign w:val="bottom"/>
            <w:gridSpan w:val="5"/>
          </w:tcPr>
          <w:p>
            <w:pPr>
              <w:spacing w:after="0"/>
              <w:rPr>
                <w:sz w:val="20"/>
                <w:szCs w:val="20"/>
                <w:color w:val="auto"/>
              </w:rPr>
            </w:pPr>
            <w:r>
              <w:rPr>
                <w:rFonts w:ascii="Arial" w:cs="Arial" w:eastAsia="Arial" w:hAnsi="Arial"/>
                <w:sz w:val="18"/>
                <w:szCs w:val="18"/>
                <w:color w:val="auto"/>
              </w:rPr>
              <w:t>Filed with this report</w:t>
            </w:r>
          </w:p>
        </w:tc>
      </w:tr>
      <w:tr>
        <w:trPr>
          <w:trHeight w:val="216"/>
        </w:trPr>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5040" w:type="dxa"/>
            <w:vAlign w:val="bottom"/>
            <w:gridSpan w:val="15"/>
          </w:tcPr>
          <w:p>
            <w:pPr>
              <w:spacing w:after="0"/>
              <w:rPr>
                <w:sz w:val="20"/>
                <w:szCs w:val="20"/>
                <w:color w:val="auto"/>
              </w:rPr>
            </w:pPr>
            <w:r>
              <w:rPr>
                <w:rFonts w:ascii="Arial" w:cs="Arial" w:eastAsia="Arial" w:hAnsi="Arial"/>
                <w:sz w:val="18"/>
                <w:szCs w:val="18"/>
                <w:color w:val="auto"/>
              </w:rPr>
              <w:t>Inline  XBRL  Taxonomy  Extension  Calculation  Linkbase</w:t>
            </w:r>
          </w:p>
        </w:tc>
        <w:tc>
          <w:tcPr>
            <w:tcW w:w="10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29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0" w:type="dxa"/>
            <w:vAlign w:val="bottom"/>
          </w:tcPr>
          <w:p>
            <w:pPr>
              <w:spacing w:after="0"/>
              <w:rPr>
                <w:sz w:val="18"/>
                <w:szCs w:val="18"/>
                <w:color w:val="auto"/>
              </w:rPr>
            </w:pPr>
          </w:p>
        </w:tc>
      </w:tr>
      <w:tr>
        <w:trPr>
          <w:trHeight w:val="216"/>
        </w:trPr>
        <w:tc>
          <w:tcPr>
            <w:tcW w:w="1140" w:type="dxa"/>
            <w:vAlign w:val="bottom"/>
            <w:gridSpan w:val="5"/>
          </w:tcPr>
          <w:p>
            <w:pPr>
              <w:jc w:val="center"/>
              <w:ind w:right="460"/>
              <w:spacing w:after="0"/>
              <w:rPr>
                <w:sz w:val="20"/>
                <w:szCs w:val="20"/>
                <w:color w:val="auto"/>
              </w:rPr>
            </w:pPr>
            <w:r>
              <w:rPr>
                <w:rFonts w:ascii="Arial" w:cs="Arial" w:eastAsia="Arial" w:hAnsi="Arial"/>
                <w:sz w:val="18"/>
                <w:szCs w:val="18"/>
                <w:color w:val="auto"/>
                <w:w w:val="97"/>
              </w:rPr>
              <w:t>101.CAL</w:t>
            </w:r>
          </w:p>
        </w:tc>
        <w:tc>
          <w:tcPr>
            <w:tcW w:w="5040" w:type="dxa"/>
            <w:vAlign w:val="bottom"/>
            <w:gridSpan w:val="15"/>
          </w:tcPr>
          <w:p>
            <w:pPr>
              <w:spacing w:after="0"/>
              <w:rPr>
                <w:sz w:val="20"/>
                <w:szCs w:val="20"/>
                <w:color w:val="auto"/>
              </w:rPr>
            </w:pPr>
            <w:r>
              <w:rPr>
                <w:rFonts w:ascii="Arial" w:cs="Arial" w:eastAsia="Arial" w:hAnsi="Arial"/>
                <w:sz w:val="18"/>
                <w:szCs w:val="18"/>
                <w:color w:val="auto"/>
              </w:rPr>
              <w:t>Document</w:t>
            </w:r>
          </w:p>
        </w:tc>
        <w:tc>
          <w:tcPr>
            <w:tcW w:w="100" w:type="dxa"/>
            <w:vAlign w:val="bottom"/>
          </w:tcPr>
          <w:p>
            <w:pPr>
              <w:spacing w:after="0"/>
              <w:rPr>
                <w:sz w:val="18"/>
                <w:szCs w:val="18"/>
                <w:color w:val="auto"/>
              </w:rPr>
            </w:pPr>
          </w:p>
        </w:tc>
        <w:tc>
          <w:tcPr>
            <w:tcW w:w="4660" w:type="dxa"/>
            <w:vAlign w:val="bottom"/>
            <w:gridSpan w:val="5"/>
          </w:tcPr>
          <w:p>
            <w:pPr>
              <w:spacing w:after="0"/>
              <w:rPr>
                <w:sz w:val="20"/>
                <w:szCs w:val="20"/>
                <w:color w:val="auto"/>
              </w:rPr>
            </w:pPr>
            <w:r>
              <w:rPr>
                <w:rFonts w:ascii="Arial" w:cs="Arial" w:eastAsia="Arial" w:hAnsi="Arial"/>
                <w:sz w:val="18"/>
                <w:szCs w:val="18"/>
                <w:color w:val="auto"/>
              </w:rPr>
              <w:t>Filed with this report</w:t>
            </w:r>
          </w:p>
        </w:tc>
      </w:tr>
      <w:tr>
        <w:trPr>
          <w:trHeight w:val="216"/>
        </w:trPr>
        <w:tc>
          <w:tcPr>
            <w:tcW w:w="1140" w:type="dxa"/>
            <w:vAlign w:val="bottom"/>
            <w:gridSpan w:val="5"/>
          </w:tcPr>
          <w:p>
            <w:pPr>
              <w:jc w:val="center"/>
              <w:ind w:right="480"/>
              <w:spacing w:after="0"/>
              <w:rPr>
                <w:sz w:val="20"/>
                <w:szCs w:val="20"/>
                <w:color w:val="auto"/>
              </w:rPr>
            </w:pPr>
            <w:r>
              <w:rPr>
                <w:rFonts w:ascii="Arial" w:cs="Arial" w:eastAsia="Arial" w:hAnsi="Arial"/>
                <w:sz w:val="18"/>
                <w:szCs w:val="18"/>
                <w:color w:val="auto"/>
                <w:w w:val="92"/>
              </w:rPr>
              <w:t>101.DEF</w:t>
            </w:r>
          </w:p>
        </w:tc>
        <w:tc>
          <w:tcPr>
            <w:tcW w:w="5040" w:type="dxa"/>
            <w:vAlign w:val="bottom"/>
            <w:gridSpan w:val="15"/>
          </w:tcPr>
          <w:p>
            <w:pPr>
              <w:spacing w:after="0"/>
              <w:rPr>
                <w:sz w:val="20"/>
                <w:szCs w:val="20"/>
                <w:color w:val="auto"/>
              </w:rPr>
            </w:pPr>
            <w:r>
              <w:rPr>
                <w:rFonts w:ascii="Arial" w:cs="Arial" w:eastAsia="Arial" w:hAnsi="Arial"/>
                <w:sz w:val="18"/>
                <w:szCs w:val="18"/>
                <w:color w:val="auto"/>
                <w:w w:val="97"/>
              </w:rPr>
              <w:t>Inline XBRL Taxonomy Extension Definition Linkbase Document</w:t>
            </w:r>
          </w:p>
        </w:tc>
        <w:tc>
          <w:tcPr>
            <w:tcW w:w="100" w:type="dxa"/>
            <w:vAlign w:val="bottom"/>
          </w:tcPr>
          <w:p>
            <w:pPr>
              <w:spacing w:after="0"/>
              <w:rPr>
                <w:sz w:val="18"/>
                <w:szCs w:val="18"/>
                <w:color w:val="auto"/>
              </w:rPr>
            </w:pPr>
          </w:p>
        </w:tc>
        <w:tc>
          <w:tcPr>
            <w:tcW w:w="4660" w:type="dxa"/>
            <w:vAlign w:val="bottom"/>
            <w:gridSpan w:val="5"/>
          </w:tcPr>
          <w:p>
            <w:pPr>
              <w:spacing w:after="0"/>
              <w:rPr>
                <w:sz w:val="20"/>
                <w:szCs w:val="20"/>
                <w:color w:val="auto"/>
              </w:rPr>
            </w:pPr>
            <w:r>
              <w:rPr>
                <w:rFonts w:ascii="Arial" w:cs="Arial" w:eastAsia="Arial" w:hAnsi="Arial"/>
                <w:sz w:val="18"/>
                <w:szCs w:val="18"/>
                <w:color w:val="auto"/>
              </w:rPr>
              <w:t>Filed with this report</w:t>
            </w:r>
          </w:p>
        </w:tc>
      </w:tr>
      <w:tr>
        <w:trPr>
          <w:trHeight w:val="216"/>
        </w:trPr>
        <w:tc>
          <w:tcPr>
            <w:tcW w:w="1140" w:type="dxa"/>
            <w:vAlign w:val="bottom"/>
            <w:gridSpan w:val="5"/>
          </w:tcPr>
          <w:p>
            <w:pPr>
              <w:jc w:val="center"/>
              <w:ind w:right="460"/>
              <w:spacing w:after="0"/>
              <w:rPr>
                <w:sz w:val="20"/>
                <w:szCs w:val="20"/>
                <w:color w:val="auto"/>
              </w:rPr>
            </w:pPr>
            <w:r>
              <w:rPr>
                <w:rFonts w:ascii="Arial" w:cs="Arial" w:eastAsia="Arial" w:hAnsi="Arial"/>
                <w:sz w:val="18"/>
                <w:szCs w:val="18"/>
                <w:color w:val="auto"/>
                <w:w w:val="98"/>
              </w:rPr>
              <w:t>101.LAB</w:t>
            </w:r>
          </w:p>
        </w:tc>
        <w:tc>
          <w:tcPr>
            <w:tcW w:w="5040" w:type="dxa"/>
            <w:vAlign w:val="bottom"/>
            <w:gridSpan w:val="15"/>
          </w:tcPr>
          <w:p>
            <w:pPr>
              <w:spacing w:after="0"/>
              <w:rPr>
                <w:sz w:val="20"/>
                <w:szCs w:val="20"/>
                <w:color w:val="auto"/>
              </w:rPr>
            </w:pPr>
            <w:r>
              <w:rPr>
                <w:rFonts w:ascii="Arial" w:cs="Arial" w:eastAsia="Arial" w:hAnsi="Arial"/>
                <w:sz w:val="18"/>
                <w:szCs w:val="18"/>
                <w:color w:val="auto"/>
              </w:rPr>
              <w:t>Inline XBRL Taxonomy Extension Label Linkbase Document</w:t>
            </w:r>
          </w:p>
        </w:tc>
        <w:tc>
          <w:tcPr>
            <w:tcW w:w="100" w:type="dxa"/>
            <w:vAlign w:val="bottom"/>
          </w:tcPr>
          <w:p>
            <w:pPr>
              <w:spacing w:after="0"/>
              <w:rPr>
                <w:sz w:val="18"/>
                <w:szCs w:val="18"/>
                <w:color w:val="auto"/>
              </w:rPr>
            </w:pPr>
          </w:p>
        </w:tc>
        <w:tc>
          <w:tcPr>
            <w:tcW w:w="4660" w:type="dxa"/>
            <w:vAlign w:val="bottom"/>
            <w:gridSpan w:val="5"/>
          </w:tcPr>
          <w:p>
            <w:pPr>
              <w:spacing w:after="0"/>
              <w:rPr>
                <w:sz w:val="20"/>
                <w:szCs w:val="20"/>
                <w:color w:val="auto"/>
              </w:rPr>
            </w:pPr>
            <w:r>
              <w:rPr>
                <w:rFonts w:ascii="Arial" w:cs="Arial" w:eastAsia="Arial" w:hAnsi="Arial"/>
                <w:sz w:val="18"/>
                <w:szCs w:val="18"/>
                <w:color w:val="auto"/>
              </w:rPr>
              <w:t>Filed with this report</w:t>
            </w:r>
          </w:p>
        </w:tc>
      </w:tr>
      <w:tr>
        <w:trPr>
          <w:trHeight w:val="216"/>
        </w:trPr>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5040" w:type="dxa"/>
            <w:vAlign w:val="bottom"/>
            <w:gridSpan w:val="15"/>
          </w:tcPr>
          <w:p>
            <w:pPr>
              <w:spacing w:after="0"/>
              <w:rPr>
                <w:sz w:val="20"/>
                <w:szCs w:val="20"/>
                <w:color w:val="auto"/>
              </w:rPr>
            </w:pPr>
            <w:r>
              <w:rPr>
                <w:rFonts w:ascii="Arial" w:cs="Arial" w:eastAsia="Arial" w:hAnsi="Arial"/>
                <w:sz w:val="18"/>
                <w:szCs w:val="18"/>
                <w:color w:val="auto"/>
              </w:rPr>
              <w:t>Inline  XBRL  Taxonomy  Extension  Presentation  Linkbase</w:t>
            </w:r>
          </w:p>
        </w:tc>
        <w:tc>
          <w:tcPr>
            <w:tcW w:w="10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29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0" w:type="dxa"/>
            <w:vAlign w:val="bottom"/>
          </w:tcPr>
          <w:p>
            <w:pPr>
              <w:spacing w:after="0"/>
              <w:rPr>
                <w:sz w:val="18"/>
                <w:szCs w:val="18"/>
                <w:color w:val="auto"/>
              </w:rPr>
            </w:pPr>
          </w:p>
        </w:tc>
      </w:tr>
      <w:tr>
        <w:trPr>
          <w:trHeight w:val="230"/>
        </w:trPr>
        <w:tc>
          <w:tcPr>
            <w:tcW w:w="1140" w:type="dxa"/>
            <w:vAlign w:val="bottom"/>
            <w:gridSpan w:val="5"/>
          </w:tcPr>
          <w:p>
            <w:pPr>
              <w:jc w:val="center"/>
              <w:ind w:right="460"/>
              <w:spacing w:after="0"/>
              <w:rPr>
                <w:sz w:val="20"/>
                <w:szCs w:val="20"/>
                <w:color w:val="auto"/>
              </w:rPr>
            </w:pPr>
            <w:r>
              <w:rPr>
                <w:rFonts w:ascii="Arial" w:cs="Arial" w:eastAsia="Arial" w:hAnsi="Arial"/>
                <w:sz w:val="18"/>
                <w:szCs w:val="18"/>
                <w:color w:val="auto"/>
                <w:w w:val="88"/>
              </w:rPr>
              <w:t>101.PRE</w:t>
            </w:r>
          </w:p>
        </w:tc>
        <w:tc>
          <w:tcPr>
            <w:tcW w:w="5040" w:type="dxa"/>
            <w:vAlign w:val="bottom"/>
            <w:gridSpan w:val="15"/>
          </w:tcPr>
          <w:p>
            <w:pPr>
              <w:spacing w:after="0"/>
              <w:rPr>
                <w:sz w:val="20"/>
                <w:szCs w:val="20"/>
                <w:color w:val="auto"/>
              </w:rPr>
            </w:pPr>
            <w:r>
              <w:rPr>
                <w:rFonts w:ascii="Arial" w:cs="Arial" w:eastAsia="Arial" w:hAnsi="Arial"/>
                <w:sz w:val="18"/>
                <w:szCs w:val="18"/>
                <w:color w:val="auto"/>
              </w:rPr>
              <w:t>Document</w:t>
            </w:r>
          </w:p>
        </w:tc>
        <w:tc>
          <w:tcPr>
            <w:tcW w:w="100" w:type="dxa"/>
            <w:vAlign w:val="bottom"/>
          </w:tcPr>
          <w:p>
            <w:pPr>
              <w:spacing w:after="0"/>
              <w:rPr>
                <w:sz w:val="20"/>
                <w:szCs w:val="20"/>
                <w:color w:val="auto"/>
              </w:rPr>
            </w:pPr>
          </w:p>
        </w:tc>
        <w:tc>
          <w:tcPr>
            <w:tcW w:w="4660" w:type="dxa"/>
            <w:vAlign w:val="bottom"/>
            <w:gridSpan w:val="5"/>
          </w:tcPr>
          <w:p>
            <w:pPr>
              <w:spacing w:after="0"/>
              <w:rPr>
                <w:sz w:val="20"/>
                <w:szCs w:val="20"/>
                <w:color w:val="auto"/>
              </w:rPr>
            </w:pPr>
            <w:r>
              <w:rPr>
                <w:rFonts w:ascii="Arial" w:cs="Arial" w:eastAsia="Arial" w:hAnsi="Arial"/>
                <w:sz w:val="18"/>
                <w:szCs w:val="18"/>
                <w:color w:val="auto"/>
              </w:rPr>
              <w:t>Filed with this report</w:t>
            </w:r>
          </w:p>
        </w:tc>
      </w:tr>
    </w:tbl>
    <w:p>
      <w:pPr>
        <w:ind w:left="1380" w:hanging="940"/>
        <w:spacing w:after="0"/>
        <w:tabs>
          <w:tab w:leader="none" w:pos="1380" w:val="left"/>
        </w:tabs>
        <w:numPr>
          <w:ilvl w:val="1"/>
          <w:numId w:val="28"/>
        </w:numPr>
        <w:rPr>
          <w:rFonts w:ascii="Arial" w:cs="Arial" w:eastAsia="Arial" w:hAnsi="Arial"/>
          <w:sz w:val="16"/>
          <w:szCs w:val="16"/>
          <w:color w:val="auto"/>
        </w:rPr>
      </w:pPr>
      <w:r>
        <w:rPr>
          <w:rFonts w:ascii="Arial" w:cs="Arial" w:eastAsia="Arial" w:hAnsi="Arial"/>
          <w:sz w:val="16"/>
          <w:szCs w:val="16"/>
          <w:color w:val="auto"/>
        </w:rPr>
        <w:t>Cover Page Interactive Data File (formatted as Inline XBRL with applicable taxonomy extension information contained in Exhibits 101)</w:t>
      </w:r>
    </w:p>
    <w:p>
      <w:pPr>
        <w:spacing w:after="0" w:line="233" w:lineRule="exact"/>
        <w:rPr>
          <w:rFonts w:ascii="Arial" w:cs="Arial" w:eastAsia="Arial" w:hAnsi="Arial"/>
          <w:sz w:val="16"/>
          <w:szCs w:val="16"/>
          <w:color w:val="auto"/>
        </w:rPr>
      </w:pPr>
    </w:p>
    <w:p>
      <w:pPr>
        <w:ind w:left="660" w:hanging="652"/>
        <w:spacing w:after="0"/>
        <w:tabs>
          <w:tab w:leader="none" w:pos="660" w:val="left"/>
        </w:tabs>
        <w:numPr>
          <w:ilvl w:val="0"/>
          <w:numId w:val="28"/>
        </w:numPr>
        <w:rPr>
          <w:rFonts w:ascii="Arial" w:cs="Arial" w:eastAsia="Arial" w:hAnsi="Arial"/>
          <w:sz w:val="17"/>
          <w:szCs w:val="17"/>
          <w:color w:val="auto"/>
        </w:rPr>
      </w:pPr>
      <w:r>
        <w:rPr>
          <w:rFonts w:ascii="Arial" w:cs="Arial" w:eastAsia="Arial" w:hAnsi="Arial"/>
          <w:sz w:val="17"/>
          <w:szCs w:val="17"/>
          <w:color w:val="auto"/>
        </w:rPr>
        <w:t>Certain portions of this document have been granted confidential treatment by the Securities and Exchange Commission (the Commission).</w:t>
      </w:r>
    </w:p>
    <w:p>
      <w:pPr>
        <w:spacing w:after="0" w:line="35" w:lineRule="exact"/>
        <w:rPr>
          <w:sz w:val="20"/>
          <w:szCs w:val="20"/>
          <w:color w:val="auto"/>
        </w:rPr>
      </w:pPr>
    </w:p>
    <w:p>
      <w:pPr>
        <w:ind w:left="660" w:hanging="652"/>
        <w:spacing w:after="0"/>
        <w:tabs>
          <w:tab w:leader="none" w:pos="660" w:val="left"/>
        </w:tabs>
        <w:numPr>
          <w:ilvl w:val="0"/>
          <w:numId w:val="29"/>
        </w:numPr>
        <w:rPr>
          <w:rFonts w:ascii="Arial" w:cs="Arial" w:eastAsia="Arial" w:hAnsi="Arial"/>
          <w:sz w:val="17"/>
          <w:szCs w:val="17"/>
          <w:color w:val="auto"/>
        </w:rPr>
      </w:pPr>
      <w:r>
        <w:rPr>
          <w:rFonts w:ascii="Arial" w:cs="Arial" w:eastAsia="Arial" w:hAnsi="Arial"/>
          <w:sz w:val="17"/>
          <w:szCs w:val="17"/>
          <w:color w:val="auto"/>
        </w:rPr>
        <w:t>This certification shall not be deemed “filed” for purposes of Section 18 of the Securities Exchange Act of 1934, or otherwise subject to the</w:t>
      </w:r>
    </w:p>
    <w:p>
      <w:pPr>
        <w:spacing w:after="0" w:line="21" w:lineRule="exact"/>
        <w:rPr>
          <w:sz w:val="20"/>
          <w:szCs w:val="20"/>
          <w:color w:val="auto"/>
        </w:rPr>
      </w:pPr>
    </w:p>
    <w:p>
      <w:pPr>
        <w:ind w:left="660" w:right="320"/>
        <w:spacing w:after="0" w:line="250" w:lineRule="auto"/>
        <w:rPr>
          <w:sz w:val="20"/>
          <w:szCs w:val="20"/>
          <w:color w:val="auto"/>
        </w:rPr>
      </w:pPr>
      <w:r>
        <w:rPr>
          <w:rFonts w:ascii="Arial" w:cs="Arial" w:eastAsia="Arial" w:hAnsi="Arial"/>
          <w:sz w:val="18"/>
          <w:szCs w:val="18"/>
          <w:color w:val="auto"/>
        </w:rPr>
        <w:t>liability of that section, nor shall it be deemed to be incorporated by reference into any filing under the Securities Act of 1933 or the Securities Exchange Act of 1934</w:t>
      </w:r>
    </w:p>
    <w:p>
      <w:pPr>
        <w:spacing w:after="0" w:line="1" w:lineRule="exact"/>
        <w:rPr>
          <w:sz w:val="20"/>
          <w:szCs w:val="20"/>
          <w:color w:val="auto"/>
        </w:rPr>
      </w:pPr>
    </w:p>
    <w:p>
      <w:pPr>
        <w:ind w:left="660" w:hanging="652"/>
        <w:spacing w:after="0"/>
        <w:tabs>
          <w:tab w:leader="none" w:pos="660" w:val="left"/>
        </w:tabs>
        <w:numPr>
          <w:ilvl w:val="0"/>
          <w:numId w:val="30"/>
        </w:numPr>
        <w:rPr>
          <w:rFonts w:ascii="Arial" w:cs="Arial" w:eastAsia="Arial" w:hAnsi="Arial"/>
          <w:sz w:val="18"/>
          <w:szCs w:val="18"/>
          <w:color w:val="auto"/>
        </w:rPr>
      </w:pPr>
      <w:r>
        <w:rPr>
          <w:rFonts w:ascii="Arial" w:cs="Arial" w:eastAsia="Arial" w:hAnsi="Arial"/>
          <w:sz w:val="18"/>
          <w:szCs w:val="18"/>
          <w:color w:val="auto"/>
        </w:rPr>
        <w:t>Management contract or compensatory plan or arrangement.</w:t>
      </w:r>
    </w:p>
    <w:p>
      <w:pPr>
        <w:spacing w:after="0" w:line="9" w:lineRule="exact"/>
        <w:rPr>
          <w:sz w:val="20"/>
          <w:szCs w:val="20"/>
          <w:color w:val="auto"/>
        </w:rPr>
      </w:pPr>
    </w:p>
    <w:p>
      <w:pPr>
        <w:ind w:left="660" w:right="500" w:hanging="652"/>
        <w:spacing w:after="0" w:line="260" w:lineRule="auto"/>
        <w:tabs>
          <w:tab w:leader="none" w:pos="660" w:val="left"/>
        </w:tabs>
        <w:numPr>
          <w:ilvl w:val="0"/>
          <w:numId w:val="31"/>
        </w:numPr>
        <w:rPr>
          <w:rFonts w:ascii="Arial" w:cs="Arial" w:eastAsia="Arial" w:hAnsi="Arial"/>
          <w:sz w:val="18"/>
          <w:szCs w:val="18"/>
          <w:color w:val="auto"/>
        </w:rPr>
      </w:pPr>
      <w:r>
        <w:rPr>
          <w:rFonts w:ascii="Arial" w:cs="Arial" w:eastAsia="Arial" w:hAnsi="Arial"/>
          <w:sz w:val="18"/>
          <w:szCs w:val="18"/>
          <w:color w:val="auto"/>
        </w:rPr>
        <w:t>The schedules and exhibits have been omitted. A copy of any omitted schedule or exhibit will be furnished to the SEC supplementally upon request.</w:t>
      </w:r>
    </w:p>
    <w:p>
      <w:pPr>
        <w:spacing w:after="0" w:line="212" w:lineRule="exact"/>
        <w:rPr>
          <w:rFonts w:ascii="Arial" w:cs="Arial" w:eastAsia="Arial" w:hAnsi="Arial"/>
          <w:sz w:val="18"/>
          <w:szCs w:val="18"/>
          <w:color w:val="auto"/>
        </w:rPr>
      </w:pPr>
    </w:p>
    <w:p>
      <w:pPr>
        <w:ind w:left="660"/>
        <w:spacing w:after="0"/>
        <w:rPr>
          <w:rFonts w:ascii="Arial" w:cs="Arial" w:eastAsia="Arial" w:hAnsi="Arial"/>
          <w:sz w:val="18"/>
          <w:szCs w:val="18"/>
          <w:color w:val="auto"/>
        </w:rPr>
      </w:pPr>
      <w:r>
        <w:rPr>
          <w:rFonts w:ascii="Arial" w:cs="Arial" w:eastAsia="Arial" w:hAnsi="Arial"/>
          <w:sz w:val="18"/>
          <w:szCs w:val="18"/>
          <w:color w:val="auto"/>
        </w:rPr>
        <w:t>The Company will furnish to stockholders a copy of any exhibit without charge upon written request.</w:t>
      </w:r>
    </w:p>
    <w:p>
      <w:pPr>
        <w:sectPr>
          <w:pgSz w:w="11900" w:h="16838" w:orient="portrait"/>
          <w:cols w:equalWidth="0" w:num="1">
            <w:col w:w="11220"/>
          </w:cols>
          <w:pgMar w:left="320" w:top="125" w:right="359" w:bottom="1440" w:gutter="0" w:footer="0" w:header="0"/>
        </w:sectPr>
      </w:pPr>
    </w:p>
    <w:bookmarkStart w:id="63" w:name="page64"/>
    <w:bookmarkEnd w:id="63"/>
    <w:p>
      <w:pPr>
        <w:jc w:val="right"/>
        <w:spacing w:after="0"/>
        <w:rPr>
          <w:sz w:val="20"/>
          <w:szCs w:val="20"/>
          <w:color w:val="auto"/>
        </w:rPr>
      </w:pPr>
      <w:r>
        <w:rPr>
          <w:rFonts w:ascii="Arial" w:cs="Arial" w:eastAsia="Arial" w:hAnsi="Arial"/>
          <w:sz w:val="18"/>
          <w:szCs w:val="18"/>
          <w:b w:val="1"/>
          <w:bCs w:val="1"/>
          <w:color w:val="auto"/>
        </w:rPr>
        <w:t>Exhibit 10.17</w:t>
      </w:r>
    </w:p>
    <w:p>
      <w:pPr>
        <w:spacing w:after="0" w:line="225" w:lineRule="exact"/>
        <w:rPr>
          <w:sz w:val="20"/>
          <w:szCs w:val="20"/>
          <w:color w:val="auto"/>
        </w:rPr>
      </w:pPr>
    </w:p>
    <w:p>
      <w:pPr>
        <w:jc w:val="center"/>
        <w:ind w:right="-159"/>
        <w:spacing w:after="0"/>
        <w:rPr>
          <w:sz w:val="20"/>
          <w:szCs w:val="20"/>
          <w:color w:val="auto"/>
        </w:rPr>
      </w:pPr>
      <w:r>
        <w:rPr>
          <w:rFonts w:ascii="Arial" w:cs="Arial" w:eastAsia="Arial" w:hAnsi="Arial"/>
          <w:sz w:val="18"/>
          <w:szCs w:val="18"/>
          <w:b w:val="1"/>
          <w:bCs w:val="1"/>
          <w:color w:val="auto"/>
        </w:rPr>
        <w:t>HARVARD BIOSCIENCE, INC.</w:t>
      </w:r>
    </w:p>
    <w:p>
      <w:pPr>
        <w:spacing w:after="0" w:line="27" w:lineRule="exact"/>
        <w:rPr>
          <w:sz w:val="20"/>
          <w:szCs w:val="20"/>
          <w:color w:val="auto"/>
        </w:rPr>
      </w:pPr>
    </w:p>
    <w:p>
      <w:pPr>
        <w:jc w:val="center"/>
        <w:ind w:right="-159"/>
        <w:spacing w:after="0"/>
        <w:rPr>
          <w:sz w:val="20"/>
          <w:szCs w:val="20"/>
          <w:color w:val="auto"/>
        </w:rPr>
      </w:pPr>
      <w:r>
        <w:rPr>
          <w:rFonts w:ascii="Arial" w:cs="Arial" w:eastAsia="Arial" w:hAnsi="Arial"/>
          <w:sz w:val="18"/>
          <w:szCs w:val="18"/>
          <w:b w:val="1"/>
          <w:bCs w:val="1"/>
          <w:color w:val="auto"/>
        </w:rPr>
        <w:t>2021 INCENTIVE PLAN</w:t>
      </w:r>
    </w:p>
    <w:p>
      <w:pPr>
        <w:spacing w:after="0" w:line="200" w:lineRule="exact"/>
        <w:rPr>
          <w:sz w:val="20"/>
          <w:szCs w:val="20"/>
          <w:color w:val="auto"/>
        </w:rPr>
      </w:pPr>
    </w:p>
    <w:p>
      <w:pPr>
        <w:spacing w:after="0" w:line="223" w:lineRule="exact"/>
        <w:rPr>
          <w:sz w:val="20"/>
          <w:szCs w:val="20"/>
          <w:color w:val="auto"/>
        </w:rPr>
      </w:pPr>
    </w:p>
    <w:p>
      <w:pPr>
        <w:jc w:val="center"/>
        <w:ind w:right="-159"/>
        <w:spacing w:after="0"/>
        <w:rPr>
          <w:sz w:val="20"/>
          <w:szCs w:val="20"/>
          <w:color w:val="auto"/>
        </w:rPr>
      </w:pPr>
      <w:r>
        <w:rPr>
          <w:rFonts w:ascii="Arial" w:cs="Arial" w:eastAsia="Arial" w:hAnsi="Arial"/>
          <w:sz w:val="18"/>
          <w:szCs w:val="18"/>
          <w:b w:val="1"/>
          <w:bCs w:val="1"/>
          <w:color w:val="auto"/>
        </w:rPr>
        <w:t>NOTICE OF RESTRICTED STOCK UNIT AWARD</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Participant Name and Address:</w:t>
      </w:r>
    </w:p>
    <w:p>
      <w:pPr>
        <w:spacing w:after="0" w:line="229" w:lineRule="exact"/>
        <w:rPr>
          <w:sz w:val="20"/>
          <w:szCs w:val="20"/>
          <w:color w:val="auto"/>
        </w:rPr>
      </w:pPr>
    </w:p>
    <w:p>
      <w:pPr>
        <w:jc w:val="both"/>
        <w:ind w:left="160" w:firstLine="450"/>
        <w:spacing w:after="0" w:line="259" w:lineRule="auto"/>
        <w:rPr>
          <w:sz w:val="20"/>
          <w:szCs w:val="20"/>
          <w:color w:val="auto"/>
        </w:rPr>
      </w:pPr>
      <w:r>
        <w:rPr>
          <w:rFonts w:ascii="Arial" w:cs="Arial" w:eastAsia="Arial" w:hAnsi="Arial"/>
          <w:sz w:val="18"/>
          <w:szCs w:val="18"/>
          <w:color w:val="auto"/>
        </w:rPr>
        <w:t>You (the “Participant”) have been granted restricted stock units (“Restricted Stock Units” or “RSUs”), subject to the terms and conditions of this Notice of Restricted Stock Unit Award (the “Notice”), the Harvard Bioscience, Inc. 2021 Incentive Plan (as amended from time to time, the “Plan”) and the Restricted Stock Unit Award Agreement (the “RSU Agreement”) attached hereto, as follows. Unless otherwise defined herein, the terms defined in the Plan shall have the same defined meanings in this Notice.</w:t>
      </w:r>
    </w:p>
    <w:p>
      <w:pPr>
        <w:sectPr>
          <w:pgSz w:w="11900" w:h="16838" w:orient="portrait"/>
          <w:cols w:equalWidth="0" w:num="1">
            <w:col w:w="11240"/>
          </w:cols>
          <w:pgMar w:left="320" w:top="121" w:right="339" w:bottom="1440" w:gutter="0" w:footer="0" w:header="0"/>
        </w:sectPr>
      </w:pPr>
    </w:p>
    <w:p>
      <w:pPr>
        <w:spacing w:after="0" w:line="200" w:lineRule="exact"/>
        <w:rPr>
          <w:sz w:val="20"/>
          <w:szCs w:val="20"/>
          <w:color w:val="auto"/>
        </w:rPr>
      </w:pPr>
    </w:p>
    <w:p>
      <w:pPr>
        <w:spacing w:after="0" w:line="22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Date of Grant:</w:t>
      </w:r>
    </w:p>
    <w:p>
      <w:pPr>
        <w:spacing w:after="0" w:line="27" w:lineRule="exact"/>
        <w:rPr>
          <w:sz w:val="20"/>
          <w:szCs w:val="20"/>
          <w:color w:val="auto"/>
        </w:rPr>
      </w:pPr>
    </w:p>
    <w:p>
      <w:pPr>
        <w:spacing w:after="0" w:line="255" w:lineRule="auto"/>
        <w:rPr>
          <w:sz w:val="20"/>
          <w:szCs w:val="20"/>
          <w:color w:val="auto"/>
        </w:rPr>
      </w:pPr>
      <w:r>
        <w:rPr>
          <w:rFonts w:ascii="Arial" w:cs="Arial" w:eastAsia="Arial" w:hAnsi="Arial"/>
          <w:sz w:val="18"/>
          <w:szCs w:val="18"/>
          <w:b w:val="1"/>
          <w:bCs w:val="1"/>
          <w:color w:val="auto"/>
        </w:rPr>
        <w:t xml:space="preserve">Target Number of RSUs (the </w:t>
      </w:r>
      <w:r>
        <w:rPr>
          <w:rFonts w:ascii="Arial" w:cs="Arial" w:eastAsia="Arial" w:hAnsi="Arial"/>
          <w:sz w:val="18"/>
          <w:szCs w:val="18"/>
          <w:color w:val="auto"/>
        </w:rPr>
        <w:t>“</w:t>
      </w:r>
      <w:r>
        <w:rPr>
          <w:rFonts w:ascii="Arial" w:cs="Arial" w:eastAsia="Arial" w:hAnsi="Arial"/>
          <w:sz w:val="18"/>
          <w:szCs w:val="18"/>
          <w:b w:val="1"/>
          <w:bCs w:val="1"/>
          <w:color w:val="auto"/>
        </w:rPr>
        <w:t>Target Award</w:t>
      </w:r>
      <w:r>
        <w:rPr>
          <w:rFonts w:ascii="Arial" w:cs="Arial" w:eastAsia="Arial" w:hAnsi="Arial"/>
          <w:sz w:val="18"/>
          <w:szCs w:val="18"/>
          <w:color w:val="auto"/>
        </w:rPr>
        <w:t>”</w:t>
      </w:r>
      <w:r>
        <w:rPr>
          <w:rFonts w:ascii="Arial" w:cs="Arial" w:eastAsia="Arial" w:hAnsi="Arial"/>
          <w:sz w:val="18"/>
          <w:szCs w:val="18"/>
          <w:b w:val="1"/>
          <w:bCs w:val="1"/>
          <w:color w:val="auto"/>
        </w:rPr>
        <w:t>):</w:t>
      </w:r>
      <w:r>
        <w:rPr>
          <w:rFonts w:ascii="Arial" w:cs="Arial" w:eastAsia="Arial" w:hAnsi="Arial"/>
          <w:sz w:val="18"/>
          <w:szCs w:val="18"/>
          <w:color w:val="auto"/>
        </w:rPr>
        <w:t xml:space="preserve"> </w:t>
      </w:r>
      <w:r>
        <w:rPr>
          <w:rFonts w:ascii="Arial" w:cs="Arial" w:eastAsia="Arial" w:hAnsi="Arial"/>
          <w:sz w:val="18"/>
          <w:szCs w:val="18"/>
          <w:b w:val="1"/>
          <w:bCs w:val="1"/>
          <w:color w:val="auto"/>
        </w:rPr>
        <w:t>Vesting Schedule:</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8" w:lineRule="exact"/>
        <w:rPr>
          <w:sz w:val="20"/>
          <w:szCs w:val="20"/>
          <w:color w:val="auto"/>
        </w:rPr>
      </w:pPr>
    </w:p>
    <w:p>
      <w:pPr>
        <w:jc w:val="both"/>
        <w:spacing w:after="0" w:line="286" w:lineRule="auto"/>
        <w:rPr>
          <w:sz w:val="20"/>
          <w:szCs w:val="20"/>
          <w:color w:val="auto"/>
        </w:rPr>
      </w:pPr>
      <w:r>
        <w:rPr>
          <w:rFonts w:ascii="Arial" w:cs="Arial" w:eastAsia="Arial" w:hAnsi="Arial"/>
          <w:sz w:val="16"/>
          <w:szCs w:val="16"/>
          <w:color w:val="auto"/>
        </w:rPr>
        <w:t xml:space="preserve">Participant will receive a benefit with respect to an RSU only if it vests. Subject to the terms set forth in the RSU Agreement attached hereto, to the extent the achieved Performance Factor is greater than 0% as of the end of the Performance Period (as defined below), the Participant shall vest in a number of RSUs (the “Final RSUs”) based on the attainment of the total shareholder return (“TSR”) performance goals described on </w:t>
      </w:r>
      <w:r>
        <w:rPr>
          <w:rFonts w:ascii="Arial" w:cs="Arial" w:eastAsia="Arial" w:hAnsi="Arial"/>
          <w:sz w:val="16"/>
          <w:szCs w:val="16"/>
          <w:u w:val="single" w:color="auto"/>
          <w:color w:val="auto"/>
        </w:rPr>
        <w:t>Schedule A</w:t>
      </w:r>
      <w:r>
        <w:rPr>
          <w:rFonts w:ascii="Arial" w:cs="Arial" w:eastAsia="Arial" w:hAnsi="Arial"/>
          <w:sz w:val="16"/>
          <w:szCs w:val="16"/>
          <w:color w:val="auto"/>
        </w:rPr>
        <w:t xml:space="preserve"> as of the end of the Performance Period (as defined below) on the last day of the Performance Period. The Performance Period is the period beginning on the Grant Date and ending on December 31, 20[__] (the “Performance Period”). The Participant’s Final RSUs will be determined by multiplying the Target Award by the percentage (from zero to 150%) (the “Performance Factor”) which is based on the Company’s Total Shareholder Return (as defined on </w:t>
      </w:r>
      <w:r>
        <w:rPr>
          <w:rFonts w:ascii="Arial" w:cs="Arial" w:eastAsia="Arial" w:hAnsi="Arial"/>
          <w:sz w:val="16"/>
          <w:szCs w:val="16"/>
          <w:u w:val="single" w:color="auto"/>
          <w:color w:val="auto"/>
        </w:rPr>
        <w:t>Schedule A</w:t>
      </w:r>
      <w:r>
        <w:rPr>
          <w:rFonts w:ascii="Arial" w:cs="Arial" w:eastAsia="Arial" w:hAnsi="Arial"/>
          <w:sz w:val="16"/>
          <w:szCs w:val="16"/>
          <w:color w:val="auto"/>
        </w:rPr>
        <w:t xml:space="preserve">) during the Performance Period compared to the Index Constituent Companies (as defined on </w:t>
      </w:r>
      <w:r>
        <w:rPr>
          <w:rFonts w:ascii="Arial" w:cs="Arial" w:eastAsia="Arial" w:hAnsi="Arial"/>
          <w:sz w:val="16"/>
          <w:szCs w:val="16"/>
          <w:u w:val="single" w:color="auto"/>
          <w:color w:val="auto"/>
        </w:rPr>
        <w:t>Schedule A</w:t>
      </w:r>
      <w:r>
        <w:rPr>
          <w:rFonts w:ascii="Arial" w:cs="Arial" w:eastAsia="Arial" w:hAnsi="Arial"/>
          <w:sz w:val="16"/>
          <w:szCs w:val="16"/>
          <w:color w:val="auto"/>
        </w:rPr>
        <w:t xml:space="preserve">), determined according to </w:t>
      </w:r>
      <w:r>
        <w:rPr>
          <w:rFonts w:ascii="Arial" w:cs="Arial" w:eastAsia="Arial" w:hAnsi="Arial"/>
          <w:sz w:val="16"/>
          <w:szCs w:val="16"/>
          <w:u w:val="single" w:color="auto"/>
          <w:color w:val="auto"/>
        </w:rPr>
        <w:t>Schedule A</w:t>
      </w:r>
      <w:r>
        <w:rPr>
          <w:rFonts w:ascii="Arial" w:cs="Arial" w:eastAsia="Arial" w:hAnsi="Arial"/>
          <w:sz w:val="16"/>
          <w:szCs w:val="16"/>
          <w:color w:val="auto"/>
        </w:rPr>
        <w:t xml:space="preserve">. Except as specifically provided in the RSU Agreement attached hereto, no RSUs will vest for any reason prior to the last day of the Performance Period. Except as provided in the RSU Agreement attached hereto, if the TSR performance goals are not attained at the end of the Performance Period, the RSUs will be immediately forfeited. Upon vesting in accordance herewith or in Sections 4 or 5 of the RSU Agreement attached hereto, such RSU shall become payable to the Participant in shares of Stock on the relevant vesting date in the amount of the vested RSUs in accordance with this paragraph and </w:t>
      </w:r>
      <w:r>
        <w:rPr>
          <w:rFonts w:ascii="Arial" w:cs="Arial" w:eastAsia="Arial" w:hAnsi="Arial"/>
          <w:sz w:val="16"/>
          <w:szCs w:val="16"/>
          <w:u w:val="single" w:color="auto"/>
          <w:color w:val="auto"/>
        </w:rPr>
        <w:t>Schedule A</w:t>
      </w:r>
      <w:r>
        <w:rPr>
          <w:rFonts w:ascii="Arial" w:cs="Arial" w:eastAsia="Arial" w:hAnsi="Arial"/>
          <w:sz w:val="16"/>
          <w:szCs w:val="16"/>
          <w:color w:val="auto"/>
        </w:rPr>
        <w:t>.</w:t>
      </w:r>
    </w:p>
    <w:p>
      <w:pPr>
        <w:spacing w:after="0" w:line="171" w:lineRule="exact"/>
        <w:rPr>
          <w:sz w:val="20"/>
          <w:szCs w:val="20"/>
          <w:color w:val="auto"/>
        </w:rPr>
      </w:pPr>
    </w:p>
    <w:p>
      <w:pPr>
        <w:ind w:left="3320"/>
        <w:spacing w:after="0"/>
        <w:rPr>
          <w:sz w:val="20"/>
          <w:szCs w:val="20"/>
          <w:color w:val="auto"/>
        </w:rPr>
      </w:pPr>
      <w:r>
        <w:rPr>
          <w:rFonts w:ascii="Arial" w:cs="Arial" w:eastAsia="Arial" w:hAnsi="Arial"/>
          <w:sz w:val="18"/>
          <w:szCs w:val="18"/>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-1429385</wp:posOffset>
            </wp:positionH>
            <wp:positionV relativeFrom="paragraph">
              <wp:posOffset>83185</wp:posOffset>
            </wp:positionV>
            <wp:extent cx="7132320" cy="17145"/>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10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2">
            <w:col w:w="2220" w:space="40"/>
            <w:col w:w="8980"/>
          </w:cols>
          <w:pgMar w:left="320" w:top="121" w:right="339" w:bottom="1440" w:gutter="0" w:footer="0" w:header="0"/>
          <w:type w:val="continuous"/>
        </w:sectPr>
      </w:pPr>
    </w:p>
    <w:bookmarkStart w:id="64" w:name="page65"/>
    <w:bookmarkEnd w:id="64"/>
    <w:p>
      <w:pPr>
        <w:ind w:left="5520"/>
        <w:spacing w:after="0"/>
        <w:rPr>
          <w:sz w:val="20"/>
          <w:szCs w:val="20"/>
          <w:color w:val="auto"/>
        </w:rPr>
      </w:pPr>
      <w:r>
        <w:rPr>
          <w:rFonts w:ascii="Arial" w:cs="Arial" w:eastAsia="Arial" w:hAnsi="Arial"/>
          <w:sz w:val="17"/>
          <w:szCs w:val="17"/>
          <w:color w:val="auto"/>
        </w:rPr>
        <w:t>HARVARD BIOSCIENCE, INC.</w:t>
      </w:r>
    </w:p>
    <w:p>
      <w:pPr>
        <w:spacing w:after="0" w:line="35" w:lineRule="exact"/>
        <w:rPr>
          <w:sz w:val="20"/>
          <w:szCs w:val="20"/>
          <w:color w:val="auto"/>
        </w:rPr>
      </w:pPr>
    </w:p>
    <w:p>
      <w:pPr>
        <w:ind w:left="5520"/>
        <w:spacing w:after="0"/>
        <w:rPr>
          <w:sz w:val="20"/>
          <w:szCs w:val="20"/>
          <w:color w:val="auto"/>
        </w:rPr>
      </w:pPr>
      <w:r>
        <w:rPr>
          <w:rFonts w:ascii="Arial" w:cs="Arial" w:eastAsia="Arial" w:hAnsi="Arial"/>
          <w:sz w:val="18"/>
          <w:szCs w:val="18"/>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3811270</wp:posOffset>
            </wp:positionH>
            <wp:positionV relativeFrom="paragraph">
              <wp:posOffset>5715</wp:posOffset>
            </wp:positionV>
            <wp:extent cx="1131570" cy="8255"/>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102">
                      <a:extLst>
                        <a:ext uri="{28A0092B-C50C-407E-A947-70E740481C1C}"/>
                      </a:extLst>
                    </a:blip>
                    <a:srcRect/>
                    <a:stretch>
                      <a:fillRect/>
                    </a:stretch>
                  </pic:blipFill>
                  <pic:spPr bwMode="auto">
                    <a:xfrm>
                      <a:off x="0" y="0"/>
                      <a:ext cx="1131570" cy="8255"/>
                    </a:xfrm>
                    <a:prstGeom prst="rect">
                      <a:avLst/>
                    </a:prstGeom>
                    <a:noFill/>
                  </pic:spPr>
                </pic:pic>
              </a:graphicData>
            </a:graphic>
          </wp:anchor>
        </w:drawing>
      </w:r>
    </w:p>
    <w:p>
      <w:pPr>
        <w:ind w:left="5520"/>
        <w:spacing w:after="0"/>
        <w:rPr>
          <w:sz w:val="20"/>
          <w:szCs w:val="20"/>
          <w:color w:val="auto"/>
        </w:rPr>
      </w:pPr>
      <w:r>
        <w:rPr>
          <w:rFonts w:ascii="Arial" w:cs="Arial" w:eastAsia="Arial" w:hAnsi="Arial"/>
          <w:sz w:val="18"/>
          <w:szCs w:val="18"/>
          <w:color w:val="auto"/>
        </w:rPr>
        <w:t>Name: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3811270</wp:posOffset>
            </wp:positionH>
            <wp:positionV relativeFrom="paragraph">
              <wp:posOffset>14605</wp:posOffset>
            </wp:positionV>
            <wp:extent cx="1131570" cy="8890"/>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103">
                      <a:extLst>
                        <a:ext uri="{28A0092B-C50C-407E-A947-70E740481C1C}"/>
                      </a:extLst>
                    </a:blip>
                    <a:srcRect/>
                    <a:stretch>
                      <a:fillRect/>
                    </a:stretch>
                  </pic:blipFill>
                  <pic:spPr bwMode="auto">
                    <a:xfrm>
                      <a:off x="0" y="0"/>
                      <a:ext cx="1131570" cy="8890"/>
                    </a:xfrm>
                    <a:prstGeom prst="rect">
                      <a:avLst/>
                    </a:prstGeom>
                    <a:noFill/>
                  </pic:spPr>
                </pic:pic>
              </a:graphicData>
            </a:graphic>
          </wp:anchor>
        </w:drawing>
      </w:r>
    </w:p>
    <w:p>
      <w:pPr>
        <w:spacing w:after="0" w:line="3" w:lineRule="exact"/>
        <w:rPr>
          <w:sz w:val="20"/>
          <w:szCs w:val="20"/>
          <w:color w:val="auto"/>
        </w:rPr>
      </w:pPr>
    </w:p>
    <w:p>
      <w:pPr>
        <w:ind w:left="5520"/>
        <w:spacing w:after="0"/>
        <w:rPr>
          <w:sz w:val="20"/>
          <w:szCs w:val="20"/>
          <w:color w:val="auto"/>
        </w:rPr>
      </w:pPr>
      <w:r>
        <w:rPr>
          <w:rFonts w:ascii="Arial" w:cs="Arial" w:eastAsia="Arial" w:hAnsi="Arial"/>
          <w:sz w:val="18"/>
          <w:szCs w:val="18"/>
          <w:color w:val="auto"/>
        </w:rPr>
        <w:t>Title: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3811270</wp:posOffset>
            </wp:positionH>
            <wp:positionV relativeFrom="paragraph">
              <wp:posOffset>14605</wp:posOffset>
            </wp:positionV>
            <wp:extent cx="1131570" cy="8255"/>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104">
                      <a:extLst>
                        <a:ext uri="{28A0092B-C50C-407E-A947-70E740481C1C}"/>
                      </a:extLst>
                    </a:blip>
                    <a:srcRect/>
                    <a:stretch>
                      <a:fillRect/>
                    </a:stretch>
                  </pic:blipFill>
                  <pic:spPr bwMode="auto">
                    <a:xfrm>
                      <a:off x="0" y="0"/>
                      <a:ext cx="1131570"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8" w:lineRule="exact"/>
        <w:rPr>
          <w:sz w:val="20"/>
          <w:szCs w:val="20"/>
          <w:color w:val="auto"/>
        </w:rPr>
      </w:pPr>
    </w:p>
    <w:p>
      <w:pPr>
        <w:jc w:val="center"/>
        <w:ind w:right="19"/>
        <w:spacing w:after="0"/>
        <w:rPr>
          <w:sz w:val="20"/>
          <w:szCs w:val="20"/>
          <w:color w:val="auto"/>
        </w:rPr>
      </w:pPr>
      <w:r>
        <w:rPr>
          <w:rFonts w:ascii="Arial" w:cs="Arial" w:eastAsia="Arial" w:hAnsi="Arial"/>
          <w:sz w:val="13"/>
          <w:szCs w:val="13"/>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-705485</wp:posOffset>
            </wp:positionH>
            <wp:positionV relativeFrom="paragraph">
              <wp:posOffset>120015</wp:posOffset>
            </wp:positionV>
            <wp:extent cx="7132320" cy="17145"/>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10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9019"/>
          </w:cols>
          <w:pgMar w:left="1440" w:top="584" w:right="1440" w:bottom="1440" w:gutter="0" w:footer="0" w:header="0"/>
        </w:sectPr>
      </w:pPr>
    </w:p>
    <w:bookmarkStart w:id="65" w:name="page66"/>
    <w:bookmarkEnd w:id="65"/>
    <w:tbl>
      <w:tblPr>
        <w:tblLayout w:type="fixed"/>
        <w:tblInd w:w="0" w:type="dxa"/>
        <w:tblCellMar>
          <w:top w:w="0" w:type="dxa"/>
          <w:left w:w="0" w:type="dxa"/>
          <w:bottom w:w="0" w:type="dxa"/>
          <w:right w:w="0" w:type="dxa"/>
        </w:tblCellMar>
      </w:tblPr>
      <w:tr>
        <w:trPr>
          <w:trHeight w:val="207"/>
        </w:trPr>
        <w:tc>
          <w:tcPr>
            <w:tcW w:w="60" w:type="dxa"/>
            <w:vAlign w:val="bottom"/>
          </w:tcPr>
          <w:p>
            <w:pPr>
              <w:spacing w:after="0"/>
              <w:rPr>
                <w:sz w:val="17"/>
                <w:szCs w:val="17"/>
                <w:color w:val="auto"/>
              </w:rPr>
            </w:pPr>
          </w:p>
        </w:tc>
        <w:tc>
          <w:tcPr>
            <w:tcW w:w="2400" w:type="dxa"/>
            <w:vAlign w:val="bottom"/>
          </w:tcPr>
          <w:p>
            <w:pPr>
              <w:spacing w:after="0"/>
              <w:rPr>
                <w:sz w:val="17"/>
                <w:szCs w:val="17"/>
                <w:color w:val="auto"/>
              </w:rPr>
            </w:pPr>
          </w:p>
        </w:tc>
        <w:tc>
          <w:tcPr>
            <w:tcW w:w="18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6000" w:type="dxa"/>
            <w:vAlign w:val="bottom"/>
            <w:gridSpan w:val="4"/>
          </w:tcPr>
          <w:p>
            <w:pPr>
              <w:jc w:val="center"/>
              <w:ind w:right="5140"/>
              <w:spacing w:after="0"/>
              <w:rPr>
                <w:sz w:val="20"/>
                <w:szCs w:val="20"/>
                <w:color w:val="auto"/>
              </w:rPr>
            </w:pPr>
            <w:r>
              <w:rPr>
                <w:rFonts w:ascii="Arial" w:cs="Arial" w:eastAsia="Arial" w:hAnsi="Arial"/>
                <w:sz w:val="18"/>
                <w:szCs w:val="18"/>
                <w:b w:val="1"/>
                <w:bCs w:val="1"/>
                <w:color w:val="auto"/>
                <w:w w:val="87"/>
              </w:rPr>
              <w:t>Schedule A</w:t>
            </w:r>
          </w:p>
        </w:tc>
      </w:tr>
      <w:tr>
        <w:trPr>
          <w:trHeight w:val="20"/>
        </w:trPr>
        <w:tc>
          <w:tcPr>
            <w:tcW w:w="60" w:type="dxa"/>
            <w:vAlign w:val="bottom"/>
          </w:tcPr>
          <w:p>
            <w:pPr>
              <w:spacing w:after="0" w:line="20" w:lineRule="exact"/>
              <w:rPr>
                <w:sz w:val="1"/>
                <w:szCs w:val="1"/>
                <w:color w:val="auto"/>
              </w:rPr>
            </w:pPr>
          </w:p>
        </w:tc>
        <w:tc>
          <w:tcPr>
            <w:tcW w:w="2400" w:type="dxa"/>
            <w:vAlign w:val="bottom"/>
          </w:tcPr>
          <w:p>
            <w:pPr>
              <w:spacing w:after="0" w:line="20" w:lineRule="exact"/>
              <w:rPr>
                <w:sz w:val="1"/>
                <w:szCs w:val="1"/>
                <w:color w:val="auto"/>
              </w:rPr>
            </w:pPr>
          </w:p>
        </w:tc>
        <w:tc>
          <w:tcPr>
            <w:tcW w:w="18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760" w:type="dxa"/>
            <w:vAlign w:val="bottom"/>
            <w:shd w:val="clear" w:color="auto" w:fill="000000"/>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4100" w:type="dxa"/>
            <w:vAlign w:val="bottom"/>
          </w:tcPr>
          <w:p>
            <w:pPr>
              <w:spacing w:after="0" w:line="20" w:lineRule="exact"/>
              <w:rPr>
                <w:sz w:val="1"/>
                <w:szCs w:val="1"/>
                <w:color w:val="auto"/>
              </w:rPr>
            </w:pPr>
          </w:p>
        </w:tc>
      </w:tr>
      <w:tr>
        <w:trPr>
          <w:trHeight w:val="439"/>
        </w:trPr>
        <w:tc>
          <w:tcPr>
            <w:tcW w:w="60" w:type="dxa"/>
            <w:vAlign w:val="bottom"/>
          </w:tcPr>
          <w:p>
            <w:pPr>
              <w:spacing w:after="0"/>
              <w:rPr>
                <w:sz w:val="24"/>
                <w:szCs w:val="24"/>
                <w:color w:val="auto"/>
              </w:rPr>
            </w:pPr>
          </w:p>
        </w:tc>
        <w:tc>
          <w:tcPr>
            <w:tcW w:w="2400" w:type="dxa"/>
            <w:vAlign w:val="bottom"/>
          </w:tcPr>
          <w:p>
            <w:pPr>
              <w:spacing w:after="0"/>
              <w:rPr>
                <w:sz w:val="24"/>
                <w:szCs w:val="24"/>
                <w:color w:val="auto"/>
              </w:rPr>
            </w:pPr>
          </w:p>
        </w:tc>
        <w:tc>
          <w:tcPr>
            <w:tcW w:w="18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880" w:type="dxa"/>
            <w:vAlign w:val="bottom"/>
            <w:tcBorders>
              <w:bottom w:val="single" w:sz="8" w:color="auto"/>
            </w:tcBorders>
            <w:gridSpan w:val="4"/>
          </w:tcPr>
          <w:p>
            <w:pPr>
              <w:jc w:val="center"/>
              <w:spacing w:after="0"/>
              <w:rPr>
                <w:sz w:val="20"/>
                <w:szCs w:val="20"/>
                <w:color w:val="auto"/>
              </w:rPr>
            </w:pPr>
            <w:r>
              <w:rPr>
                <w:rFonts w:ascii="Arial" w:cs="Arial" w:eastAsia="Arial" w:hAnsi="Arial"/>
                <w:sz w:val="18"/>
                <w:szCs w:val="18"/>
                <w:b w:val="1"/>
                <w:bCs w:val="1"/>
                <w:color w:val="auto"/>
                <w:w w:val="90"/>
              </w:rPr>
              <w:t>Determination of Performance Factor</w:t>
            </w:r>
          </w:p>
        </w:tc>
        <w:tc>
          <w:tcPr>
            <w:tcW w:w="4100" w:type="dxa"/>
            <w:vAlign w:val="bottom"/>
          </w:tcPr>
          <w:p>
            <w:pPr>
              <w:spacing w:after="0"/>
              <w:rPr>
                <w:sz w:val="24"/>
                <w:szCs w:val="24"/>
                <w:color w:val="auto"/>
              </w:rPr>
            </w:pPr>
          </w:p>
        </w:tc>
      </w:tr>
      <w:tr>
        <w:trPr>
          <w:trHeight w:val="453"/>
        </w:trPr>
        <w:tc>
          <w:tcPr>
            <w:tcW w:w="60" w:type="dxa"/>
            <w:vAlign w:val="bottom"/>
          </w:tcPr>
          <w:p>
            <w:pPr>
              <w:spacing w:after="0"/>
              <w:rPr>
                <w:sz w:val="24"/>
                <w:szCs w:val="24"/>
                <w:color w:val="auto"/>
              </w:rPr>
            </w:pPr>
          </w:p>
        </w:tc>
        <w:tc>
          <w:tcPr>
            <w:tcW w:w="11200" w:type="dxa"/>
            <w:vAlign w:val="bottom"/>
            <w:gridSpan w:val="8"/>
          </w:tcPr>
          <w:p>
            <w:pPr>
              <w:ind w:left="100"/>
              <w:spacing w:after="0"/>
              <w:rPr>
                <w:sz w:val="20"/>
                <w:szCs w:val="20"/>
                <w:color w:val="auto"/>
              </w:rPr>
            </w:pPr>
            <w:r>
              <w:rPr>
                <w:rFonts w:ascii="Arial" w:cs="Arial" w:eastAsia="Arial" w:hAnsi="Arial"/>
                <w:sz w:val="18"/>
                <w:szCs w:val="18"/>
                <w:color w:val="auto"/>
              </w:rPr>
              <w:t>The Performance Factor shall be determined according to the following table:</w:t>
            </w:r>
          </w:p>
        </w:tc>
      </w:tr>
      <w:tr>
        <w:trPr>
          <w:trHeight w:val="233"/>
        </w:trPr>
        <w:tc>
          <w:tcPr>
            <w:tcW w:w="60" w:type="dxa"/>
            <w:vAlign w:val="bottom"/>
            <w:tcBorders>
              <w:bottom w:val="single" w:sz="8" w:color="auto"/>
            </w:tcBorders>
          </w:tcPr>
          <w:p>
            <w:pPr>
              <w:spacing w:after="0"/>
              <w:rPr>
                <w:sz w:val="20"/>
                <w:szCs w:val="20"/>
                <w:color w:val="auto"/>
              </w:rPr>
            </w:pPr>
          </w:p>
        </w:tc>
        <w:tc>
          <w:tcPr>
            <w:tcW w:w="2400" w:type="dxa"/>
            <w:vAlign w:val="bottom"/>
            <w:tcBorders>
              <w:bottom w:val="single" w:sz="8" w:color="auto"/>
            </w:tcBorders>
          </w:tcPr>
          <w:p>
            <w:pPr>
              <w:spacing w:after="0"/>
              <w:rPr>
                <w:sz w:val="20"/>
                <w:szCs w:val="20"/>
                <w:color w:val="auto"/>
              </w:rPr>
            </w:pPr>
          </w:p>
        </w:tc>
        <w:tc>
          <w:tcPr>
            <w:tcW w:w="1800" w:type="dxa"/>
            <w:vAlign w:val="bottom"/>
            <w:tcBorders>
              <w:bottom w:val="single" w:sz="8" w:color="auto"/>
            </w:tcBorders>
          </w:tcPr>
          <w:p>
            <w:pPr>
              <w:spacing w:after="0"/>
              <w:rPr>
                <w:sz w:val="20"/>
                <w:szCs w:val="20"/>
                <w:color w:val="auto"/>
              </w:rPr>
            </w:pPr>
          </w:p>
        </w:tc>
        <w:tc>
          <w:tcPr>
            <w:tcW w:w="20" w:type="dxa"/>
            <w:vAlign w:val="bottom"/>
            <w:tcBorders>
              <w:bottom w:val="single" w:sz="8" w:color="auto"/>
            </w:tcBorders>
          </w:tcPr>
          <w:p>
            <w:pPr>
              <w:spacing w:after="0"/>
              <w:rPr>
                <w:sz w:val="20"/>
                <w:szCs w:val="20"/>
                <w:color w:val="auto"/>
              </w:rPr>
            </w:pPr>
          </w:p>
        </w:tc>
        <w:tc>
          <w:tcPr>
            <w:tcW w:w="980" w:type="dxa"/>
            <w:vAlign w:val="bottom"/>
            <w:tcBorders>
              <w:bottom w:val="single" w:sz="8" w:color="auto"/>
            </w:tcBorders>
          </w:tcPr>
          <w:p>
            <w:pPr>
              <w:spacing w:after="0"/>
              <w:rPr>
                <w:sz w:val="20"/>
                <w:szCs w:val="20"/>
                <w:color w:val="auto"/>
              </w:rPr>
            </w:pPr>
          </w:p>
        </w:tc>
        <w:tc>
          <w:tcPr>
            <w:tcW w:w="760" w:type="dxa"/>
            <w:vAlign w:val="bottom"/>
            <w:tcBorders>
              <w:bottom w:val="single" w:sz="8" w:color="auto"/>
            </w:tcBorders>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1040" w:type="dxa"/>
            <w:vAlign w:val="bottom"/>
            <w:tcBorders>
              <w:bottom w:val="single" w:sz="8" w:color="auto"/>
            </w:tcBorders>
          </w:tcPr>
          <w:p>
            <w:pPr>
              <w:spacing w:after="0"/>
              <w:rPr>
                <w:sz w:val="20"/>
                <w:szCs w:val="20"/>
                <w:color w:val="auto"/>
              </w:rPr>
            </w:pPr>
          </w:p>
        </w:tc>
        <w:tc>
          <w:tcPr>
            <w:tcW w:w="4100" w:type="dxa"/>
            <w:vAlign w:val="bottom"/>
            <w:tcBorders>
              <w:bottom w:val="single" w:sz="8" w:color="auto"/>
            </w:tcBorders>
          </w:tcPr>
          <w:p>
            <w:pPr>
              <w:spacing w:after="0"/>
              <w:rPr>
                <w:sz w:val="20"/>
                <w:szCs w:val="20"/>
                <w:color w:val="auto"/>
              </w:rPr>
            </w:pPr>
          </w:p>
        </w:tc>
      </w:tr>
      <w:tr>
        <w:trPr>
          <w:trHeight w:val="152"/>
        </w:trPr>
        <w:tc>
          <w:tcPr>
            <w:tcW w:w="4260" w:type="dxa"/>
            <w:vAlign w:val="bottom"/>
            <w:tcBorders>
              <w:right w:val="single" w:sz="8" w:color="auto"/>
            </w:tcBorders>
            <w:gridSpan w:val="3"/>
          </w:tcPr>
          <w:p>
            <w:pPr>
              <w:ind w:left="60"/>
              <w:spacing w:after="0" w:line="152" w:lineRule="exact"/>
              <w:rPr>
                <w:sz w:val="20"/>
                <w:szCs w:val="20"/>
                <w:color w:val="auto"/>
              </w:rPr>
            </w:pPr>
            <w:r>
              <w:rPr>
                <w:rFonts w:ascii="Arial" w:cs="Arial" w:eastAsia="Arial" w:hAnsi="Arial"/>
                <w:sz w:val="17"/>
                <w:szCs w:val="17"/>
                <w:b w:val="1"/>
                <w:bCs w:val="1"/>
                <w:color w:val="auto"/>
              </w:rPr>
              <w:t>Relative TSR Percentile Rank*</w:t>
            </w:r>
          </w:p>
        </w:tc>
        <w:tc>
          <w:tcPr>
            <w:tcW w:w="20" w:type="dxa"/>
            <w:vAlign w:val="bottom"/>
          </w:tcPr>
          <w:p>
            <w:pPr>
              <w:spacing w:after="0"/>
              <w:rPr>
                <w:sz w:val="13"/>
                <w:szCs w:val="13"/>
                <w:color w:val="auto"/>
              </w:rPr>
            </w:pPr>
          </w:p>
        </w:tc>
        <w:tc>
          <w:tcPr>
            <w:tcW w:w="6980" w:type="dxa"/>
            <w:vAlign w:val="bottom"/>
            <w:tcBorders>
              <w:right w:val="single" w:sz="8" w:color="auto"/>
            </w:tcBorders>
            <w:gridSpan w:val="5"/>
          </w:tcPr>
          <w:p>
            <w:pPr>
              <w:spacing w:after="0" w:line="152" w:lineRule="exact"/>
              <w:rPr>
                <w:sz w:val="20"/>
                <w:szCs w:val="20"/>
                <w:color w:val="auto"/>
              </w:rPr>
            </w:pPr>
            <w:r>
              <w:rPr>
                <w:rFonts w:ascii="Arial" w:cs="Arial" w:eastAsia="Arial" w:hAnsi="Arial"/>
                <w:sz w:val="17"/>
                <w:szCs w:val="17"/>
                <w:b w:val="1"/>
                <w:bCs w:val="1"/>
                <w:color w:val="auto"/>
              </w:rPr>
              <w:t>Performance Factor**</w:t>
            </w:r>
          </w:p>
        </w:tc>
      </w:tr>
      <w:tr>
        <w:trPr>
          <w:trHeight w:val="40"/>
        </w:trPr>
        <w:tc>
          <w:tcPr>
            <w:tcW w:w="60" w:type="dxa"/>
            <w:vAlign w:val="bottom"/>
            <w:tcBorders>
              <w:bottom w:val="single" w:sz="8" w:color="auto"/>
            </w:tcBorders>
          </w:tcPr>
          <w:p>
            <w:pPr>
              <w:spacing w:after="0"/>
              <w:rPr>
                <w:sz w:val="3"/>
                <w:szCs w:val="3"/>
                <w:color w:val="auto"/>
              </w:rPr>
            </w:pPr>
          </w:p>
        </w:tc>
        <w:tc>
          <w:tcPr>
            <w:tcW w:w="2400" w:type="dxa"/>
            <w:vAlign w:val="bottom"/>
            <w:tcBorders>
              <w:top w:val="single" w:sz="8" w:color="auto"/>
              <w:bottom w:val="single" w:sz="8" w:color="auto"/>
            </w:tcBorders>
          </w:tcPr>
          <w:p>
            <w:pPr>
              <w:spacing w:after="0"/>
              <w:rPr>
                <w:sz w:val="3"/>
                <w:szCs w:val="3"/>
                <w:color w:val="auto"/>
              </w:rPr>
            </w:pPr>
          </w:p>
        </w:tc>
        <w:tc>
          <w:tcPr>
            <w:tcW w:w="1800" w:type="dxa"/>
            <w:vAlign w:val="bottom"/>
            <w:tcBorders>
              <w:bottom w:val="single" w:sz="8" w:color="auto"/>
              <w:right w:val="single" w:sz="8" w:color="auto"/>
            </w:tcBorders>
          </w:tcPr>
          <w:p>
            <w:pPr>
              <w:spacing w:after="0"/>
              <w:rPr>
                <w:sz w:val="3"/>
                <w:szCs w:val="3"/>
                <w:color w:val="auto"/>
              </w:rPr>
            </w:pPr>
          </w:p>
        </w:tc>
        <w:tc>
          <w:tcPr>
            <w:tcW w:w="20" w:type="dxa"/>
            <w:vAlign w:val="bottom"/>
            <w:tcBorders>
              <w:bottom w:val="single" w:sz="8" w:color="auto"/>
            </w:tcBorders>
          </w:tcPr>
          <w:p>
            <w:pPr>
              <w:spacing w:after="0"/>
              <w:rPr>
                <w:sz w:val="3"/>
                <w:szCs w:val="3"/>
                <w:color w:val="auto"/>
              </w:rPr>
            </w:pPr>
          </w:p>
        </w:tc>
        <w:tc>
          <w:tcPr>
            <w:tcW w:w="980" w:type="dxa"/>
            <w:vAlign w:val="bottom"/>
            <w:tcBorders>
              <w:top w:val="single" w:sz="8" w:color="auto"/>
              <w:bottom w:val="single" w:sz="8" w:color="auto"/>
            </w:tcBorders>
          </w:tcPr>
          <w:p>
            <w:pPr>
              <w:spacing w:after="0"/>
              <w:rPr>
                <w:sz w:val="3"/>
                <w:szCs w:val="3"/>
                <w:color w:val="auto"/>
              </w:rPr>
            </w:pPr>
          </w:p>
        </w:tc>
        <w:tc>
          <w:tcPr>
            <w:tcW w:w="760" w:type="dxa"/>
            <w:vAlign w:val="bottom"/>
            <w:tcBorders>
              <w:top w:val="single" w:sz="8" w:color="auto"/>
              <w:bottom w:val="single" w:sz="8" w:color="auto"/>
            </w:tcBorders>
          </w:tcPr>
          <w:p>
            <w:pPr>
              <w:spacing w:after="0"/>
              <w:rPr>
                <w:sz w:val="3"/>
                <w:szCs w:val="3"/>
                <w:color w:val="auto"/>
              </w:rPr>
            </w:pPr>
          </w:p>
        </w:tc>
        <w:tc>
          <w:tcPr>
            <w:tcW w:w="100" w:type="dxa"/>
            <w:vAlign w:val="bottom"/>
            <w:tcBorders>
              <w:bottom w:val="single" w:sz="8" w:color="auto"/>
            </w:tcBorders>
          </w:tcPr>
          <w:p>
            <w:pPr>
              <w:spacing w:after="0"/>
              <w:rPr>
                <w:sz w:val="3"/>
                <w:szCs w:val="3"/>
                <w:color w:val="auto"/>
              </w:rPr>
            </w:pPr>
          </w:p>
        </w:tc>
        <w:tc>
          <w:tcPr>
            <w:tcW w:w="1040" w:type="dxa"/>
            <w:vAlign w:val="bottom"/>
            <w:tcBorders>
              <w:bottom w:val="single" w:sz="8" w:color="auto"/>
            </w:tcBorders>
          </w:tcPr>
          <w:p>
            <w:pPr>
              <w:spacing w:after="0"/>
              <w:rPr>
                <w:sz w:val="3"/>
                <w:szCs w:val="3"/>
                <w:color w:val="auto"/>
              </w:rPr>
            </w:pPr>
          </w:p>
        </w:tc>
        <w:tc>
          <w:tcPr>
            <w:tcW w:w="4100" w:type="dxa"/>
            <w:vAlign w:val="bottom"/>
            <w:tcBorders>
              <w:bottom w:val="single" w:sz="8" w:color="auto"/>
              <w:right w:val="single" w:sz="8" w:color="auto"/>
            </w:tcBorders>
          </w:tcPr>
          <w:p>
            <w:pPr>
              <w:spacing w:after="0"/>
              <w:rPr>
                <w:sz w:val="3"/>
                <w:szCs w:val="3"/>
                <w:color w:val="auto"/>
              </w:rPr>
            </w:pPr>
          </w:p>
        </w:tc>
      </w:tr>
      <w:tr>
        <w:trPr>
          <w:trHeight w:val="190"/>
        </w:trPr>
        <w:tc>
          <w:tcPr>
            <w:tcW w:w="4260" w:type="dxa"/>
            <w:vAlign w:val="bottom"/>
            <w:tcBorders>
              <w:bottom w:val="single" w:sz="8" w:color="auto"/>
              <w:right w:val="single" w:sz="8" w:color="auto"/>
            </w:tcBorders>
            <w:gridSpan w:val="3"/>
          </w:tcPr>
          <w:p>
            <w:pPr>
              <w:ind w:left="60"/>
              <w:spacing w:after="0" w:line="190" w:lineRule="exact"/>
              <w:rPr>
                <w:sz w:val="20"/>
                <w:szCs w:val="20"/>
                <w:color w:val="auto"/>
              </w:rPr>
            </w:pPr>
            <w:r>
              <w:rPr>
                <w:rFonts w:ascii="Arial" w:cs="Arial" w:eastAsia="Arial" w:hAnsi="Arial"/>
                <w:sz w:val="14"/>
                <w:szCs w:val="14"/>
                <w:color w:val="auto"/>
              </w:rPr>
              <w:t>Below 25</w:t>
            </w:r>
            <w:r>
              <w:rPr>
                <w:rFonts w:ascii="Arial" w:cs="Arial" w:eastAsia="Arial" w:hAnsi="Arial"/>
                <w:sz w:val="22"/>
                <w:szCs w:val="22"/>
                <w:color w:val="auto"/>
                <w:vertAlign w:val="superscript"/>
              </w:rPr>
              <w:t>th</w:t>
            </w:r>
            <w:r>
              <w:rPr>
                <w:rFonts w:ascii="Arial" w:cs="Arial" w:eastAsia="Arial" w:hAnsi="Arial"/>
                <w:sz w:val="14"/>
                <w:szCs w:val="14"/>
                <w:color w:val="auto"/>
              </w:rPr>
              <w:t xml:space="preserve"> percentile</w:t>
            </w:r>
          </w:p>
        </w:tc>
        <w:tc>
          <w:tcPr>
            <w:tcW w:w="1000" w:type="dxa"/>
            <w:vAlign w:val="bottom"/>
            <w:tcBorders>
              <w:bottom w:val="single" w:sz="8" w:color="auto"/>
            </w:tcBorders>
            <w:gridSpan w:val="2"/>
          </w:tcPr>
          <w:p>
            <w:pPr>
              <w:ind w:left="20"/>
              <w:spacing w:after="0" w:line="190" w:lineRule="exact"/>
              <w:rPr>
                <w:sz w:val="20"/>
                <w:szCs w:val="20"/>
                <w:color w:val="auto"/>
              </w:rPr>
            </w:pPr>
            <w:r>
              <w:rPr>
                <w:rFonts w:ascii="Arial" w:cs="Arial" w:eastAsia="Arial" w:hAnsi="Arial"/>
                <w:sz w:val="18"/>
                <w:szCs w:val="18"/>
                <w:color w:val="auto"/>
              </w:rPr>
              <w:t>0%</w:t>
            </w:r>
          </w:p>
        </w:tc>
        <w:tc>
          <w:tcPr>
            <w:tcW w:w="76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040" w:type="dxa"/>
            <w:vAlign w:val="bottom"/>
            <w:tcBorders>
              <w:bottom w:val="single" w:sz="8" w:color="auto"/>
            </w:tcBorders>
          </w:tcPr>
          <w:p>
            <w:pPr>
              <w:spacing w:after="0"/>
              <w:rPr>
                <w:sz w:val="16"/>
                <w:szCs w:val="16"/>
                <w:color w:val="auto"/>
              </w:rPr>
            </w:pPr>
          </w:p>
        </w:tc>
        <w:tc>
          <w:tcPr>
            <w:tcW w:w="4100" w:type="dxa"/>
            <w:vAlign w:val="bottom"/>
            <w:tcBorders>
              <w:bottom w:val="single" w:sz="8" w:color="auto"/>
            </w:tcBorders>
          </w:tcPr>
          <w:p>
            <w:pPr>
              <w:spacing w:after="0"/>
              <w:rPr>
                <w:sz w:val="16"/>
                <w:szCs w:val="16"/>
                <w:color w:val="auto"/>
              </w:rPr>
            </w:pPr>
          </w:p>
        </w:tc>
      </w:tr>
      <w:tr>
        <w:trPr>
          <w:trHeight w:val="209"/>
        </w:trPr>
        <w:tc>
          <w:tcPr>
            <w:tcW w:w="4260" w:type="dxa"/>
            <w:vAlign w:val="bottom"/>
            <w:tcBorders>
              <w:bottom w:val="single" w:sz="8" w:color="auto"/>
              <w:right w:val="single" w:sz="8" w:color="auto"/>
            </w:tcBorders>
            <w:gridSpan w:val="3"/>
          </w:tcPr>
          <w:p>
            <w:pPr>
              <w:ind w:left="60"/>
              <w:spacing w:after="0" w:line="210" w:lineRule="exact"/>
              <w:rPr>
                <w:sz w:val="20"/>
                <w:szCs w:val="20"/>
                <w:color w:val="auto"/>
              </w:rPr>
            </w:pPr>
            <w:r>
              <w:rPr>
                <w:rFonts w:ascii="Arial" w:cs="Arial" w:eastAsia="Arial" w:hAnsi="Arial"/>
                <w:sz w:val="15"/>
                <w:szCs w:val="15"/>
                <w:color w:val="auto"/>
              </w:rPr>
              <w:t>25</w:t>
            </w:r>
            <w:r>
              <w:rPr>
                <w:rFonts w:ascii="Arial" w:cs="Arial" w:eastAsia="Arial" w:hAnsi="Arial"/>
                <w:sz w:val="24"/>
                <w:szCs w:val="24"/>
                <w:color w:val="auto"/>
                <w:vertAlign w:val="superscript"/>
              </w:rPr>
              <w:t>th</w:t>
            </w:r>
            <w:r>
              <w:rPr>
                <w:rFonts w:ascii="Arial" w:cs="Arial" w:eastAsia="Arial" w:hAnsi="Arial"/>
                <w:sz w:val="15"/>
                <w:szCs w:val="15"/>
                <w:color w:val="auto"/>
              </w:rPr>
              <w:t xml:space="preserve"> to 50</w:t>
            </w:r>
            <w:r>
              <w:rPr>
                <w:rFonts w:ascii="Arial" w:cs="Arial" w:eastAsia="Arial" w:hAnsi="Arial"/>
                <w:sz w:val="24"/>
                <w:szCs w:val="24"/>
                <w:color w:val="auto"/>
                <w:vertAlign w:val="superscript"/>
              </w:rPr>
              <w:t>th</w:t>
            </w:r>
            <w:r>
              <w:rPr>
                <w:rFonts w:ascii="Arial" w:cs="Arial" w:eastAsia="Arial" w:hAnsi="Arial"/>
                <w:sz w:val="15"/>
                <w:szCs w:val="15"/>
                <w:color w:val="auto"/>
              </w:rPr>
              <w:t xml:space="preserve"> percentile</w:t>
            </w:r>
          </w:p>
        </w:tc>
        <w:tc>
          <w:tcPr>
            <w:tcW w:w="20" w:type="dxa"/>
            <w:vAlign w:val="bottom"/>
            <w:tcBorders>
              <w:bottom w:val="single" w:sz="8" w:color="auto"/>
            </w:tcBorders>
          </w:tcPr>
          <w:p>
            <w:pPr>
              <w:spacing w:after="0"/>
              <w:rPr>
                <w:sz w:val="18"/>
                <w:szCs w:val="18"/>
                <w:color w:val="auto"/>
              </w:rPr>
            </w:pPr>
          </w:p>
        </w:tc>
        <w:tc>
          <w:tcPr>
            <w:tcW w:w="6980" w:type="dxa"/>
            <w:vAlign w:val="bottom"/>
            <w:tcBorders>
              <w:bottom w:val="single" w:sz="8" w:color="auto"/>
            </w:tcBorders>
            <w:gridSpan w:val="5"/>
          </w:tcPr>
          <w:p>
            <w:pPr>
              <w:spacing w:after="0" w:line="210" w:lineRule="exact"/>
              <w:rPr>
                <w:sz w:val="20"/>
                <w:szCs w:val="20"/>
                <w:color w:val="auto"/>
              </w:rPr>
            </w:pPr>
            <w:r>
              <w:rPr>
                <w:rFonts w:ascii="Arial" w:cs="Arial" w:eastAsia="Arial" w:hAnsi="Arial"/>
                <w:sz w:val="15"/>
                <w:szCs w:val="15"/>
                <w:color w:val="auto"/>
              </w:rPr>
              <w:t>50%, plus an additional 1.923% for each whole percentile above 25</w:t>
            </w:r>
            <w:r>
              <w:rPr>
                <w:rFonts w:ascii="Arial" w:cs="Arial" w:eastAsia="Arial" w:hAnsi="Arial"/>
                <w:sz w:val="24"/>
                <w:szCs w:val="24"/>
                <w:color w:val="auto"/>
                <w:vertAlign w:val="superscript"/>
              </w:rPr>
              <w:t>th</w:t>
            </w:r>
            <w:r>
              <w:rPr>
                <w:rFonts w:ascii="Arial" w:cs="Arial" w:eastAsia="Arial" w:hAnsi="Arial"/>
                <w:sz w:val="15"/>
                <w:szCs w:val="15"/>
                <w:color w:val="auto"/>
              </w:rPr>
              <w:t xml:space="preserve"> percentile</w:t>
            </w:r>
          </w:p>
        </w:tc>
      </w:tr>
      <w:tr>
        <w:trPr>
          <w:trHeight w:val="210"/>
        </w:trPr>
        <w:tc>
          <w:tcPr>
            <w:tcW w:w="4260" w:type="dxa"/>
            <w:vAlign w:val="bottom"/>
            <w:tcBorders>
              <w:bottom w:val="single" w:sz="8" w:color="auto"/>
              <w:right w:val="single" w:sz="8" w:color="auto"/>
            </w:tcBorders>
            <w:gridSpan w:val="3"/>
          </w:tcPr>
          <w:p>
            <w:pPr>
              <w:ind w:left="60"/>
              <w:spacing w:after="0" w:line="210" w:lineRule="exact"/>
              <w:rPr>
                <w:sz w:val="20"/>
                <w:szCs w:val="20"/>
                <w:color w:val="auto"/>
              </w:rPr>
            </w:pPr>
            <w:r>
              <w:rPr>
                <w:rFonts w:ascii="Arial" w:cs="Arial" w:eastAsia="Arial" w:hAnsi="Arial"/>
                <w:sz w:val="15"/>
                <w:szCs w:val="15"/>
                <w:color w:val="auto"/>
              </w:rPr>
              <w:t>51</w:t>
            </w:r>
            <w:r>
              <w:rPr>
                <w:rFonts w:ascii="Arial" w:cs="Arial" w:eastAsia="Arial" w:hAnsi="Arial"/>
                <w:sz w:val="24"/>
                <w:szCs w:val="24"/>
                <w:color w:val="auto"/>
                <w:vertAlign w:val="superscript"/>
              </w:rPr>
              <w:t>st</w:t>
            </w:r>
            <w:r>
              <w:rPr>
                <w:rFonts w:ascii="Arial" w:cs="Arial" w:eastAsia="Arial" w:hAnsi="Arial"/>
                <w:sz w:val="15"/>
                <w:szCs w:val="15"/>
                <w:color w:val="auto"/>
              </w:rPr>
              <w:t xml:space="preserve"> to 74</w:t>
            </w:r>
            <w:r>
              <w:rPr>
                <w:rFonts w:ascii="Arial" w:cs="Arial" w:eastAsia="Arial" w:hAnsi="Arial"/>
                <w:sz w:val="24"/>
                <w:szCs w:val="24"/>
                <w:color w:val="auto"/>
                <w:vertAlign w:val="superscript"/>
              </w:rPr>
              <w:t>th</w:t>
            </w:r>
            <w:r>
              <w:rPr>
                <w:rFonts w:ascii="Arial" w:cs="Arial" w:eastAsia="Arial" w:hAnsi="Arial"/>
                <w:sz w:val="15"/>
                <w:szCs w:val="15"/>
                <w:color w:val="auto"/>
              </w:rPr>
              <w:t xml:space="preserve"> percentile</w:t>
            </w:r>
          </w:p>
        </w:tc>
        <w:tc>
          <w:tcPr>
            <w:tcW w:w="20" w:type="dxa"/>
            <w:vAlign w:val="bottom"/>
            <w:tcBorders>
              <w:bottom w:val="single" w:sz="8" w:color="auto"/>
            </w:tcBorders>
          </w:tcPr>
          <w:p>
            <w:pPr>
              <w:spacing w:after="0"/>
              <w:rPr>
                <w:sz w:val="18"/>
                <w:szCs w:val="18"/>
                <w:color w:val="auto"/>
              </w:rPr>
            </w:pPr>
          </w:p>
        </w:tc>
        <w:tc>
          <w:tcPr>
            <w:tcW w:w="6980" w:type="dxa"/>
            <w:vAlign w:val="bottom"/>
            <w:tcBorders>
              <w:bottom w:val="single" w:sz="8" w:color="auto"/>
            </w:tcBorders>
            <w:gridSpan w:val="5"/>
          </w:tcPr>
          <w:p>
            <w:pPr>
              <w:spacing w:after="0" w:line="210" w:lineRule="exact"/>
              <w:rPr>
                <w:sz w:val="20"/>
                <w:szCs w:val="20"/>
                <w:color w:val="auto"/>
              </w:rPr>
            </w:pPr>
            <w:r>
              <w:rPr>
                <w:rFonts w:ascii="Arial" w:cs="Arial" w:eastAsia="Arial" w:hAnsi="Arial"/>
                <w:sz w:val="15"/>
                <w:szCs w:val="15"/>
                <w:color w:val="auto"/>
              </w:rPr>
              <w:t>100%, plus an additional 2.083% for each whole percentile above 51</w:t>
            </w:r>
            <w:r>
              <w:rPr>
                <w:rFonts w:ascii="Arial" w:cs="Arial" w:eastAsia="Arial" w:hAnsi="Arial"/>
                <w:sz w:val="24"/>
                <w:szCs w:val="24"/>
                <w:color w:val="auto"/>
                <w:vertAlign w:val="superscript"/>
              </w:rPr>
              <w:t>st</w:t>
            </w:r>
            <w:r>
              <w:rPr>
                <w:rFonts w:ascii="Arial" w:cs="Arial" w:eastAsia="Arial" w:hAnsi="Arial"/>
                <w:sz w:val="15"/>
                <w:szCs w:val="15"/>
                <w:color w:val="auto"/>
              </w:rPr>
              <w:t xml:space="preserve"> percentile</w:t>
            </w:r>
          </w:p>
        </w:tc>
      </w:tr>
      <w:tr>
        <w:trPr>
          <w:trHeight w:val="209"/>
        </w:trPr>
        <w:tc>
          <w:tcPr>
            <w:tcW w:w="4260" w:type="dxa"/>
            <w:vAlign w:val="bottom"/>
            <w:tcBorders>
              <w:bottom w:val="single" w:sz="8" w:color="auto"/>
              <w:right w:val="single" w:sz="8" w:color="auto"/>
            </w:tcBorders>
            <w:gridSpan w:val="3"/>
          </w:tcPr>
          <w:p>
            <w:pPr>
              <w:ind w:left="60"/>
              <w:spacing w:after="0" w:line="210" w:lineRule="exact"/>
              <w:rPr>
                <w:sz w:val="20"/>
                <w:szCs w:val="20"/>
                <w:color w:val="auto"/>
              </w:rPr>
            </w:pPr>
            <w:r>
              <w:rPr>
                <w:rFonts w:ascii="Arial" w:cs="Arial" w:eastAsia="Arial" w:hAnsi="Arial"/>
                <w:sz w:val="15"/>
                <w:szCs w:val="15"/>
                <w:color w:val="auto"/>
              </w:rPr>
              <w:t>75</w:t>
            </w:r>
            <w:r>
              <w:rPr>
                <w:rFonts w:ascii="Arial" w:cs="Arial" w:eastAsia="Arial" w:hAnsi="Arial"/>
                <w:sz w:val="24"/>
                <w:szCs w:val="24"/>
                <w:color w:val="auto"/>
                <w:vertAlign w:val="superscript"/>
              </w:rPr>
              <w:t>th</w:t>
            </w:r>
            <w:r>
              <w:rPr>
                <w:rFonts w:ascii="Arial" w:cs="Arial" w:eastAsia="Arial" w:hAnsi="Arial"/>
                <w:sz w:val="15"/>
                <w:szCs w:val="15"/>
                <w:color w:val="auto"/>
              </w:rPr>
              <w:t xml:space="preserve"> percentile or higher</w:t>
            </w:r>
          </w:p>
        </w:tc>
        <w:tc>
          <w:tcPr>
            <w:tcW w:w="1000" w:type="dxa"/>
            <w:vAlign w:val="bottom"/>
            <w:tcBorders>
              <w:bottom w:val="single" w:sz="8" w:color="auto"/>
            </w:tcBorders>
            <w:gridSpan w:val="2"/>
          </w:tcPr>
          <w:p>
            <w:pPr>
              <w:ind w:left="20"/>
              <w:spacing w:after="0"/>
              <w:rPr>
                <w:sz w:val="20"/>
                <w:szCs w:val="20"/>
                <w:color w:val="auto"/>
              </w:rPr>
            </w:pPr>
            <w:r>
              <w:rPr>
                <w:rFonts w:ascii="Arial" w:cs="Arial" w:eastAsia="Arial" w:hAnsi="Arial"/>
                <w:sz w:val="18"/>
                <w:szCs w:val="18"/>
                <w:color w:val="auto"/>
              </w:rPr>
              <w:t>150%</w:t>
            </w:r>
          </w:p>
        </w:tc>
        <w:tc>
          <w:tcPr>
            <w:tcW w:w="760" w:type="dxa"/>
            <w:vAlign w:val="bottom"/>
            <w:tcBorders>
              <w:bottom w:val="single" w:sz="8" w:color="auto"/>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1040" w:type="dxa"/>
            <w:vAlign w:val="bottom"/>
            <w:tcBorders>
              <w:bottom w:val="single" w:sz="8" w:color="auto"/>
            </w:tcBorders>
          </w:tcPr>
          <w:p>
            <w:pPr>
              <w:spacing w:after="0"/>
              <w:rPr>
                <w:sz w:val="18"/>
                <w:szCs w:val="18"/>
                <w:color w:val="auto"/>
              </w:rPr>
            </w:pPr>
          </w:p>
        </w:tc>
        <w:tc>
          <w:tcPr>
            <w:tcW w:w="4100" w:type="dxa"/>
            <w:vAlign w:val="bottom"/>
            <w:tcBorders>
              <w:bottom w:val="single" w:sz="8" w:color="auto"/>
            </w:tcBorders>
          </w:tcPr>
          <w:p>
            <w:pPr>
              <w:spacing w:after="0"/>
              <w:rPr>
                <w:sz w:val="18"/>
                <w:szCs w:val="18"/>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-736600</wp:posOffset>
            </wp:positionV>
            <wp:extent cx="7132320" cy="1379855"/>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106">
                      <a:extLst>
                        <a:ext uri="{28A0092B-C50C-407E-A947-70E740481C1C}"/>
                      </a:extLst>
                    </a:blip>
                    <a:srcRect/>
                    <a:stretch>
                      <a:fillRect/>
                    </a:stretch>
                  </pic:blipFill>
                  <pic:spPr bwMode="auto">
                    <a:xfrm>
                      <a:off x="0" y="0"/>
                      <a:ext cx="7132320" cy="1379855"/>
                    </a:xfrm>
                    <a:prstGeom prst="rect">
                      <a:avLst/>
                    </a:prstGeom>
                    <a:noFill/>
                  </pic:spPr>
                </pic:pic>
              </a:graphicData>
            </a:graphic>
          </wp:anchor>
        </w:drawing>
      </w:r>
    </w:p>
    <w:p>
      <w:pPr>
        <w:jc w:val="center"/>
        <w:ind w:right="80"/>
        <w:spacing w:after="0" w:line="205" w:lineRule="auto"/>
        <w:rPr>
          <w:sz w:val="20"/>
          <w:szCs w:val="20"/>
          <w:color w:val="auto"/>
        </w:rPr>
      </w:pPr>
      <w:r>
        <w:rPr>
          <w:rFonts w:ascii="Arial" w:cs="Arial" w:eastAsia="Arial" w:hAnsi="Arial"/>
          <w:sz w:val="18"/>
          <w:szCs w:val="18"/>
          <w:b w:val="1"/>
          <w:bCs w:val="1"/>
          <w:i w:val="1"/>
          <w:iCs w:val="1"/>
          <w:color w:val="auto"/>
        </w:rPr>
        <w:t>Examples</w:t>
      </w:r>
      <w:r>
        <w:rPr>
          <w:rFonts w:ascii="Arial" w:cs="Arial" w:eastAsia="Arial" w:hAnsi="Arial"/>
          <w:sz w:val="18"/>
          <w:szCs w:val="18"/>
          <w:color w:val="auto"/>
        </w:rPr>
        <w:t>: If the Company’s</w:t>
      </w:r>
      <w:r>
        <w:rPr>
          <w:rFonts w:ascii="Arial" w:cs="Arial" w:eastAsia="Arial" w:hAnsi="Arial"/>
          <w:sz w:val="18"/>
          <w:szCs w:val="18"/>
          <w:b w:val="1"/>
          <w:bCs w:val="1"/>
          <w:i w:val="1"/>
          <w:iCs w:val="1"/>
          <w:color w:val="auto"/>
        </w:rPr>
        <w:t xml:space="preserve"> </w:t>
      </w:r>
      <w:r>
        <w:rPr>
          <w:rFonts w:ascii="Arial" w:cs="Arial" w:eastAsia="Arial" w:hAnsi="Arial"/>
          <w:sz w:val="18"/>
          <w:szCs w:val="18"/>
          <w:u w:val="single" w:color="auto"/>
          <w:color w:val="auto"/>
        </w:rPr>
        <w:t>Relative TSR Percentile Rank</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falls into the 37</w:t>
      </w:r>
      <w:r>
        <w:rPr>
          <w:rFonts w:ascii="Arial" w:cs="Arial" w:eastAsia="Arial" w:hAnsi="Arial"/>
          <w:sz w:val="29"/>
          <w:szCs w:val="29"/>
          <w:color w:val="auto"/>
          <w:vertAlign w:val="superscript"/>
        </w:rPr>
        <w:t>th</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percentile (i.e., thirteen percentiles above the</w:t>
      </w:r>
    </w:p>
    <w:p>
      <w:pPr>
        <w:ind w:left="80" w:right="140"/>
        <w:spacing w:after="0" w:line="184" w:lineRule="auto"/>
        <w:rPr>
          <w:sz w:val="20"/>
          <w:szCs w:val="20"/>
          <w:color w:val="auto"/>
        </w:rPr>
      </w:pPr>
      <w:r>
        <w:rPr>
          <w:rFonts w:ascii="Arial" w:cs="Arial" w:eastAsia="Arial" w:hAnsi="Arial"/>
          <w:sz w:val="17"/>
          <w:szCs w:val="17"/>
          <w:color w:val="auto"/>
        </w:rPr>
        <w:t>25</w:t>
      </w:r>
      <w:r>
        <w:rPr>
          <w:rFonts w:ascii="Arial" w:cs="Arial" w:eastAsia="Arial" w:hAnsi="Arial"/>
          <w:sz w:val="28"/>
          <w:szCs w:val="28"/>
          <w:color w:val="auto"/>
          <w:vertAlign w:val="superscript"/>
        </w:rPr>
        <w:t>th</w:t>
      </w:r>
      <w:r>
        <w:rPr>
          <w:rFonts w:ascii="Arial" w:cs="Arial" w:eastAsia="Arial" w:hAnsi="Arial"/>
          <w:sz w:val="17"/>
          <w:szCs w:val="17"/>
          <w:color w:val="auto"/>
        </w:rPr>
        <w:t xml:space="preserve"> percentile), the Performance Factor will be 75% (calculated by multiplying thirteen by 1.923% and adding it to 50%). If the Company’s </w:t>
      </w:r>
      <w:r>
        <w:rPr>
          <w:rFonts w:ascii="Arial" w:cs="Arial" w:eastAsia="Arial" w:hAnsi="Arial"/>
          <w:sz w:val="17"/>
          <w:szCs w:val="17"/>
          <w:u w:val="single" w:color="auto"/>
          <w:color w:val="auto"/>
        </w:rPr>
        <w:t>Relative</w:t>
      </w:r>
      <w:r>
        <w:rPr>
          <w:rFonts w:ascii="Arial" w:cs="Arial" w:eastAsia="Arial" w:hAnsi="Arial"/>
          <w:sz w:val="17"/>
          <w:szCs w:val="17"/>
          <w:color w:val="auto"/>
        </w:rPr>
        <w:t xml:space="preserve"> </w:t>
      </w:r>
      <w:r>
        <w:rPr>
          <w:rFonts w:ascii="Arial" w:cs="Arial" w:eastAsia="Arial" w:hAnsi="Arial"/>
          <w:sz w:val="17"/>
          <w:szCs w:val="17"/>
          <w:u w:val="single" w:color="auto"/>
          <w:color w:val="auto"/>
        </w:rPr>
        <w:t>TSR Percentile Rank</w:t>
      </w:r>
      <w:r>
        <w:rPr>
          <w:rFonts w:ascii="Arial" w:cs="Arial" w:eastAsia="Arial" w:hAnsi="Arial"/>
          <w:sz w:val="17"/>
          <w:szCs w:val="17"/>
          <w:color w:val="auto"/>
        </w:rPr>
        <w:t xml:space="preserve"> falls into the 63</w:t>
      </w:r>
      <w:r>
        <w:rPr>
          <w:rFonts w:ascii="Arial" w:cs="Arial" w:eastAsia="Arial" w:hAnsi="Arial"/>
          <w:sz w:val="28"/>
          <w:szCs w:val="28"/>
          <w:color w:val="auto"/>
          <w:vertAlign w:val="superscript"/>
        </w:rPr>
        <w:t>rd</w:t>
      </w:r>
      <w:r>
        <w:rPr>
          <w:rFonts w:ascii="Arial" w:cs="Arial" w:eastAsia="Arial" w:hAnsi="Arial"/>
          <w:sz w:val="17"/>
          <w:szCs w:val="17"/>
          <w:color w:val="auto"/>
        </w:rPr>
        <w:t xml:space="preserve"> percentile (i.e., twelve percentiles above the 51</w:t>
      </w:r>
      <w:r>
        <w:rPr>
          <w:rFonts w:ascii="Arial" w:cs="Arial" w:eastAsia="Arial" w:hAnsi="Arial"/>
          <w:sz w:val="28"/>
          <w:szCs w:val="28"/>
          <w:color w:val="auto"/>
          <w:vertAlign w:val="superscript"/>
        </w:rPr>
        <w:t>st</w:t>
      </w:r>
      <w:r>
        <w:rPr>
          <w:rFonts w:ascii="Arial" w:cs="Arial" w:eastAsia="Arial" w:hAnsi="Arial"/>
          <w:sz w:val="17"/>
          <w:szCs w:val="17"/>
          <w:color w:val="auto"/>
        </w:rPr>
        <w:t xml:space="preserve"> percentile), the Performance Factor will be 125% (calculated by multiplying twelve by 2.083% and adding it to 100%).</w:t>
      </w:r>
    </w:p>
    <w:p>
      <w:pPr>
        <w:spacing w:after="0" w:line="286" w:lineRule="exact"/>
        <w:rPr>
          <w:sz w:val="20"/>
          <w:szCs w:val="20"/>
          <w:color w:val="auto"/>
        </w:rPr>
      </w:pPr>
    </w:p>
    <w:p>
      <w:pPr>
        <w:ind w:left="160" w:right="20" w:hanging="8"/>
        <w:spacing w:after="0" w:line="258" w:lineRule="auto"/>
        <w:tabs>
          <w:tab w:leader="none" w:pos="300" w:val="left"/>
        </w:tabs>
        <w:numPr>
          <w:ilvl w:val="0"/>
          <w:numId w:val="32"/>
        </w:numPr>
        <w:rPr>
          <w:rFonts w:ascii="Arial" w:cs="Arial" w:eastAsia="Arial" w:hAnsi="Arial"/>
          <w:sz w:val="18"/>
          <w:szCs w:val="18"/>
          <w:color w:val="auto"/>
        </w:rPr>
      </w:pPr>
      <w:r>
        <w:rPr>
          <w:rFonts w:ascii="Arial" w:cs="Arial" w:eastAsia="Arial" w:hAnsi="Arial"/>
          <w:sz w:val="18"/>
          <w:szCs w:val="18"/>
          <w:color w:val="auto"/>
        </w:rPr>
        <w:t>Total Shareholder Return for the Company shall be based on the percentage increase/decrease from the Initial Price to the Final Price, and shall reflect the reinvestment of dividends paid (if any) to shareholders of Stock during the Measurement Period.</w:t>
      </w:r>
    </w:p>
    <w:p>
      <w:pPr>
        <w:spacing w:after="0" w:line="1" w:lineRule="exact"/>
        <w:rPr>
          <w:rFonts w:ascii="Arial" w:cs="Arial" w:eastAsia="Arial" w:hAnsi="Arial"/>
          <w:sz w:val="18"/>
          <w:szCs w:val="18"/>
          <w:color w:val="auto"/>
        </w:rPr>
      </w:pPr>
    </w:p>
    <w:p>
      <w:pPr>
        <w:ind w:left="160"/>
        <w:spacing w:after="0"/>
        <w:rPr>
          <w:rFonts w:ascii="Arial" w:cs="Arial" w:eastAsia="Arial" w:hAnsi="Arial"/>
          <w:sz w:val="18"/>
          <w:szCs w:val="18"/>
          <w:color w:val="auto"/>
        </w:rPr>
      </w:pPr>
      <w:r>
        <w:rPr>
          <w:rFonts w:ascii="Arial" w:cs="Arial" w:eastAsia="Arial" w:hAnsi="Arial"/>
          <w:sz w:val="16"/>
          <w:szCs w:val="16"/>
          <w:color w:val="auto"/>
        </w:rPr>
        <w:t>** In all cases, if the Total Shareholder Return is negative at the end of the Measurement Period, the Performance Factor is subject to a cap of 100%.</w:t>
      </w:r>
    </w:p>
    <w:p>
      <w:pPr>
        <w:spacing w:after="0" w:line="234" w:lineRule="exact"/>
        <w:rPr>
          <w:sz w:val="20"/>
          <w:szCs w:val="20"/>
          <w:color w:val="auto"/>
        </w:rPr>
      </w:pPr>
    </w:p>
    <w:p>
      <w:pPr>
        <w:ind w:left="160"/>
        <w:spacing w:after="0"/>
        <w:rPr>
          <w:sz w:val="20"/>
          <w:szCs w:val="20"/>
          <w:color w:val="auto"/>
        </w:rPr>
      </w:pPr>
      <w:r>
        <w:rPr>
          <w:rFonts w:ascii="Arial" w:cs="Arial" w:eastAsia="Arial" w:hAnsi="Arial"/>
          <w:sz w:val="18"/>
          <w:szCs w:val="18"/>
          <w:color w:val="auto"/>
        </w:rPr>
        <w:t>For purposes of the foregoing calculation:</w:t>
      </w:r>
    </w:p>
    <w:p>
      <w:pPr>
        <w:spacing w:after="0" w:line="221" w:lineRule="exact"/>
        <w:rPr>
          <w:sz w:val="20"/>
          <w:szCs w:val="20"/>
          <w:color w:val="auto"/>
        </w:rPr>
      </w:pPr>
    </w:p>
    <w:p>
      <w:pPr>
        <w:jc w:val="both"/>
        <w:ind w:left="160" w:hanging="8"/>
        <w:spacing w:after="0" w:line="266" w:lineRule="auto"/>
        <w:tabs>
          <w:tab w:leader="none" w:pos="556" w:val="left"/>
        </w:tabs>
        <w:numPr>
          <w:ilvl w:val="0"/>
          <w:numId w:val="33"/>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b w:val="1"/>
          <w:bCs w:val="1"/>
          <w:color w:val="auto"/>
        </w:rPr>
        <w:t>Total Shareholder Return</w:t>
      </w:r>
      <w:r>
        <w:rPr>
          <w:rFonts w:ascii="Arial" w:cs="Arial" w:eastAsia="Arial" w:hAnsi="Arial"/>
          <w:sz w:val="18"/>
          <w:szCs w:val="18"/>
          <w:color w:val="auto"/>
        </w:rPr>
        <w:t>” mean the quotient (expressed as a percentage) obtained by dividing (i)(A) the Final Price, plus (B) the aggregate amount of dividends paid in respect of a share of Stock during the Measurement Period (assuming reinvestment of the dividends), minus (C) the Initial Price, by (ii) the Initial Price.</w:t>
      </w:r>
    </w:p>
    <w:p>
      <w:pPr>
        <w:spacing w:after="0" w:line="175" w:lineRule="exact"/>
        <w:rPr>
          <w:rFonts w:ascii="Arial" w:cs="Arial" w:eastAsia="Arial" w:hAnsi="Arial"/>
          <w:sz w:val="18"/>
          <w:szCs w:val="18"/>
          <w:color w:val="auto"/>
        </w:rPr>
      </w:pPr>
    </w:p>
    <w:p>
      <w:pPr>
        <w:ind w:left="460" w:hanging="308"/>
        <w:spacing w:after="0"/>
        <w:tabs>
          <w:tab w:leader="none" w:pos="460" w:val="left"/>
        </w:tabs>
        <w:numPr>
          <w:ilvl w:val="0"/>
          <w:numId w:val="33"/>
        </w:numPr>
        <w:rPr>
          <w:rFonts w:ascii="Arial" w:cs="Arial" w:eastAsia="Arial" w:hAnsi="Arial"/>
          <w:sz w:val="16"/>
          <w:szCs w:val="16"/>
          <w:color w:val="auto"/>
        </w:rPr>
      </w:pPr>
      <w:r>
        <w:rPr>
          <w:rFonts w:ascii="Arial" w:cs="Arial" w:eastAsia="Arial" w:hAnsi="Arial"/>
          <w:sz w:val="16"/>
          <w:szCs w:val="16"/>
          <w:color w:val="auto"/>
        </w:rPr>
        <w:t>“</w:t>
      </w:r>
      <w:r>
        <w:rPr>
          <w:rFonts w:ascii="Arial" w:cs="Arial" w:eastAsia="Arial" w:hAnsi="Arial"/>
          <w:sz w:val="16"/>
          <w:szCs w:val="16"/>
          <w:b w:val="1"/>
          <w:bCs w:val="1"/>
          <w:color w:val="auto"/>
        </w:rPr>
        <w:t>Initial Price</w:t>
      </w:r>
      <w:r>
        <w:rPr>
          <w:rFonts w:ascii="Arial" w:cs="Arial" w:eastAsia="Arial" w:hAnsi="Arial"/>
          <w:sz w:val="16"/>
          <w:szCs w:val="16"/>
          <w:color w:val="auto"/>
        </w:rPr>
        <w:t>” means the average closing price of Stock over the twenty trading day period beginning on the first day of the Performance Period.</w:t>
      </w:r>
    </w:p>
    <w:p>
      <w:pPr>
        <w:spacing w:after="0" w:line="248" w:lineRule="exact"/>
        <w:rPr>
          <w:rFonts w:ascii="Arial" w:cs="Arial" w:eastAsia="Arial" w:hAnsi="Arial"/>
          <w:sz w:val="16"/>
          <w:szCs w:val="16"/>
          <w:color w:val="auto"/>
        </w:rPr>
      </w:pPr>
    </w:p>
    <w:p>
      <w:pPr>
        <w:jc w:val="both"/>
        <w:ind w:left="160" w:hanging="8"/>
        <w:spacing w:after="0" w:line="281" w:lineRule="auto"/>
        <w:tabs>
          <w:tab w:leader="none" w:pos="556" w:val="left"/>
        </w:tabs>
        <w:numPr>
          <w:ilvl w:val="0"/>
          <w:numId w:val="33"/>
        </w:numPr>
        <w:rPr>
          <w:rFonts w:ascii="Arial" w:cs="Arial" w:eastAsia="Arial" w:hAnsi="Arial"/>
          <w:sz w:val="17"/>
          <w:szCs w:val="17"/>
          <w:color w:val="auto"/>
        </w:rPr>
      </w:pPr>
      <w:r>
        <w:rPr>
          <w:rFonts w:ascii="Arial" w:cs="Arial" w:eastAsia="Arial" w:hAnsi="Arial"/>
          <w:sz w:val="17"/>
          <w:szCs w:val="17"/>
          <w:color w:val="auto"/>
        </w:rPr>
        <w:t>“</w:t>
      </w:r>
      <w:r>
        <w:rPr>
          <w:rFonts w:ascii="Arial" w:cs="Arial" w:eastAsia="Arial" w:hAnsi="Arial"/>
          <w:sz w:val="17"/>
          <w:szCs w:val="17"/>
          <w:b w:val="1"/>
          <w:bCs w:val="1"/>
          <w:color w:val="auto"/>
        </w:rPr>
        <w:t>Final Price</w:t>
      </w:r>
      <w:r>
        <w:rPr>
          <w:rFonts w:ascii="Arial" w:cs="Arial" w:eastAsia="Arial" w:hAnsi="Arial"/>
          <w:sz w:val="17"/>
          <w:szCs w:val="17"/>
          <w:color w:val="auto"/>
        </w:rPr>
        <w:t>” means the average closing price of Stock over the twenty trading day period ending on the last day of the Measurement Period, provided that in connection with a Change in Control, the Final Price shall be the per share purchase price in the Change in Control, except in the case of a Change in Control as described in clause (b) of the definition of Change in Control in the Plan, the Final Price shall be the average closing price of Common Stock over the twenty trading day period ending on the date of such Change in Control.</w:t>
      </w:r>
    </w:p>
    <w:p>
      <w:pPr>
        <w:spacing w:after="0" w:line="164" w:lineRule="exact"/>
        <w:rPr>
          <w:rFonts w:ascii="Arial" w:cs="Arial" w:eastAsia="Arial" w:hAnsi="Arial"/>
          <w:sz w:val="17"/>
          <w:szCs w:val="17"/>
          <w:color w:val="auto"/>
        </w:rPr>
      </w:pPr>
    </w:p>
    <w:p>
      <w:pPr>
        <w:ind w:left="160" w:hanging="8"/>
        <w:spacing w:after="0" w:line="282" w:lineRule="auto"/>
        <w:tabs>
          <w:tab w:leader="none" w:pos="569" w:val="left"/>
        </w:tabs>
        <w:numPr>
          <w:ilvl w:val="0"/>
          <w:numId w:val="33"/>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b w:val="1"/>
          <w:bCs w:val="1"/>
          <w:color w:val="auto"/>
        </w:rPr>
        <w:t>Measurement Period</w:t>
      </w:r>
      <w:r>
        <w:rPr>
          <w:rFonts w:ascii="Arial" w:cs="Arial" w:eastAsia="Arial" w:hAnsi="Arial"/>
          <w:sz w:val="18"/>
          <w:szCs w:val="18"/>
          <w:color w:val="auto"/>
        </w:rPr>
        <w:t>” means the Performance Period; provided that in the event of a Change in Control, Total Shareholder Return shall be calculated through the date of the Change in Control as provided in the Agreement.</w:t>
      </w:r>
    </w:p>
    <w:p>
      <w:pPr>
        <w:spacing w:after="0" w:line="161" w:lineRule="exact"/>
        <w:rPr>
          <w:rFonts w:ascii="Arial" w:cs="Arial" w:eastAsia="Arial" w:hAnsi="Arial"/>
          <w:sz w:val="18"/>
          <w:szCs w:val="18"/>
          <w:color w:val="auto"/>
        </w:rPr>
      </w:pPr>
    </w:p>
    <w:p>
      <w:pPr>
        <w:ind w:left="160" w:right="20" w:hanging="8"/>
        <w:spacing w:after="0" w:line="282" w:lineRule="auto"/>
        <w:tabs>
          <w:tab w:leader="none" w:pos="628" w:val="left"/>
        </w:tabs>
        <w:numPr>
          <w:ilvl w:val="0"/>
          <w:numId w:val="33"/>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b w:val="1"/>
          <w:bCs w:val="1"/>
          <w:color w:val="auto"/>
        </w:rPr>
        <w:t>Relative TSR Percentile Rank</w:t>
      </w:r>
      <w:r>
        <w:rPr>
          <w:rFonts w:ascii="Arial" w:cs="Arial" w:eastAsia="Arial" w:hAnsi="Arial"/>
          <w:sz w:val="18"/>
          <w:szCs w:val="18"/>
          <w:color w:val="auto"/>
        </w:rPr>
        <w:t>” means the percentile within the Index Constituent Companies (as defined below) that the Company’s Total Shareholder Return would have for the Measurement Period.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337185</wp:posOffset>
            </wp:positionV>
            <wp:extent cx="7132320" cy="17145"/>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10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567" w:right="339" w:bottom="1440" w:gutter="0" w:footer="0" w:header="0"/>
        </w:sectPr>
      </w:pPr>
    </w:p>
    <w:bookmarkStart w:id="66" w:name="page67"/>
    <w:bookmarkEnd w:id="66"/>
    <w:p>
      <w:pPr>
        <w:jc w:val="both"/>
        <w:ind w:left="8" w:right="20" w:hanging="8"/>
        <w:spacing w:after="0" w:line="311" w:lineRule="auto"/>
        <w:tabs>
          <w:tab w:leader="none" w:pos="243" w:val="left"/>
        </w:tabs>
        <w:numPr>
          <w:ilvl w:val="0"/>
          <w:numId w:val="34"/>
        </w:numPr>
        <w:rPr>
          <w:rFonts w:ascii="Arial" w:cs="Arial" w:eastAsia="Arial" w:hAnsi="Arial"/>
          <w:sz w:val="16"/>
          <w:szCs w:val="16"/>
          <w:color w:val="auto"/>
        </w:rPr>
      </w:pPr>
      <w:r>
        <w:rPr>
          <w:rFonts w:ascii="Arial" w:cs="Arial" w:eastAsia="Arial" w:hAnsi="Arial"/>
          <w:sz w:val="16"/>
          <w:szCs w:val="16"/>
          <w:color w:val="auto"/>
        </w:rPr>
        <w:t>If the Company’s Relative TSR Percentile Rank falls between the measuring points, the Company’s Relative TSR Percentile Rank will be rounded to the nearest whole percentage point. With respect to the Index Constituent Companies, such Initial Price and Final Price shall be determined on a component basis (assuming dividend reinvestment) during the applicable twenty (20) trading day periods using an open approach).</w:t>
      </w:r>
    </w:p>
    <w:p>
      <w:pPr>
        <w:spacing w:after="0" w:line="144" w:lineRule="exact"/>
        <w:rPr>
          <w:rFonts w:ascii="Arial" w:cs="Arial" w:eastAsia="Arial" w:hAnsi="Arial"/>
          <w:sz w:val="16"/>
          <w:szCs w:val="16"/>
          <w:color w:val="auto"/>
        </w:rPr>
      </w:pPr>
    </w:p>
    <w:p>
      <w:pPr>
        <w:jc w:val="both"/>
        <w:ind w:left="8" w:hanging="8"/>
        <w:spacing w:after="0" w:line="261" w:lineRule="auto"/>
        <w:tabs>
          <w:tab w:leader="none" w:pos="371" w:val="left"/>
        </w:tabs>
        <w:numPr>
          <w:ilvl w:val="0"/>
          <w:numId w:val="34"/>
        </w:numPr>
        <w:rPr>
          <w:rFonts w:ascii="Arial" w:cs="Arial" w:eastAsia="Arial" w:hAnsi="Arial"/>
          <w:sz w:val="18"/>
          <w:szCs w:val="18"/>
          <w:color w:val="auto"/>
        </w:rPr>
      </w:pPr>
      <w:r>
        <w:rPr>
          <w:rFonts w:ascii="Arial" w:cs="Arial" w:eastAsia="Arial" w:hAnsi="Arial"/>
          <w:sz w:val="18"/>
          <w:szCs w:val="18"/>
          <w:color w:val="auto"/>
        </w:rPr>
        <w:t>The companies included from the Russell 2000 Index for purposes of the Relative TSR Percentile Rank calculation (the “</w:t>
      </w:r>
      <w:r>
        <w:rPr>
          <w:rFonts w:ascii="Arial" w:cs="Arial" w:eastAsia="Arial" w:hAnsi="Arial"/>
          <w:sz w:val="18"/>
          <w:szCs w:val="18"/>
          <w:b w:val="1"/>
          <w:bCs w:val="1"/>
          <w:color w:val="auto"/>
        </w:rPr>
        <w:t>Index Constituent</w:t>
      </w:r>
      <w:r>
        <w:rPr>
          <w:rFonts w:ascii="Arial" w:cs="Arial" w:eastAsia="Arial" w:hAnsi="Arial"/>
          <w:sz w:val="18"/>
          <w:szCs w:val="18"/>
          <w:color w:val="auto"/>
        </w:rPr>
        <w:t xml:space="preserve"> </w:t>
      </w:r>
      <w:r>
        <w:rPr>
          <w:rFonts w:ascii="Arial" w:cs="Arial" w:eastAsia="Arial" w:hAnsi="Arial"/>
          <w:sz w:val="18"/>
          <w:szCs w:val="18"/>
          <w:b w:val="1"/>
          <w:bCs w:val="1"/>
          <w:color w:val="auto"/>
        </w:rPr>
        <w:t>Companies</w:t>
      </w:r>
      <w:r>
        <w:rPr>
          <w:rFonts w:ascii="Arial" w:cs="Arial" w:eastAsia="Arial" w:hAnsi="Arial"/>
          <w:sz w:val="18"/>
          <w:szCs w:val="18"/>
          <w:color w:val="auto"/>
        </w:rPr>
        <w:t>”) will be determined on the first day of the Measurement Period and will be changed only in accordance with the following and no company</w:t>
      </w:r>
      <w:r>
        <w:rPr>
          <w:rFonts w:ascii="Arial" w:cs="Arial" w:eastAsia="Arial" w:hAnsi="Arial"/>
          <w:sz w:val="18"/>
          <w:szCs w:val="18"/>
          <w:b w:val="1"/>
          <w:bCs w:val="1"/>
          <w:color w:val="auto"/>
        </w:rPr>
        <w:t xml:space="preserve"> </w:t>
      </w:r>
      <w:r>
        <w:rPr>
          <w:rFonts w:ascii="Arial" w:cs="Arial" w:eastAsia="Arial" w:hAnsi="Arial"/>
          <w:sz w:val="18"/>
          <w:szCs w:val="18"/>
          <w:color w:val="auto"/>
        </w:rPr>
        <w:t>shall be added during the Measurement Period for purposes of the Relative TSR Percentile Rank calculation. The Index Constituent Companies for purposes of the Relative TSR Percentile Rank calculation will be subject to change as follows:</w:t>
      </w:r>
    </w:p>
    <w:p>
      <w:pPr>
        <w:spacing w:after="0" w:line="183" w:lineRule="exact"/>
        <w:rPr>
          <w:rFonts w:ascii="Arial" w:cs="Arial" w:eastAsia="Arial" w:hAnsi="Arial"/>
          <w:sz w:val="18"/>
          <w:szCs w:val="18"/>
          <w:color w:val="auto"/>
        </w:rPr>
      </w:pPr>
    </w:p>
    <w:p>
      <w:pPr>
        <w:jc w:val="both"/>
        <w:ind w:left="8" w:firstLine="1450"/>
        <w:spacing w:after="0" w:line="259" w:lineRule="auto"/>
        <w:tabs>
          <w:tab w:leader="none" w:pos="1754" w:val="left"/>
        </w:tabs>
        <w:numPr>
          <w:ilvl w:val="1"/>
          <w:numId w:val="34"/>
        </w:numPr>
        <w:rPr>
          <w:rFonts w:ascii="Arial" w:cs="Arial" w:eastAsia="Arial" w:hAnsi="Arial"/>
          <w:sz w:val="18"/>
          <w:szCs w:val="18"/>
          <w:color w:val="auto"/>
        </w:rPr>
      </w:pPr>
      <w:r>
        <w:rPr>
          <w:rFonts w:ascii="Arial" w:cs="Arial" w:eastAsia="Arial" w:hAnsi="Arial"/>
          <w:sz w:val="18"/>
          <w:szCs w:val="18"/>
          <w:color w:val="auto"/>
        </w:rPr>
        <w:t>In the event of a merger, acquisition or business combination transaction of a company in the Index Constituent Companies in which the company in the Index Constituent Companies is the surviving entity and remains publicly traded, the surviving entity shall remain a company in the Index Constituent Companies. Any entity involved in the transaction that is not the surviving company shall no longer be a company in the Index Constituent Companies.</w:t>
      </w:r>
    </w:p>
    <w:p>
      <w:pPr>
        <w:spacing w:after="0" w:line="213" w:lineRule="exact"/>
        <w:rPr>
          <w:rFonts w:ascii="Arial" w:cs="Arial" w:eastAsia="Arial" w:hAnsi="Arial"/>
          <w:sz w:val="18"/>
          <w:szCs w:val="18"/>
          <w:color w:val="auto"/>
        </w:rPr>
      </w:pPr>
    </w:p>
    <w:p>
      <w:pPr>
        <w:jc w:val="both"/>
        <w:ind w:left="8" w:firstLine="1450"/>
        <w:spacing w:after="0" w:line="259" w:lineRule="auto"/>
        <w:tabs>
          <w:tab w:leader="none" w:pos="1802" w:val="left"/>
        </w:tabs>
        <w:numPr>
          <w:ilvl w:val="1"/>
          <w:numId w:val="34"/>
        </w:numPr>
        <w:rPr>
          <w:rFonts w:ascii="Arial" w:cs="Arial" w:eastAsia="Arial" w:hAnsi="Arial"/>
          <w:sz w:val="18"/>
          <w:szCs w:val="18"/>
          <w:color w:val="auto"/>
        </w:rPr>
      </w:pPr>
      <w:r>
        <w:rPr>
          <w:rFonts w:ascii="Arial" w:cs="Arial" w:eastAsia="Arial" w:hAnsi="Arial"/>
          <w:sz w:val="18"/>
          <w:szCs w:val="18"/>
          <w:color w:val="auto"/>
        </w:rPr>
        <w:t>In the event of a merger, acquisition or business combination transaction of a company in the Index Constituent Companies, a “going private” transaction or other event involving a company in the Index Constituent Companies or the liquidation of a company in the Index Constituent Companies, in each case where the company in the Index Constituent Companies is not the surviving entity or is no longer publicly traded, the company shall no longer be a company in the Index Constituent Companies.</w:t>
      </w:r>
    </w:p>
    <w:p>
      <w:pPr>
        <w:spacing w:after="0" w:line="186" w:lineRule="exact"/>
        <w:rPr>
          <w:rFonts w:ascii="Arial" w:cs="Arial" w:eastAsia="Arial" w:hAnsi="Arial"/>
          <w:sz w:val="18"/>
          <w:szCs w:val="18"/>
          <w:color w:val="auto"/>
        </w:rPr>
      </w:pPr>
    </w:p>
    <w:p>
      <w:pPr>
        <w:jc w:val="both"/>
        <w:ind w:left="8" w:firstLine="1450"/>
        <w:spacing w:after="0" w:line="286" w:lineRule="auto"/>
        <w:tabs>
          <w:tab w:leader="none" w:pos="1880" w:val="left"/>
        </w:tabs>
        <w:numPr>
          <w:ilvl w:val="1"/>
          <w:numId w:val="34"/>
        </w:numPr>
        <w:rPr>
          <w:rFonts w:ascii="Arial" w:cs="Arial" w:eastAsia="Arial" w:hAnsi="Arial"/>
          <w:sz w:val="17"/>
          <w:szCs w:val="17"/>
          <w:color w:val="auto"/>
        </w:rPr>
      </w:pPr>
      <w:r>
        <w:rPr>
          <w:rFonts w:ascii="Arial" w:cs="Arial" w:eastAsia="Arial" w:hAnsi="Arial"/>
          <w:sz w:val="17"/>
          <w:szCs w:val="17"/>
          <w:color w:val="auto"/>
        </w:rPr>
        <w:t>Notwithstanding the foregoing, in the event of a bankruptcy of a company in the Index Constituent Companies where the company in the Index Constituent Companies is not publicly traded at the end of the Measurement Period, such company shall remain a company in the Index Constituent Companies but shall be deemed to have a Total Shareholder Return of negative 100% (-100%).</w:t>
      </w:r>
    </w:p>
    <w:p>
      <w:pPr>
        <w:spacing w:after="0" w:line="165" w:lineRule="exact"/>
        <w:rPr>
          <w:sz w:val="20"/>
          <w:szCs w:val="20"/>
          <w:color w:val="auto"/>
        </w:rPr>
      </w:pPr>
    </w:p>
    <w:p>
      <w:pPr>
        <w:jc w:val="center"/>
        <w:ind w:right="132"/>
        <w:spacing w:after="0"/>
        <w:rPr>
          <w:sz w:val="20"/>
          <w:szCs w:val="20"/>
          <w:color w:val="auto"/>
        </w:rPr>
      </w:pPr>
      <w:r>
        <w:rPr>
          <w:rFonts w:ascii="Arial" w:cs="Arial" w:eastAsia="Arial" w:hAnsi="Arial"/>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-90805</wp:posOffset>
            </wp:positionH>
            <wp:positionV relativeFrom="paragraph">
              <wp:posOffset>83185</wp:posOffset>
            </wp:positionV>
            <wp:extent cx="7132320" cy="17145"/>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10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088"/>
          </w:cols>
          <w:pgMar w:left="472" w:top="584" w:right="339" w:bottom="1440" w:gutter="0" w:footer="0" w:header="0"/>
        </w:sectPr>
      </w:pPr>
    </w:p>
    <w:bookmarkStart w:id="67" w:name="page68"/>
    <w:bookmarkEnd w:id="67"/>
    <w:p>
      <w:pPr>
        <w:ind w:left="8340"/>
        <w:spacing w:after="0"/>
        <w:rPr>
          <w:sz w:val="20"/>
          <w:szCs w:val="20"/>
          <w:color w:val="auto"/>
        </w:rPr>
      </w:pPr>
      <w:r>
        <w:rPr>
          <w:rFonts w:ascii="Arial" w:cs="Arial" w:eastAsia="Arial" w:hAnsi="Arial"/>
          <w:sz w:val="16"/>
          <w:szCs w:val="16"/>
          <w:b w:val="1"/>
          <w:bCs w:val="1"/>
          <w:color w:val="auto"/>
        </w:rPr>
        <w:t>Award Number: ___________</w:t>
      </w:r>
    </w:p>
    <w:p>
      <w:pPr>
        <w:spacing w:after="0" w:line="275" w:lineRule="exact"/>
        <w:rPr>
          <w:sz w:val="20"/>
          <w:szCs w:val="20"/>
          <w:color w:val="auto"/>
        </w:rPr>
      </w:pPr>
    </w:p>
    <w:p>
      <w:pPr>
        <w:jc w:val="center"/>
        <w:ind w:right="400"/>
        <w:spacing w:after="0"/>
        <w:rPr>
          <w:sz w:val="20"/>
          <w:szCs w:val="20"/>
          <w:color w:val="auto"/>
        </w:rPr>
      </w:pPr>
      <w:r>
        <w:rPr>
          <w:rFonts w:ascii="Arial" w:cs="Arial" w:eastAsia="Arial" w:hAnsi="Arial"/>
          <w:sz w:val="18"/>
          <w:szCs w:val="18"/>
          <w:b w:val="1"/>
          <w:bCs w:val="1"/>
          <w:color w:val="auto"/>
        </w:rPr>
        <w:t>HARVARD BIOSCIENCE, INC.</w:t>
      </w:r>
    </w:p>
    <w:p>
      <w:pPr>
        <w:spacing w:after="0" w:line="27" w:lineRule="exact"/>
        <w:rPr>
          <w:sz w:val="20"/>
          <w:szCs w:val="20"/>
          <w:color w:val="auto"/>
        </w:rPr>
      </w:pPr>
    </w:p>
    <w:p>
      <w:pPr>
        <w:jc w:val="center"/>
        <w:ind w:right="400"/>
        <w:spacing w:after="0"/>
        <w:rPr>
          <w:sz w:val="20"/>
          <w:szCs w:val="20"/>
          <w:color w:val="auto"/>
        </w:rPr>
      </w:pPr>
      <w:r>
        <w:rPr>
          <w:rFonts w:ascii="Arial" w:cs="Arial" w:eastAsia="Arial" w:hAnsi="Arial"/>
          <w:sz w:val="18"/>
          <w:szCs w:val="18"/>
          <w:b w:val="1"/>
          <w:bCs w:val="1"/>
          <w:color w:val="auto"/>
        </w:rPr>
        <w:t>2021 INCENTIVE PLAN</w:t>
      </w:r>
    </w:p>
    <w:p>
      <w:pPr>
        <w:spacing w:after="0" w:line="207" w:lineRule="exact"/>
        <w:rPr>
          <w:sz w:val="20"/>
          <w:szCs w:val="20"/>
          <w:color w:val="auto"/>
        </w:rPr>
      </w:pPr>
    </w:p>
    <w:p>
      <w:pPr>
        <w:ind w:left="3360"/>
        <w:spacing w:after="0"/>
        <w:rPr>
          <w:sz w:val="20"/>
          <w:szCs w:val="20"/>
          <w:color w:val="auto"/>
        </w:rPr>
      </w:pPr>
      <w:r>
        <w:rPr>
          <w:rFonts w:ascii="Arial" w:cs="Arial" w:eastAsia="Arial" w:hAnsi="Arial"/>
          <w:sz w:val="18"/>
          <w:szCs w:val="18"/>
          <w:b w:val="1"/>
          <w:bCs w:val="1"/>
          <w:u w:val="single" w:color="auto"/>
          <w:color w:val="auto"/>
        </w:rPr>
        <w:t>RESTRICTED STOCK UNIT AGREEMENT</w:t>
      </w:r>
    </w:p>
    <w:p>
      <w:pPr>
        <w:spacing w:after="0" w:line="229" w:lineRule="exact"/>
        <w:rPr>
          <w:sz w:val="20"/>
          <w:szCs w:val="20"/>
          <w:color w:val="auto"/>
        </w:rPr>
      </w:pPr>
    </w:p>
    <w:p>
      <w:pPr>
        <w:ind w:left="320" w:right="80" w:hanging="319"/>
        <w:spacing w:after="0" w:line="275" w:lineRule="auto"/>
        <w:tabs>
          <w:tab w:leader="none" w:pos="320" w:val="left"/>
        </w:tabs>
        <w:numPr>
          <w:ilvl w:val="0"/>
          <w:numId w:val="35"/>
        </w:numPr>
        <w:rPr>
          <w:rFonts w:ascii="Arial" w:cs="Arial" w:eastAsia="Arial" w:hAnsi="Arial"/>
          <w:sz w:val="17"/>
          <w:szCs w:val="17"/>
          <w:color w:val="auto"/>
        </w:rPr>
      </w:pPr>
      <w:r>
        <w:rPr>
          <w:rFonts w:ascii="Arial" w:cs="Arial" w:eastAsia="Arial" w:hAnsi="Arial"/>
          <w:sz w:val="17"/>
          <w:szCs w:val="17"/>
          <w:u w:val="single" w:color="auto"/>
          <w:color w:val="auto"/>
        </w:rPr>
        <w:t>Grant of Restricted Stock Units</w:t>
      </w:r>
      <w:r>
        <w:rPr>
          <w:rFonts w:ascii="Arial" w:cs="Arial" w:eastAsia="Arial" w:hAnsi="Arial"/>
          <w:sz w:val="17"/>
          <w:szCs w:val="17"/>
          <w:color w:val="auto"/>
        </w:rPr>
        <w:t>. Harvard Bioscience, Inc., a Delaware corporation (the “Company”), hereby grants to the Participant (the “Participant”) named in the Notice of Restricted Stock Unit Award (the “Notice”), the number of restricted stock units (“Restricted Stock Units” or “RSUs”) indicated in the Notice, subject to the terms and provisions of the Notice, this Restricted Stock Unit Award Agreement (this “RSU Agreement”) and the Company’s 2021 Incentive Plan (as amended from time to time, the “Plan”), which are incorporated herein by reference. Capitalized terms used but not defined herein shall have the meaning ascribed to them in the Plan.</w:t>
      </w:r>
    </w:p>
    <w:p>
      <w:pPr>
        <w:spacing w:after="0" w:line="176" w:lineRule="exact"/>
        <w:rPr>
          <w:rFonts w:ascii="Arial" w:cs="Arial" w:eastAsia="Arial" w:hAnsi="Arial"/>
          <w:sz w:val="17"/>
          <w:szCs w:val="17"/>
          <w:color w:val="auto"/>
        </w:rPr>
      </w:pPr>
    </w:p>
    <w:p>
      <w:pPr>
        <w:ind w:left="320" w:right="40" w:hanging="319"/>
        <w:spacing w:after="0" w:line="257" w:lineRule="auto"/>
        <w:tabs>
          <w:tab w:leader="none" w:pos="320" w:val="left"/>
        </w:tabs>
        <w:numPr>
          <w:ilvl w:val="0"/>
          <w:numId w:val="35"/>
        </w:numPr>
        <w:rPr>
          <w:rFonts w:ascii="Arial" w:cs="Arial" w:eastAsia="Arial" w:hAnsi="Arial"/>
          <w:sz w:val="18"/>
          <w:szCs w:val="18"/>
          <w:color w:val="auto"/>
        </w:rPr>
      </w:pPr>
      <w:r>
        <w:rPr>
          <w:rFonts w:ascii="Arial" w:cs="Arial" w:eastAsia="Arial" w:hAnsi="Arial"/>
          <w:sz w:val="18"/>
          <w:szCs w:val="18"/>
          <w:u w:val="single" w:color="auto"/>
          <w:color w:val="auto"/>
        </w:rPr>
        <w:t>Company</w:t>
      </w:r>
      <w:r>
        <w:rPr>
          <w:rFonts w:ascii="Arial" w:cs="Arial" w:eastAsia="Arial" w:hAnsi="Arial"/>
          <w:sz w:val="18"/>
          <w:szCs w:val="18"/>
          <w:color w:val="auto"/>
        </w:rPr>
        <w:t>’</w:t>
      </w:r>
      <w:r>
        <w:rPr>
          <w:rFonts w:ascii="Arial" w:cs="Arial" w:eastAsia="Arial" w:hAnsi="Arial"/>
          <w:sz w:val="18"/>
          <w:szCs w:val="18"/>
          <w:u w:val="single" w:color="auto"/>
          <w:color w:val="auto"/>
        </w:rPr>
        <w:t>s Obligation to Pay</w:t>
      </w:r>
      <w:r>
        <w:rPr>
          <w:rFonts w:ascii="Arial" w:cs="Arial" w:eastAsia="Arial" w:hAnsi="Arial"/>
          <w:sz w:val="18"/>
          <w:szCs w:val="18"/>
          <w:color w:val="auto"/>
        </w:rPr>
        <w:t>. Each Restricted Stock Unit represents the right to receive upon vesting thereof one share of Stock subject to Participant satisfying any applicable tax withholding obligations. Any Restricted Stock Units that vest in accordance with Section 3 will be settled in shares of Stock as soon as practicable after vesting, but in all cases within thirty (30) business days following the vesting date. Unless and until the Restricted Stock Units will have vested in the manner set forth in the Notice and the Plan, Participant will have no right to payment of any such Restricted Stock Units.</w:t>
      </w:r>
    </w:p>
    <w:p>
      <w:pPr>
        <w:spacing w:after="0" w:line="187" w:lineRule="exact"/>
        <w:rPr>
          <w:rFonts w:ascii="Arial" w:cs="Arial" w:eastAsia="Arial" w:hAnsi="Arial"/>
          <w:sz w:val="18"/>
          <w:szCs w:val="18"/>
          <w:color w:val="auto"/>
        </w:rPr>
      </w:pPr>
    </w:p>
    <w:p>
      <w:pPr>
        <w:ind w:left="320" w:right="240" w:hanging="319"/>
        <w:spacing w:after="0" w:line="277" w:lineRule="auto"/>
        <w:tabs>
          <w:tab w:leader="none" w:pos="320" w:val="left"/>
        </w:tabs>
        <w:numPr>
          <w:ilvl w:val="0"/>
          <w:numId w:val="35"/>
        </w:numPr>
        <w:rPr>
          <w:rFonts w:ascii="Arial" w:cs="Arial" w:eastAsia="Arial" w:hAnsi="Arial"/>
          <w:sz w:val="18"/>
          <w:szCs w:val="18"/>
          <w:color w:val="auto"/>
        </w:rPr>
      </w:pPr>
      <w:r>
        <w:rPr>
          <w:rFonts w:ascii="Arial" w:cs="Arial" w:eastAsia="Arial" w:hAnsi="Arial"/>
          <w:sz w:val="18"/>
          <w:szCs w:val="18"/>
          <w:u w:val="single" w:color="auto"/>
          <w:color w:val="auto"/>
        </w:rPr>
        <w:t>Vesting Schedule</w:t>
      </w:r>
      <w:r>
        <w:rPr>
          <w:rFonts w:ascii="Arial" w:cs="Arial" w:eastAsia="Arial" w:hAnsi="Arial"/>
          <w:sz w:val="18"/>
          <w:szCs w:val="18"/>
          <w:color w:val="auto"/>
        </w:rPr>
        <w:t xml:space="preserve">. Except as specifically provided in Sections 4 and 5 below, the Restricted Stock Units awarded by the Notice and this RSU Agreement will vest in accordance with the “Vesting Schedule” and </w:t>
      </w:r>
      <w:r>
        <w:rPr>
          <w:rFonts w:ascii="Arial" w:cs="Arial" w:eastAsia="Arial" w:hAnsi="Arial"/>
          <w:sz w:val="18"/>
          <w:szCs w:val="18"/>
          <w:u w:val="single" w:color="auto"/>
          <w:color w:val="auto"/>
        </w:rPr>
        <w:t>Schedule A</w:t>
      </w:r>
      <w:r>
        <w:rPr>
          <w:rFonts w:ascii="Arial" w:cs="Arial" w:eastAsia="Arial" w:hAnsi="Arial"/>
          <w:sz w:val="18"/>
          <w:szCs w:val="18"/>
          <w:color w:val="auto"/>
        </w:rPr>
        <w:t xml:space="preserve"> set forth in the Notice.</w:t>
      </w:r>
    </w:p>
    <w:p>
      <w:pPr>
        <w:spacing w:after="0" w:line="197" w:lineRule="exact"/>
        <w:rPr>
          <w:rFonts w:ascii="Arial" w:cs="Arial" w:eastAsia="Arial" w:hAnsi="Arial"/>
          <w:sz w:val="18"/>
          <w:szCs w:val="18"/>
          <w:color w:val="auto"/>
        </w:rPr>
      </w:pPr>
    </w:p>
    <w:p>
      <w:pPr>
        <w:ind w:left="320" w:right="520" w:hanging="319"/>
        <w:spacing w:after="0" w:line="286" w:lineRule="auto"/>
        <w:tabs>
          <w:tab w:leader="none" w:pos="320" w:val="left"/>
        </w:tabs>
        <w:numPr>
          <w:ilvl w:val="0"/>
          <w:numId w:val="35"/>
        </w:numPr>
        <w:rPr>
          <w:rFonts w:ascii="Arial" w:cs="Arial" w:eastAsia="Arial" w:hAnsi="Arial"/>
          <w:sz w:val="17"/>
          <w:szCs w:val="17"/>
          <w:color w:val="auto"/>
        </w:rPr>
      </w:pPr>
      <w:r>
        <w:rPr>
          <w:rFonts w:ascii="Arial" w:cs="Arial" w:eastAsia="Arial" w:hAnsi="Arial"/>
          <w:sz w:val="17"/>
          <w:szCs w:val="17"/>
          <w:u w:val="single" w:color="auto"/>
          <w:color w:val="auto"/>
        </w:rPr>
        <w:t>Termination of Employment; Retirement</w:t>
      </w:r>
      <w:r>
        <w:rPr>
          <w:rFonts w:ascii="Arial" w:cs="Arial" w:eastAsia="Arial" w:hAnsi="Arial"/>
          <w:sz w:val="17"/>
          <w:szCs w:val="17"/>
          <w:color w:val="auto"/>
        </w:rPr>
        <w:t xml:space="preserve">. Except as set forth in this Section 4 and in Section 5 below, the Participant’s rights to all RSUs granted herein and not yet vested in accordance with the “Vesting Schedule” and </w:t>
      </w:r>
      <w:r>
        <w:rPr>
          <w:rFonts w:ascii="Arial" w:cs="Arial" w:eastAsia="Arial" w:hAnsi="Arial"/>
          <w:sz w:val="17"/>
          <w:szCs w:val="17"/>
          <w:u w:val="single" w:color="auto"/>
          <w:color w:val="auto"/>
        </w:rPr>
        <w:t>Schedule A</w:t>
      </w:r>
      <w:r>
        <w:rPr>
          <w:rFonts w:ascii="Arial" w:cs="Arial" w:eastAsia="Arial" w:hAnsi="Arial"/>
          <w:sz w:val="17"/>
          <w:szCs w:val="17"/>
          <w:color w:val="auto"/>
        </w:rPr>
        <w:t xml:space="preserve"> set forth in the Notice shall automatically terminate upon the Participant’s termination of employment with the Company and its Subsidiaries for any reason.</w:t>
      </w:r>
    </w:p>
    <w:p>
      <w:pPr>
        <w:spacing w:after="0" w:line="165" w:lineRule="exact"/>
        <w:rPr>
          <w:rFonts w:ascii="Arial" w:cs="Arial" w:eastAsia="Arial" w:hAnsi="Arial"/>
          <w:sz w:val="17"/>
          <w:szCs w:val="17"/>
          <w:color w:val="auto"/>
        </w:rPr>
      </w:pPr>
    </w:p>
    <w:p>
      <w:pPr>
        <w:ind w:left="980" w:right="160" w:hanging="317"/>
        <w:spacing w:after="0" w:line="279" w:lineRule="auto"/>
        <w:tabs>
          <w:tab w:leader="none" w:pos="980" w:val="left"/>
        </w:tabs>
        <w:numPr>
          <w:ilvl w:val="1"/>
          <w:numId w:val="35"/>
        </w:numPr>
        <w:rPr>
          <w:rFonts w:ascii="Arial" w:cs="Arial" w:eastAsia="Arial" w:hAnsi="Arial"/>
          <w:sz w:val="17"/>
          <w:szCs w:val="17"/>
          <w:color w:val="auto"/>
        </w:rPr>
      </w:pPr>
      <w:r>
        <w:rPr>
          <w:rFonts w:ascii="Arial" w:cs="Arial" w:eastAsia="Arial" w:hAnsi="Arial"/>
          <w:sz w:val="17"/>
          <w:szCs w:val="17"/>
          <w:u w:val="single" w:color="auto"/>
          <w:color w:val="auto"/>
        </w:rPr>
        <w:t>Death or Disability</w:t>
      </w:r>
      <w:r>
        <w:rPr>
          <w:rFonts w:ascii="Arial" w:cs="Arial" w:eastAsia="Arial" w:hAnsi="Arial"/>
          <w:sz w:val="17"/>
          <w:szCs w:val="17"/>
          <w:color w:val="auto"/>
        </w:rPr>
        <w:t>. In the event of the Participant’s death or Disability while employed by the Company, the number of RSUs constituting the Target Award shall be adjusted upon the Participant’s death or Disability by multiplying the then current number of RSUs constituting the Target Award effective immediately prior to the Participant’s death or Disability by the number of full months elapsed from the Date of Grant to the date of Participant’s death or Disability divided by 36.</w:t>
      </w:r>
    </w:p>
    <w:p>
      <w:pPr>
        <w:spacing w:after="0" w:line="171" w:lineRule="exact"/>
        <w:rPr>
          <w:rFonts w:ascii="Arial" w:cs="Arial" w:eastAsia="Arial" w:hAnsi="Arial"/>
          <w:sz w:val="17"/>
          <w:szCs w:val="17"/>
          <w:color w:val="auto"/>
        </w:rPr>
      </w:pPr>
    </w:p>
    <w:p>
      <w:pPr>
        <w:ind w:left="980" w:right="20" w:hanging="331"/>
        <w:spacing w:after="0" w:line="257" w:lineRule="auto"/>
        <w:tabs>
          <w:tab w:leader="none" w:pos="980" w:val="left"/>
        </w:tabs>
        <w:numPr>
          <w:ilvl w:val="1"/>
          <w:numId w:val="35"/>
        </w:numPr>
        <w:rPr>
          <w:rFonts w:ascii="Arial" w:cs="Arial" w:eastAsia="Arial" w:hAnsi="Arial"/>
          <w:sz w:val="18"/>
          <w:szCs w:val="18"/>
          <w:color w:val="auto"/>
        </w:rPr>
      </w:pPr>
      <w:r>
        <w:rPr>
          <w:rFonts w:ascii="Arial" w:cs="Arial" w:eastAsia="Arial" w:hAnsi="Arial"/>
          <w:sz w:val="18"/>
          <w:szCs w:val="18"/>
          <w:u w:val="single" w:color="auto"/>
          <w:color w:val="auto"/>
        </w:rPr>
        <w:t>Rule of 65</w:t>
      </w:r>
      <w:r>
        <w:rPr>
          <w:rFonts w:ascii="Arial" w:cs="Arial" w:eastAsia="Arial" w:hAnsi="Arial"/>
          <w:sz w:val="18"/>
          <w:szCs w:val="18"/>
          <w:color w:val="auto"/>
        </w:rPr>
        <w:t>. In the event that the Participant has satisfied the Rule of 65 at the time of his or her termination of employment and such termination of employment is not for Cause, then the number of RSUs constituting the Target Award shall be adjusted upon such termination of employment by multiplying the then current number of RSUs constituting the Target Award effective immediately prior to such termination of employment by the number of full months elapsed from the Date of Grant to the date of such termination of employment divided by 36.</w:t>
      </w:r>
    </w:p>
    <w:p>
      <w:pPr>
        <w:spacing w:after="0" w:line="187" w:lineRule="exact"/>
        <w:rPr>
          <w:rFonts w:ascii="Arial" w:cs="Arial" w:eastAsia="Arial" w:hAnsi="Arial"/>
          <w:sz w:val="18"/>
          <w:szCs w:val="18"/>
          <w:color w:val="auto"/>
        </w:rPr>
      </w:pPr>
    </w:p>
    <w:p>
      <w:pPr>
        <w:ind w:left="980" w:right="160" w:hanging="317"/>
        <w:spacing w:after="0" w:line="279" w:lineRule="auto"/>
        <w:tabs>
          <w:tab w:leader="none" w:pos="980" w:val="left"/>
        </w:tabs>
        <w:numPr>
          <w:ilvl w:val="1"/>
          <w:numId w:val="35"/>
        </w:numPr>
        <w:rPr>
          <w:rFonts w:ascii="Arial" w:cs="Arial" w:eastAsia="Arial" w:hAnsi="Arial"/>
          <w:sz w:val="17"/>
          <w:szCs w:val="17"/>
          <w:color w:val="auto"/>
        </w:rPr>
      </w:pPr>
      <w:r>
        <w:rPr>
          <w:rFonts w:ascii="Arial" w:cs="Arial" w:eastAsia="Arial" w:hAnsi="Arial"/>
          <w:sz w:val="17"/>
          <w:szCs w:val="17"/>
          <w:u w:val="single" w:color="auto"/>
          <w:color w:val="auto"/>
        </w:rPr>
        <w:t>Termination for Good Reason</w:t>
      </w:r>
      <w:r>
        <w:rPr>
          <w:rFonts w:ascii="Arial" w:cs="Arial" w:eastAsia="Arial" w:hAnsi="Arial"/>
          <w:sz w:val="17"/>
          <w:szCs w:val="17"/>
          <w:color w:val="auto"/>
        </w:rPr>
        <w:t>. In the event that the Participant’s employment is terminated by the Participant for Good Reason, then the number of RSUs constituting the Target Award shall be adjusted upon such termination of employment by multiplying the then current number of RSUs constituting the Target Award effective immediately prior to such termination by the number of full months elapsed from the Date of Grant to the date of such termination of employment divided by 36.</w:t>
      </w:r>
    </w:p>
    <w:p>
      <w:pPr>
        <w:spacing w:after="0" w:line="171" w:lineRule="exact"/>
        <w:rPr>
          <w:sz w:val="20"/>
          <w:szCs w:val="20"/>
          <w:color w:val="auto"/>
        </w:rPr>
      </w:pPr>
    </w:p>
    <w:p>
      <w:pPr>
        <w:jc w:val="center"/>
        <w:ind w:right="560"/>
        <w:spacing w:after="0"/>
        <w:rPr>
          <w:sz w:val="20"/>
          <w:szCs w:val="20"/>
          <w:color w:val="auto"/>
        </w:rPr>
      </w:pPr>
      <w:r>
        <w:rPr>
          <w:rFonts w:ascii="Arial" w:cs="Arial" w:eastAsia="Arial" w:hAnsi="Arial"/>
          <w:sz w:val="18"/>
          <w:szCs w:val="18"/>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-349885</wp:posOffset>
            </wp:positionH>
            <wp:positionV relativeFrom="paragraph">
              <wp:posOffset>83185</wp:posOffset>
            </wp:positionV>
            <wp:extent cx="7132320" cy="17145"/>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10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0680"/>
          </w:cols>
          <w:pgMar w:left="880" w:top="580" w:right="339" w:bottom="1440" w:gutter="0" w:footer="0" w:header="0"/>
        </w:sectPr>
      </w:pPr>
    </w:p>
    <w:bookmarkStart w:id="68" w:name="page69"/>
    <w:bookmarkEnd w:id="68"/>
    <w:p>
      <w:pPr>
        <w:ind w:left="420" w:hanging="319"/>
        <w:spacing w:after="0" w:line="253" w:lineRule="auto"/>
        <w:tabs>
          <w:tab w:leader="none" w:pos="420" w:val="left"/>
        </w:tabs>
        <w:numPr>
          <w:ilvl w:val="0"/>
          <w:numId w:val="36"/>
        </w:numPr>
        <w:rPr>
          <w:rFonts w:ascii="Arial" w:cs="Arial" w:eastAsia="Arial" w:hAnsi="Arial"/>
          <w:sz w:val="18"/>
          <w:szCs w:val="18"/>
          <w:color w:val="auto"/>
        </w:rPr>
      </w:pPr>
      <w:r>
        <w:rPr>
          <w:rFonts w:ascii="Arial" w:cs="Arial" w:eastAsia="Arial" w:hAnsi="Arial"/>
          <w:sz w:val="18"/>
          <w:szCs w:val="18"/>
          <w:u w:val="single" w:color="auto"/>
          <w:color w:val="auto"/>
        </w:rPr>
        <w:t>Change in Control</w:t>
      </w:r>
      <w:r>
        <w:rPr>
          <w:rFonts w:ascii="Arial" w:cs="Arial" w:eastAsia="Arial" w:hAnsi="Arial"/>
          <w:sz w:val="18"/>
          <w:szCs w:val="18"/>
          <w:color w:val="auto"/>
        </w:rPr>
        <w:t>. Notwithstanding anything to the contrary in this Agreement, if a Change in Control occurs during the Performance Period, the date of such Change in Control shall be deemed the last day of the Performance Period, and the Performance Factor will be calculated as if the date of the Change in Control is the last day of the Performance Period. In such event, (i) the Participant’s Final RSUs will be determined by multiplying the Target Award by the calculated Performance Factor and (ii) to the extent the achieved Performance Factor is greater than 0% as of the end of such reduced Performance Period, the Participant’s Final RSUs shall vest in full as of the third anniversary of the Date of Grant, except that in the event the Participant’s employment is terminated by the Participant for Good Reason or by the Company without Cause within one (1) year following such Change in Control or in the event of the Participant’s death or Disability within one (1) year following such Change in Control, the RSUs shall automatically vest in full as of the date of such termination, death or Disability, as the case may be..</w:t>
      </w:r>
    </w:p>
    <w:p>
      <w:pPr>
        <w:spacing w:after="0" w:line="196" w:lineRule="exact"/>
        <w:rPr>
          <w:rFonts w:ascii="Arial" w:cs="Arial" w:eastAsia="Arial" w:hAnsi="Arial"/>
          <w:sz w:val="18"/>
          <w:szCs w:val="18"/>
          <w:color w:val="auto"/>
        </w:rPr>
      </w:pPr>
    </w:p>
    <w:p>
      <w:pPr>
        <w:ind w:left="420" w:right="220" w:hanging="319"/>
        <w:spacing w:after="0" w:line="263" w:lineRule="auto"/>
        <w:tabs>
          <w:tab w:leader="none" w:pos="420" w:val="left"/>
        </w:tabs>
        <w:numPr>
          <w:ilvl w:val="0"/>
          <w:numId w:val="36"/>
        </w:numPr>
        <w:rPr>
          <w:rFonts w:ascii="Arial" w:cs="Arial" w:eastAsia="Arial" w:hAnsi="Arial"/>
          <w:sz w:val="18"/>
          <w:szCs w:val="18"/>
          <w:color w:val="auto"/>
        </w:rPr>
      </w:pPr>
      <w:r>
        <w:rPr>
          <w:rFonts w:ascii="Arial" w:cs="Arial" w:eastAsia="Arial" w:hAnsi="Arial"/>
          <w:sz w:val="18"/>
          <w:szCs w:val="18"/>
          <w:u w:val="single" w:color="auto"/>
          <w:color w:val="auto"/>
        </w:rPr>
        <w:t>Transferability of RSUs</w:t>
      </w:r>
      <w:r>
        <w:rPr>
          <w:rFonts w:ascii="Arial" w:cs="Arial" w:eastAsia="Arial" w:hAnsi="Arial"/>
          <w:sz w:val="18"/>
          <w:szCs w:val="18"/>
          <w:color w:val="auto"/>
        </w:rPr>
        <w:t>. Unless determined otherwise by the Committee, the RSUs may not be sold, pledged, assigned, hypothecated, or otherwise transferred by Participant in any manner. Any shares of Stock acquired pursuant to this Award shall be held by the Participant and are not transferable for a period of one (1) year following the issuance of such shares.</w:t>
      </w:r>
    </w:p>
    <w:p>
      <w:pPr>
        <w:spacing w:after="0" w:line="183" w:lineRule="exact"/>
        <w:rPr>
          <w:rFonts w:ascii="Arial" w:cs="Arial" w:eastAsia="Arial" w:hAnsi="Arial"/>
          <w:sz w:val="18"/>
          <w:szCs w:val="18"/>
          <w:color w:val="auto"/>
        </w:rPr>
      </w:pPr>
    </w:p>
    <w:p>
      <w:pPr>
        <w:jc w:val="both"/>
        <w:ind w:left="420" w:right="120" w:hanging="319"/>
        <w:spacing w:after="0" w:line="263" w:lineRule="auto"/>
        <w:tabs>
          <w:tab w:leader="none" w:pos="420" w:val="left"/>
        </w:tabs>
        <w:numPr>
          <w:ilvl w:val="0"/>
          <w:numId w:val="36"/>
        </w:numPr>
        <w:rPr>
          <w:rFonts w:ascii="Arial" w:cs="Arial" w:eastAsia="Arial" w:hAnsi="Arial"/>
          <w:sz w:val="18"/>
          <w:szCs w:val="18"/>
          <w:color w:val="auto"/>
        </w:rPr>
      </w:pPr>
      <w:r>
        <w:rPr>
          <w:rFonts w:ascii="Arial" w:cs="Arial" w:eastAsia="Arial" w:hAnsi="Arial"/>
          <w:sz w:val="18"/>
          <w:szCs w:val="18"/>
          <w:u w:val="single" w:color="auto"/>
          <w:color w:val="auto"/>
        </w:rPr>
        <w:t>Stop-Transfer Notices</w:t>
      </w:r>
      <w:r>
        <w:rPr>
          <w:rFonts w:ascii="Arial" w:cs="Arial" w:eastAsia="Arial" w:hAnsi="Arial"/>
          <w:sz w:val="18"/>
          <w:szCs w:val="18"/>
          <w:color w:val="auto"/>
        </w:rPr>
        <w:t>. In order to ensure compliance with the restrictions on transfer set forth in this RSU Agreement, the Notice or the Plan, the Company may issue appropriate “stop-transfer” instructions to its transfer agent, if any, and, if the Company transfers its own securities, it may make appropriate notations to the same effect in its own records.</w:t>
      </w:r>
    </w:p>
    <w:p>
      <w:pPr>
        <w:spacing w:after="0" w:line="183" w:lineRule="exact"/>
        <w:rPr>
          <w:rFonts w:ascii="Arial" w:cs="Arial" w:eastAsia="Arial" w:hAnsi="Arial"/>
          <w:sz w:val="18"/>
          <w:szCs w:val="18"/>
          <w:color w:val="auto"/>
        </w:rPr>
      </w:pPr>
    </w:p>
    <w:p>
      <w:pPr>
        <w:ind w:left="420" w:right="100" w:hanging="319"/>
        <w:spacing w:after="0" w:line="263" w:lineRule="auto"/>
        <w:tabs>
          <w:tab w:leader="none" w:pos="420" w:val="left"/>
        </w:tabs>
        <w:numPr>
          <w:ilvl w:val="0"/>
          <w:numId w:val="36"/>
        </w:numPr>
        <w:rPr>
          <w:rFonts w:ascii="Arial" w:cs="Arial" w:eastAsia="Arial" w:hAnsi="Arial"/>
          <w:sz w:val="18"/>
          <w:szCs w:val="18"/>
          <w:color w:val="auto"/>
        </w:rPr>
      </w:pPr>
      <w:r>
        <w:rPr>
          <w:rFonts w:ascii="Arial" w:cs="Arial" w:eastAsia="Arial" w:hAnsi="Arial"/>
          <w:sz w:val="18"/>
          <w:szCs w:val="18"/>
          <w:u w:val="single" w:color="auto"/>
          <w:color w:val="auto"/>
        </w:rPr>
        <w:t>Refusal to Transfer</w:t>
      </w:r>
      <w:r>
        <w:rPr>
          <w:rFonts w:ascii="Arial" w:cs="Arial" w:eastAsia="Arial" w:hAnsi="Arial"/>
          <w:sz w:val="18"/>
          <w:szCs w:val="18"/>
          <w:color w:val="auto"/>
        </w:rPr>
        <w:t>. The Company shall not be required (i) to transfer on its books any Shares that have been sold or otherwise transferred in violation of any of the provisions of this RSU Agreement or (ii) to treat as owner of such Shares or to accord the right to vote or pay dividends to any purchaser or other transferee to whom such Shares shall have been so transferred.</w:t>
      </w:r>
    </w:p>
    <w:p>
      <w:pPr>
        <w:spacing w:after="0" w:line="183" w:lineRule="exact"/>
        <w:rPr>
          <w:rFonts w:ascii="Arial" w:cs="Arial" w:eastAsia="Arial" w:hAnsi="Arial"/>
          <w:sz w:val="18"/>
          <w:szCs w:val="18"/>
          <w:color w:val="auto"/>
        </w:rPr>
      </w:pPr>
    </w:p>
    <w:p>
      <w:pPr>
        <w:ind w:left="420" w:hanging="319"/>
        <w:spacing w:after="0"/>
        <w:tabs>
          <w:tab w:leader="none" w:pos="420" w:val="left"/>
        </w:tabs>
        <w:numPr>
          <w:ilvl w:val="0"/>
          <w:numId w:val="36"/>
        </w:numPr>
        <w:rPr>
          <w:rFonts w:ascii="Arial" w:cs="Arial" w:eastAsia="Arial" w:hAnsi="Arial"/>
          <w:sz w:val="18"/>
          <w:szCs w:val="18"/>
          <w:color w:val="auto"/>
        </w:rPr>
      </w:pPr>
      <w:r>
        <w:rPr>
          <w:rFonts w:ascii="Arial" w:cs="Arial" w:eastAsia="Arial" w:hAnsi="Arial"/>
          <w:sz w:val="18"/>
          <w:szCs w:val="18"/>
          <w:u w:val="single" w:color="auto"/>
          <w:color w:val="auto"/>
        </w:rPr>
        <w:t>Tax Consequences</w:t>
      </w:r>
      <w:r>
        <w:rPr>
          <w:rFonts w:ascii="Arial" w:cs="Arial" w:eastAsia="Arial" w:hAnsi="Arial"/>
          <w:sz w:val="18"/>
          <w:szCs w:val="18"/>
          <w:color w:val="auto"/>
        </w:rPr>
        <w:t>.</w:t>
      </w:r>
    </w:p>
    <w:p>
      <w:pPr>
        <w:spacing w:after="0" w:line="225" w:lineRule="exact"/>
        <w:rPr>
          <w:rFonts w:ascii="Arial" w:cs="Arial" w:eastAsia="Arial" w:hAnsi="Arial"/>
          <w:sz w:val="18"/>
          <w:szCs w:val="18"/>
          <w:color w:val="auto"/>
        </w:rPr>
      </w:pPr>
    </w:p>
    <w:p>
      <w:pPr>
        <w:ind w:left="1080" w:right="400" w:hanging="317"/>
        <w:spacing w:after="0" w:line="277" w:lineRule="auto"/>
        <w:tabs>
          <w:tab w:leader="none" w:pos="1080" w:val="left"/>
        </w:tabs>
        <w:numPr>
          <w:ilvl w:val="1"/>
          <w:numId w:val="36"/>
        </w:numPr>
        <w:rPr>
          <w:rFonts w:ascii="Arial" w:cs="Arial" w:eastAsia="Arial" w:hAnsi="Arial"/>
          <w:sz w:val="18"/>
          <w:szCs w:val="18"/>
          <w:color w:val="auto"/>
        </w:rPr>
      </w:pPr>
      <w:r>
        <w:rPr>
          <w:rFonts w:ascii="Arial" w:cs="Arial" w:eastAsia="Arial" w:hAnsi="Arial"/>
          <w:sz w:val="18"/>
          <w:szCs w:val="18"/>
          <w:color w:val="auto"/>
        </w:rPr>
        <w:t>Participant is solely responsible for all federal, state and local taxes relating to the RSUs, including as a result of the Participant’s disposition of the Shares.</w:t>
      </w:r>
    </w:p>
    <w:p>
      <w:pPr>
        <w:spacing w:after="0" w:line="170" w:lineRule="exact"/>
        <w:rPr>
          <w:rFonts w:ascii="Arial" w:cs="Arial" w:eastAsia="Arial" w:hAnsi="Arial"/>
          <w:sz w:val="18"/>
          <w:szCs w:val="18"/>
          <w:color w:val="auto"/>
        </w:rPr>
      </w:pPr>
    </w:p>
    <w:p>
      <w:pPr>
        <w:ind w:left="1080" w:right="380" w:hanging="317"/>
        <w:spacing w:after="0" w:line="259" w:lineRule="auto"/>
        <w:tabs>
          <w:tab w:leader="none" w:pos="1080" w:val="left"/>
        </w:tabs>
        <w:numPr>
          <w:ilvl w:val="1"/>
          <w:numId w:val="36"/>
        </w:numPr>
        <w:rPr>
          <w:rFonts w:ascii="Arial" w:cs="Arial" w:eastAsia="Arial" w:hAnsi="Arial"/>
          <w:sz w:val="18"/>
          <w:szCs w:val="18"/>
          <w:color w:val="auto"/>
        </w:rPr>
      </w:pPr>
      <w:r>
        <w:rPr>
          <w:rFonts w:ascii="Arial" w:cs="Arial" w:eastAsia="Arial" w:hAnsi="Arial"/>
          <w:sz w:val="18"/>
          <w:szCs w:val="18"/>
          <w:color w:val="auto"/>
        </w:rPr>
        <w:t>The Company makes no representation that the RSUs will comply with Sections 409A and 457A of the Code and makes no undertaking to prevent Section 409A or 457A of the Code from applying to the RSUs or to mitigate its effects on any deferrals or payments made in respect of the RSUs. The Participant is encouraged to consult a tax adviser regarding the potential impact of Section 409A and 457A of the Code.</w:t>
      </w:r>
    </w:p>
    <w:p>
      <w:pPr>
        <w:spacing w:after="0" w:line="186" w:lineRule="exact"/>
        <w:rPr>
          <w:rFonts w:ascii="Arial" w:cs="Arial" w:eastAsia="Arial" w:hAnsi="Arial"/>
          <w:sz w:val="18"/>
          <w:szCs w:val="18"/>
          <w:color w:val="auto"/>
        </w:rPr>
      </w:pPr>
    </w:p>
    <w:p>
      <w:pPr>
        <w:ind w:left="340" w:right="60" w:hanging="333"/>
        <w:spacing w:after="0" w:line="271" w:lineRule="auto"/>
        <w:tabs>
          <w:tab w:leader="none" w:pos="340" w:val="left"/>
        </w:tabs>
        <w:numPr>
          <w:ilvl w:val="0"/>
          <w:numId w:val="36"/>
        </w:numPr>
        <w:rPr>
          <w:rFonts w:ascii="Arial" w:cs="Arial" w:eastAsia="Arial" w:hAnsi="Arial"/>
          <w:sz w:val="17"/>
          <w:szCs w:val="17"/>
          <w:color w:val="auto"/>
        </w:rPr>
      </w:pPr>
      <w:r>
        <w:rPr>
          <w:rFonts w:ascii="Arial" w:cs="Arial" w:eastAsia="Arial" w:hAnsi="Arial"/>
          <w:sz w:val="17"/>
          <w:szCs w:val="17"/>
          <w:u w:val="single" w:color="auto"/>
          <w:color w:val="auto"/>
        </w:rPr>
        <w:t>Entire Agreement; Severability</w:t>
      </w:r>
      <w:r>
        <w:rPr>
          <w:rFonts w:ascii="Arial" w:cs="Arial" w:eastAsia="Arial" w:hAnsi="Arial"/>
          <w:sz w:val="17"/>
          <w:szCs w:val="17"/>
          <w:color w:val="auto"/>
        </w:rPr>
        <w:t>. The Notice, the Plan and this RSU Agreement constitute the entire agreement of the parties with respect to the subject matter hereof and supersede in their entirety all prior undertakings and agreements of the Company and the Participant with respect to the subject matter hereof, and may not be modified adversely to the Participant’s interest except by means of a writing signed by the Company and the Participant. In the event of a conflict between the terms and conditions of the Plan and the terms and conditions of this RSU Agreement, the terms and conditions of the Plan shall prevail. Nothing in the Notice, the Plan and this RSU Agreement (except as expressly provided therein) is intended to confer any rights or remedies on any persons other than the parties. Should any provision of the Notice, the Plan or this RSU Agreement be determined to be illegal or unenforceable, such provision shall be enforced to the fullest extent allowed by law and the other provisions shall nevertheless remain effective and shall remain enforceable.</w:t>
      </w:r>
    </w:p>
    <w:p>
      <w:pPr>
        <w:spacing w:after="0" w:line="178" w:lineRule="exact"/>
        <w:rPr>
          <w:sz w:val="20"/>
          <w:szCs w:val="20"/>
          <w:color w:val="auto"/>
        </w:rPr>
      </w:pPr>
    </w:p>
    <w:p>
      <w:pPr>
        <w:jc w:val="center"/>
        <w:ind w:right="460"/>
        <w:spacing w:after="0"/>
        <w:rPr>
          <w:sz w:val="20"/>
          <w:szCs w:val="20"/>
          <w:color w:val="auto"/>
        </w:rPr>
      </w:pPr>
      <w:r>
        <w:rPr>
          <w:rFonts w:ascii="Arial" w:cs="Arial" w:eastAsia="Arial" w:hAnsi="Arial"/>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-286385</wp:posOffset>
            </wp:positionH>
            <wp:positionV relativeFrom="paragraph">
              <wp:posOffset>83185</wp:posOffset>
            </wp:positionV>
            <wp:extent cx="7132320" cy="17145"/>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11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0780"/>
          </w:cols>
          <w:pgMar w:left="780" w:top="584" w:right="339" w:bottom="1440" w:gutter="0" w:footer="0" w:header="0"/>
        </w:sectPr>
      </w:pPr>
    </w:p>
    <w:bookmarkStart w:id="69" w:name="page70"/>
    <w:bookmarkEnd w:id="69"/>
    <w:p>
      <w:pPr>
        <w:ind w:left="340" w:hanging="333"/>
        <w:spacing w:after="0" w:line="286" w:lineRule="auto"/>
        <w:tabs>
          <w:tab w:leader="none" w:pos="340" w:val="left"/>
        </w:tabs>
        <w:numPr>
          <w:ilvl w:val="0"/>
          <w:numId w:val="37"/>
        </w:numPr>
        <w:rPr>
          <w:rFonts w:ascii="Arial" w:cs="Arial" w:eastAsia="Arial" w:hAnsi="Arial"/>
          <w:sz w:val="17"/>
          <w:szCs w:val="17"/>
          <w:color w:val="auto"/>
        </w:rPr>
      </w:pPr>
      <w:r>
        <w:rPr>
          <w:rFonts w:ascii="Arial" w:cs="Arial" w:eastAsia="Arial" w:hAnsi="Arial"/>
          <w:sz w:val="17"/>
          <w:szCs w:val="17"/>
          <w:u w:val="single" w:color="auto"/>
          <w:color w:val="auto"/>
        </w:rPr>
        <w:t>Construction</w:t>
      </w:r>
      <w:r>
        <w:rPr>
          <w:rFonts w:ascii="Arial" w:cs="Arial" w:eastAsia="Arial" w:hAnsi="Arial"/>
          <w:sz w:val="17"/>
          <w:szCs w:val="17"/>
          <w:color w:val="auto"/>
        </w:rPr>
        <w:t>. The captions used in the Notice and this RSU Agreement are inserted for convenience and shall not be deemed a part of the RSUs for construction or interpretation. Except when otherwise indicated by the context, the singular shall include the plural and the plural shall include the singular. Use of the term “or” is not intended to be exclusive, unless the context clearly requires otherwise.</w:t>
      </w:r>
    </w:p>
    <w:p>
      <w:pPr>
        <w:spacing w:after="0" w:line="165" w:lineRule="exact"/>
        <w:rPr>
          <w:rFonts w:ascii="Arial" w:cs="Arial" w:eastAsia="Arial" w:hAnsi="Arial"/>
          <w:sz w:val="17"/>
          <w:szCs w:val="17"/>
          <w:color w:val="auto"/>
        </w:rPr>
      </w:pPr>
    </w:p>
    <w:p>
      <w:pPr>
        <w:ind w:left="340" w:right="320" w:hanging="333"/>
        <w:spacing w:after="0" w:line="263" w:lineRule="auto"/>
        <w:tabs>
          <w:tab w:leader="none" w:pos="340" w:val="left"/>
        </w:tabs>
        <w:numPr>
          <w:ilvl w:val="0"/>
          <w:numId w:val="37"/>
        </w:numPr>
        <w:rPr>
          <w:rFonts w:ascii="Arial" w:cs="Arial" w:eastAsia="Arial" w:hAnsi="Arial"/>
          <w:sz w:val="18"/>
          <w:szCs w:val="18"/>
          <w:color w:val="auto"/>
        </w:rPr>
      </w:pPr>
      <w:r>
        <w:rPr>
          <w:rFonts w:ascii="Arial" w:cs="Arial" w:eastAsia="Arial" w:hAnsi="Arial"/>
          <w:sz w:val="18"/>
          <w:szCs w:val="18"/>
          <w:u w:val="single" w:color="auto"/>
          <w:color w:val="auto"/>
        </w:rPr>
        <w:t>Administration and Interpretation</w:t>
      </w:r>
      <w:r>
        <w:rPr>
          <w:rFonts w:ascii="Arial" w:cs="Arial" w:eastAsia="Arial" w:hAnsi="Arial"/>
          <w:sz w:val="18"/>
          <w:szCs w:val="18"/>
          <w:color w:val="auto"/>
        </w:rPr>
        <w:t>. Any question or dispute regarding the administration or interpretation of the Notice, the Plan or this RSU Agreement shall be submitted by the Participant or by the Company to the Committee. The resolution of such question or dispute by the Committee shall be final and binding on all persons.</w:t>
      </w:r>
    </w:p>
    <w:p>
      <w:pPr>
        <w:spacing w:after="0" w:line="183" w:lineRule="exact"/>
        <w:rPr>
          <w:rFonts w:ascii="Arial" w:cs="Arial" w:eastAsia="Arial" w:hAnsi="Arial"/>
          <w:sz w:val="18"/>
          <w:szCs w:val="18"/>
          <w:color w:val="auto"/>
        </w:rPr>
      </w:pPr>
    </w:p>
    <w:p>
      <w:pPr>
        <w:ind w:left="340" w:right="120" w:hanging="333"/>
        <w:spacing w:after="0" w:line="263" w:lineRule="auto"/>
        <w:tabs>
          <w:tab w:leader="none" w:pos="340" w:val="left"/>
        </w:tabs>
        <w:numPr>
          <w:ilvl w:val="0"/>
          <w:numId w:val="37"/>
        </w:numPr>
        <w:rPr>
          <w:rFonts w:ascii="Arial" w:cs="Arial" w:eastAsia="Arial" w:hAnsi="Arial"/>
          <w:sz w:val="18"/>
          <w:szCs w:val="18"/>
          <w:color w:val="auto"/>
        </w:rPr>
      </w:pPr>
      <w:r>
        <w:rPr>
          <w:rFonts w:ascii="Arial" w:cs="Arial" w:eastAsia="Arial" w:hAnsi="Arial"/>
          <w:sz w:val="18"/>
          <w:szCs w:val="18"/>
          <w:u w:val="single" w:color="auto"/>
          <w:color w:val="auto"/>
        </w:rPr>
        <w:t>Conflicts</w:t>
      </w:r>
      <w:r>
        <w:rPr>
          <w:rFonts w:ascii="Arial" w:cs="Arial" w:eastAsia="Arial" w:hAnsi="Arial"/>
          <w:sz w:val="18"/>
          <w:szCs w:val="18"/>
          <w:color w:val="auto"/>
        </w:rPr>
        <w:t>. In the event of a conflict or inconsistency between the terms and conditions of this RSU Agreement and another written agreement between the Company and the Participant that provides for accelerated vesting of the Participant’s RSUs upon the occurrence of certain events, the terms and conditions of such other written agreement shall control.</w:t>
      </w:r>
    </w:p>
    <w:p>
      <w:pPr>
        <w:spacing w:after="0" w:line="183" w:lineRule="exact"/>
        <w:rPr>
          <w:rFonts w:ascii="Arial" w:cs="Arial" w:eastAsia="Arial" w:hAnsi="Arial"/>
          <w:sz w:val="18"/>
          <w:szCs w:val="18"/>
          <w:color w:val="auto"/>
        </w:rPr>
      </w:pPr>
    </w:p>
    <w:p>
      <w:pPr>
        <w:ind w:left="340" w:hanging="333"/>
        <w:spacing w:after="0"/>
        <w:tabs>
          <w:tab w:leader="none" w:pos="340" w:val="left"/>
        </w:tabs>
        <w:numPr>
          <w:ilvl w:val="0"/>
          <w:numId w:val="37"/>
        </w:numPr>
        <w:rPr>
          <w:rFonts w:ascii="Arial" w:cs="Arial" w:eastAsia="Arial" w:hAnsi="Arial"/>
          <w:sz w:val="18"/>
          <w:szCs w:val="18"/>
          <w:color w:val="auto"/>
        </w:rPr>
      </w:pPr>
      <w:r>
        <w:rPr>
          <w:rFonts w:ascii="Arial" w:cs="Arial" w:eastAsia="Arial" w:hAnsi="Arial"/>
          <w:sz w:val="18"/>
          <w:szCs w:val="18"/>
          <w:u w:val="single" w:color="auto"/>
          <w:color w:val="auto"/>
        </w:rPr>
        <w:t>Definitions</w:t>
      </w:r>
      <w:r>
        <w:rPr>
          <w:rFonts w:ascii="Arial" w:cs="Arial" w:eastAsia="Arial" w:hAnsi="Arial"/>
          <w:sz w:val="18"/>
          <w:szCs w:val="18"/>
          <w:color w:val="auto"/>
        </w:rPr>
        <w:t>. Whenever used in this Agreement, the following terms shall have the meanings set forth below.</w:t>
      </w:r>
    </w:p>
    <w:p>
      <w:pPr>
        <w:spacing w:after="0" w:line="225" w:lineRule="exact"/>
        <w:rPr>
          <w:rFonts w:ascii="Arial" w:cs="Arial" w:eastAsia="Arial" w:hAnsi="Arial"/>
          <w:sz w:val="18"/>
          <w:szCs w:val="18"/>
          <w:color w:val="auto"/>
        </w:rPr>
      </w:pPr>
    </w:p>
    <w:p>
      <w:pPr>
        <w:jc w:val="both"/>
        <w:ind w:left="1080" w:right="180" w:hanging="317"/>
        <w:spacing w:after="0" w:line="342" w:lineRule="auto"/>
        <w:tabs>
          <w:tab w:leader="none" w:pos="1080" w:val="left"/>
        </w:tabs>
        <w:numPr>
          <w:ilvl w:val="1"/>
          <w:numId w:val="37"/>
        </w:numPr>
        <w:rPr>
          <w:rFonts w:ascii="Arial" w:cs="Arial" w:eastAsia="Arial" w:hAnsi="Arial"/>
          <w:sz w:val="16"/>
          <w:szCs w:val="16"/>
          <w:color w:val="auto"/>
        </w:rPr>
      </w:pPr>
      <w:r>
        <w:rPr>
          <w:rFonts w:ascii="Arial" w:cs="Arial" w:eastAsia="Arial" w:hAnsi="Arial"/>
          <w:sz w:val="16"/>
          <w:szCs w:val="16"/>
          <w:color w:val="auto"/>
        </w:rPr>
        <w:t>“Good Reason” shall have the meaning defined in the applicable employment agreement, consulting agreement or any other similar written agreement between the Participant and the Company (or any of its affiliates) that specifically defines “good reason,” if any.</w:t>
      </w:r>
    </w:p>
    <w:p>
      <w:pPr>
        <w:spacing w:after="0" w:line="123" w:lineRule="exact"/>
        <w:rPr>
          <w:rFonts w:ascii="Arial" w:cs="Arial" w:eastAsia="Arial" w:hAnsi="Arial"/>
          <w:sz w:val="16"/>
          <w:szCs w:val="16"/>
          <w:color w:val="auto"/>
        </w:rPr>
      </w:pPr>
    </w:p>
    <w:p>
      <w:pPr>
        <w:ind w:left="1080" w:right="180" w:hanging="317"/>
        <w:spacing w:after="0" w:line="277" w:lineRule="auto"/>
        <w:tabs>
          <w:tab w:leader="none" w:pos="1080" w:val="left"/>
        </w:tabs>
        <w:numPr>
          <w:ilvl w:val="1"/>
          <w:numId w:val="37"/>
        </w:numPr>
        <w:rPr>
          <w:rFonts w:ascii="Arial" w:cs="Arial" w:eastAsia="Arial" w:hAnsi="Arial"/>
          <w:sz w:val="18"/>
          <w:szCs w:val="18"/>
          <w:color w:val="auto"/>
        </w:rPr>
      </w:pPr>
      <w:r>
        <w:rPr>
          <w:rFonts w:ascii="Arial" w:cs="Arial" w:eastAsia="Arial" w:hAnsi="Arial"/>
          <w:sz w:val="18"/>
          <w:szCs w:val="18"/>
          <w:color w:val="auto"/>
        </w:rPr>
        <w:t>“Rule of 65” means that the sum of the Participant’s age and years of service equals or exceeds 65, with a minimum age of 55 and a minimum of five years of continuous service, including as an employee or a director of the Company.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0" w:lineRule="exact"/>
        <w:rPr>
          <w:sz w:val="20"/>
          <w:szCs w:val="20"/>
          <w:color w:val="auto"/>
        </w:rPr>
      </w:pPr>
    </w:p>
    <w:p>
      <w:pPr>
        <w:jc w:val="center"/>
        <w:ind w:right="440"/>
        <w:spacing w:after="0"/>
        <w:rPr>
          <w:sz w:val="20"/>
          <w:szCs w:val="20"/>
          <w:color w:val="auto"/>
        </w:rPr>
      </w:pPr>
      <w:r>
        <w:rPr>
          <w:rFonts w:ascii="Arial" w:cs="Arial" w:eastAsia="Arial" w:hAnsi="Arial"/>
          <w:sz w:val="18"/>
          <w:szCs w:val="18"/>
          <w:color w:val="auto"/>
        </w:rPr>
        <w:t>3</w:t>
      </w:r>
    </w:p>
    <w:p>
      <w:pPr>
        <w:sectPr>
          <w:pgSz w:w="11900" w:h="16838" w:orient="portrait"/>
          <w:cols w:equalWidth="0" w:num="1">
            <w:col w:w="10760"/>
          </w:cols>
          <w:pgMar w:left="780" w:top="584" w:right="359" w:bottom="1440" w:gutter="0" w:footer="0" w:header="0"/>
        </w:sectPr>
      </w:pPr>
    </w:p>
    <w:bookmarkStart w:id="70" w:name="page71"/>
    <w:bookmarkEnd w:id="70"/>
    <w:p>
      <w:pPr>
        <w:jc w:val="right"/>
        <w:spacing w:after="0"/>
        <w:rPr>
          <w:sz w:val="20"/>
          <w:szCs w:val="20"/>
          <w:color w:val="auto"/>
        </w:rPr>
      </w:pPr>
      <w:r>
        <w:rPr>
          <w:rFonts w:ascii="Arial" w:cs="Arial" w:eastAsia="Arial" w:hAnsi="Arial"/>
          <w:sz w:val="18"/>
          <w:szCs w:val="18"/>
          <w:b w:val="1"/>
          <w:bCs w:val="1"/>
          <w:color w:val="auto"/>
        </w:rPr>
        <w:t>Exhibit 10.18</w:t>
      </w:r>
    </w:p>
    <w:p>
      <w:pPr>
        <w:spacing w:after="0" w:line="225" w:lineRule="exact"/>
        <w:rPr>
          <w:sz w:val="20"/>
          <w:szCs w:val="20"/>
          <w:color w:val="auto"/>
        </w:rPr>
      </w:pPr>
    </w:p>
    <w:p>
      <w:pPr>
        <w:jc w:val="center"/>
        <w:ind w:right="-159"/>
        <w:spacing w:after="0"/>
        <w:rPr>
          <w:sz w:val="20"/>
          <w:szCs w:val="20"/>
          <w:color w:val="auto"/>
        </w:rPr>
      </w:pPr>
      <w:r>
        <w:rPr>
          <w:rFonts w:ascii="Arial" w:cs="Arial" w:eastAsia="Arial" w:hAnsi="Arial"/>
          <w:sz w:val="18"/>
          <w:szCs w:val="18"/>
          <w:b w:val="1"/>
          <w:bCs w:val="1"/>
          <w:color w:val="auto"/>
        </w:rPr>
        <w:t>HARVARD BIOSCIENCE, INC.</w:t>
      </w:r>
    </w:p>
    <w:p>
      <w:pPr>
        <w:spacing w:after="0" w:line="27" w:lineRule="exact"/>
        <w:rPr>
          <w:sz w:val="20"/>
          <w:szCs w:val="20"/>
          <w:color w:val="auto"/>
        </w:rPr>
      </w:pPr>
    </w:p>
    <w:p>
      <w:pPr>
        <w:jc w:val="center"/>
        <w:ind w:right="-159"/>
        <w:spacing w:after="0"/>
        <w:rPr>
          <w:sz w:val="20"/>
          <w:szCs w:val="20"/>
          <w:color w:val="auto"/>
        </w:rPr>
      </w:pPr>
      <w:r>
        <w:rPr>
          <w:rFonts w:ascii="Arial" w:cs="Arial" w:eastAsia="Arial" w:hAnsi="Arial"/>
          <w:sz w:val="18"/>
          <w:szCs w:val="18"/>
          <w:b w:val="1"/>
          <w:bCs w:val="1"/>
          <w:color w:val="auto"/>
        </w:rPr>
        <w:t>2021 INCENTIVE PLAN</w:t>
      </w:r>
    </w:p>
    <w:p>
      <w:pPr>
        <w:spacing w:after="0" w:line="200" w:lineRule="exact"/>
        <w:rPr>
          <w:sz w:val="20"/>
          <w:szCs w:val="20"/>
          <w:color w:val="auto"/>
        </w:rPr>
      </w:pPr>
    </w:p>
    <w:p>
      <w:pPr>
        <w:spacing w:after="0" w:line="223" w:lineRule="exact"/>
        <w:rPr>
          <w:sz w:val="20"/>
          <w:szCs w:val="20"/>
          <w:color w:val="auto"/>
        </w:rPr>
      </w:pPr>
    </w:p>
    <w:p>
      <w:pPr>
        <w:jc w:val="center"/>
        <w:ind w:right="-159"/>
        <w:spacing w:after="0"/>
        <w:rPr>
          <w:sz w:val="20"/>
          <w:szCs w:val="20"/>
          <w:color w:val="auto"/>
        </w:rPr>
      </w:pPr>
      <w:r>
        <w:rPr>
          <w:rFonts w:ascii="Arial" w:cs="Arial" w:eastAsia="Arial" w:hAnsi="Arial"/>
          <w:sz w:val="18"/>
          <w:szCs w:val="18"/>
          <w:b w:val="1"/>
          <w:bCs w:val="1"/>
          <w:color w:val="auto"/>
        </w:rPr>
        <w:t>NOTICE OF RESTRICTED STOCK UNIT AWARD</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Participant Name and Address:</w:t>
      </w:r>
    </w:p>
    <w:p>
      <w:pPr>
        <w:spacing w:after="0" w:line="211" w:lineRule="exact"/>
        <w:rPr>
          <w:sz w:val="20"/>
          <w:szCs w:val="20"/>
          <w:color w:val="auto"/>
        </w:rPr>
      </w:pPr>
    </w:p>
    <w:p>
      <w:pPr>
        <w:jc w:val="both"/>
        <w:ind w:left="160" w:firstLine="450"/>
        <w:spacing w:after="0" w:line="259" w:lineRule="auto"/>
        <w:rPr>
          <w:sz w:val="20"/>
          <w:szCs w:val="20"/>
          <w:color w:val="auto"/>
        </w:rPr>
      </w:pPr>
      <w:r>
        <w:rPr>
          <w:rFonts w:ascii="Arial" w:cs="Arial" w:eastAsia="Arial" w:hAnsi="Arial"/>
          <w:sz w:val="18"/>
          <w:szCs w:val="18"/>
          <w:color w:val="auto"/>
        </w:rPr>
        <w:t>You (the “Participant”) have been granted restricted stock units (“Restricted Stock Units” or “RSUs”), subject to the terms and conditions of this Notice of Restricted Stock Unit Award (the “Notice”), the Harvard Bioscience, Inc. 2021 Incentive Plan (as amended from time to time, the “Plan”) and the Restricted Stock Unit Award Agreement (the “RSU Agreement”) attached hereto, as follows. Unless otherwise defined herein, the terms defined in the Plan shall have the same defined meanings in this Notice.</w:t>
      </w:r>
    </w:p>
    <w:p>
      <w:pPr>
        <w:spacing w:after="0" w:line="18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Date of Grant:</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Number of RSUs:</w:t>
      </w:r>
    </w:p>
    <w:p>
      <w:pPr>
        <w:spacing w:after="0" w:line="9" w:lineRule="exact"/>
        <w:rPr>
          <w:sz w:val="20"/>
          <w:szCs w:val="20"/>
          <w:color w:val="auto"/>
        </w:rPr>
      </w:pPr>
    </w:p>
    <w:p>
      <w:pPr>
        <w:ind w:left="2260" w:hanging="2253"/>
        <w:spacing w:after="0" w:line="260" w:lineRule="auto"/>
        <w:tabs>
          <w:tab w:leader="none" w:pos="2240" w:val="left"/>
        </w:tabs>
        <w:rPr>
          <w:sz w:val="20"/>
          <w:szCs w:val="20"/>
          <w:color w:val="auto"/>
        </w:rPr>
      </w:pPr>
      <w:r>
        <w:rPr>
          <w:rFonts w:ascii="Arial" w:cs="Arial" w:eastAsia="Arial" w:hAnsi="Arial"/>
          <w:sz w:val="18"/>
          <w:szCs w:val="18"/>
          <w:b w:val="1"/>
          <w:bCs w:val="1"/>
          <w:color w:val="auto"/>
        </w:rPr>
        <w:t>Vesting Schedule:</w:t>
      </w:r>
      <w:r>
        <w:rPr>
          <w:sz w:val="20"/>
          <w:szCs w:val="20"/>
          <w:color w:val="auto"/>
        </w:rPr>
        <w:tab/>
      </w:r>
      <w:r>
        <w:rPr>
          <w:rFonts w:ascii="Arial" w:cs="Arial" w:eastAsia="Arial" w:hAnsi="Arial"/>
          <w:sz w:val="18"/>
          <w:szCs w:val="18"/>
          <w:color w:val="auto"/>
        </w:rPr>
        <w:t>Participant will receive a benefit with respect to an RSU only if it vests. Subject to the terms set forth in the RSU Agreement attached hereto, the RSUs will vest in accordance with the following schedule:</w:t>
      </w:r>
    </w:p>
    <w:p>
      <w:pPr>
        <w:spacing w:after="0" w:line="181" w:lineRule="exact"/>
        <w:rPr>
          <w:sz w:val="20"/>
          <w:szCs w:val="20"/>
          <w:color w:val="auto"/>
        </w:rPr>
      </w:pPr>
    </w:p>
    <w:tbl>
      <w:tblPr>
        <w:tblLayout w:type="fixed"/>
        <w:tblInd w:w="3800" w:type="dxa"/>
        <w:tblCellMar>
          <w:top w:w="0" w:type="dxa"/>
          <w:left w:w="0" w:type="dxa"/>
          <w:bottom w:w="0" w:type="dxa"/>
          <w:right w:w="0" w:type="dxa"/>
        </w:tblCellMar>
      </w:tblPr>
      <w:tr>
        <w:trPr>
          <w:trHeight w:val="220"/>
        </w:trPr>
        <w:tc>
          <w:tcPr>
            <w:tcW w:w="2940" w:type="dxa"/>
            <w:vAlign w:val="bottom"/>
          </w:tcPr>
          <w:p>
            <w:pPr>
              <w:jc w:val="center"/>
              <w:ind w:right="1430"/>
              <w:spacing w:after="0"/>
              <w:rPr>
                <w:sz w:val="20"/>
                <w:szCs w:val="20"/>
                <w:color w:val="auto"/>
              </w:rPr>
            </w:pPr>
            <w:r>
              <w:rPr>
                <w:rFonts w:ascii="Arial" w:cs="Arial" w:eastAsia="Arial" w:hAnsi="Arial"/>
                <w:sz w:val="18"/>
                <w:szCs w:val="18"/>
                <w:b w:val="1"/>
                <w:bCs w:val="1"/>
                <w:color w:val="auto"/>
                <w:w w:val="89"/>
              </w:rPr>
              <w:t>Vesting Date</w:t>
            </w:r>
          </w:p>
        </w:tc>
        <w:tc>
          <w:tcPr>
            <w:tcW w:w="2980" w:type="dxa"/>
            <w:vAlign w:val="bottom"/>
          </w:tcPr>
          <w:p>
            <w:pPr>
              <w:jc w:val="center"/>
              <w:ind w:left="1450"/>
              <w:spacing w:after="0"/>
              <w:rPr>
                <w:sz w:val="20"/>
                <w:szCs w:val="20"/>
                <w:color w:val="auto"/>
              </w:rPr>
            </w:pPr>
            <w:r>
              <w:rPr>
                <w:rFonts w:ascii="Arial" w:cs="Arial" w:eastAsia="Arial" w:hAnsi="Arial"/>
                <w:sz w:val="18"/>
                <w:szCs w:val="18"/>
                <w:b w:val="1"/>
                <w:bCs w:val="1"/>
                <w:color w:val="auto"/>
                <w:w w:val="86"/>
              </w:rPr>
              <w:t>Vesting Percentage</w:t>
            </w:r>
          </w:p>
        </w:tc>
      </w:tr>
      <w:tr>
        <w:trPr>
          <w:trHeight w:val="216"/>
        </w:trPr>
        <w:tc>
          <w:tcPr>
            <w:tcW w:w="2940" w:type="dxa"/>
            <w:vAlign w:val="bottom"/>
          </w:tcPr>
          <w:p>
            <w:pPr>
              <w:jc w:val="center"/>
              <w:ind w:right="1430"/>
              <w:spacing w:after="0"/>
              <w:rPr>
                <w:sz w:val="20"/>
                <w:szCs w:val="20"/>
                <w:color w:val="auto"/>
              </w:rPr>
            </w:pPr>
            <w:r>
              <w:rPr>
                <w:rFonts w:ascii="Arial" w:cs="Arial" w:eastAsia="Arial" w:hAnsi="Arial"/>
                <w:sz w:val="18"/>
                <w:szCs w:val="18"/>
                <w:color w:val="auto"/>
                <w:w w:val="89"/>
              </w:rPr>
              <w:t>December 29, ____</w:t>
            </w:r>
          </w:p>
        </w:tc>
        <w:tc>
          <w:tcPr>
            <w:tcW w:w="2980" w:type="dxa"/>
            <w:vAlign w:val="bottom"/>
          </w:tcPr>
          <w:p>
            <w:pPr>
              <w:jc w:val="center"/>
              <w:ind w:left="1450"/>
              <w:spacing w:after="0"/>
              <w:rPr>
                <w:sz w:val="20"/>
                <w:szCs w:val="20"/>
                <w:color w:val="auto"/>
              </w:rPr>
            </w:pPr>
            <w:r>
              <w:rPr>
                <w:rFonts w:ascii="Arial" w:cs="Arial" w:eastAsia="Arial" w:hAnsi="Arial"/>
                <w:sz w:val="18"/>
                <w:szCs w:val="18"/>
                <w:color w:val="auto"/>
                <w:w w:val="90"/>
              </w:rPr>
              <w:t>33 1/3%</w:t>
            </w:r>
          </w:p>
        </w:tc>
      </w:tr>
      <w:tr>
        <w:trPr>
          <w:trHeight w:val="216"/>
        </w:trPr>
        <w:tc>
          <w:tcPr>
            <w:tcW w:w="2940" w:type="dxa"/>
            <w:vAlign w:val="bottom"/>
          </w:tcPr>
          <w:p>
            <w:pPr>
              <w:jc w:val="center"/>
              <w:ind w:right="1430"/>
              <w:spacing w:after="0"/>
              <w:rPr>
                <w:sz w:val="20"/>
                <w:szCs w:val="20"/>
                <w:color w:val="auto"/>
              </w:rPr>
            </w:pPr>
            <w:r>
              <w:rPr>
                <w:rFonts w:ascii="Arial" w:cs="Arial" w:eastAsia="Arial" w:hAnsi="Arial"/>
                <w:sz w:val="18"/>
                <w:szCs w:val="18"/>
                <w:color w:val="auto"/>
                <w:w w:val="89"/>
              </w:rPr>
              <w:t>December 29, ____</w:t>
            </w:r>
          </w:p>
        </w:tc>
        <w:tc>
          <w:tcPr>
            <w:tcW w:w="2980" w:type="dxa"/>
            <w:vAlign w:val="bottom"/>
          </w:tcPr>
          <w:p>
            <w:pPr>
              <w:jc w:val="center"/>
              <w:ind w:left="1450"/>
              <w:spacing w:after="0"/>
              <w:rPr>
                <w:sz w:val="20"/>
                <w:szCs w:val="20"/>
                <w:color w:val="auto"/>
              </w:rPr>
            </w:pPr>
            <w:r>
              <w:rPr>
                <w:rFonts w:ascii="Arial" w:cs="Arial" w:eastAsia="Arial" w:hAnsi="Arial"/>
                <w:sz w:val="18"/>
                <w:szCs w:val="18"/>
                <w:color w:val="auto"/>
                <w:w w:val="90"/>
              </w:rPr>
              <w:t>33 1/3%</w:t>
            </w:r>
          </w:p>
        </w:tc>
      </w:tr>
      <w:tr>
        <w:trPr>
          <w:trHeight w:val="230"/>
        </w:trPr>
        <w:tc>
          <w:tcPr>
            <w:tcW w:w="2940" w:type="dxa"/>
            <w:vAlign w:val="bottom"/>
          </w:tcPr>
          <w:p>
            <w:pPr>
              <w:jc w:val="center"/>
              <w:ind w:right="1430"/>
              <w:spacing w:after="0"/>
              <w:rPr>
                <w:sz w:val="20"/>
                <w:szCs w:val="20"/>
                <w:color w:val="auto"/>
              </w:rPr>
            </w:pPr>
            <w:r>
              <w:rPr>
                <w:rFonts w:ascii="Arial" w:cs="Arial" w:eastAsia="Arial" w:hAnsi="Arial"/>
                <w:sz w:val="18"/>
                <w:szCs w:val="18"/>
                <w:color w:val="auto"/>
                <w:w w:val="89"/>
              </w:rPr>
              <w:t>December 29, ____</w:t>
            </w:r>
          </w:p>
        </w:tc>
        <w:tc>
          <w:tcPr>
            <w:tcW w:w="2980" w:type="dxa"/>
            <w:vAlign w:val="bottom"/>
          </w:tcPr>
          <w:p>
            <w:pPr>
              <w:jc w:val="center"/>
              <w:ind w:left="1450"/>
              <w:spacing w:after="0"/>
              <w:rPr>
                <w:sz w:val="20"/>
                <w:szCs w:val="20"/>
                <w:color w:val="auto"/>
              </w:rPr>
            </w:pPr>
            <w:r>
              <w:rPr>
                <w:rFonts w:ascii="Arial" w:cs="Arial" w:eastAsia="Arial" w:hAnsi="Arial"/>
                <w:sz w:val="18"/>
                <w:szCs w:val="18"/>
                <w:color w:val="auto"/>
                <w:w w:val="90"/>
              </w:rPr>
              <w:t>33 1/3%</w:t>
            </w:r>
          </w:p>
        </w:tc>
      </w:tr>
    </w:tbl>
    <w:p>
      <w:pPr>
        <w:spacing w:after="0" w:line="202" w:lineRule="exact"/>
        <w:rPr>
          <w:sz w:val="20"/>
          <w:szCs w:val="20"/>
          <w:color w:val="auto"/>
        </w:rPr>
      </w:pPr>
    </w:p>
    <w:p>
      <w:pPr>
        <w:ind w:left="6640"/>
        <w:spacing w:after="0"/>
        <w:rPr>
          <w:sz w:val="20"/>
          <w:szCs w:val="20"/>
          <w:color w:val="auto"/>
        </w:rPr>
      </w:pPr>
      <w:r>
        <w:rPr>
          <w:rFonts w:ascii="Arial" w:cs="Arial" w:eastAsia="Arial" w:hAnsi="Arial"/>
          <w:sz w:val="18"/>
          <w:szCs w:val="18"/>
          <w:color w:val="auto"/>
        </w:rPr>
        <w:t>HARVARD BIOSCIENCE, INC.</w:t>
      </w:r>
    </w:p>
    <w:p>
      <w:pPr>
        <w:spacing w:after="0" w:line="23" w:lineRule="exact"/>
        <w:rPr>
          <w:sz w:val="20"/>
          <w:szCs w:val="20"/>
          <w:color w:val="auto"/>
        </w:rPr>
      </w:pPr>
    </w:p>
    <w:p>
      <w:pPr>
        <w:ind w:left="6640"/>
        <w:spacing w:after="0"/>
        <w:rPr>
          <w:sz w:val="20"/>
          <w:szCs w:val="20"/>
          <w:color w:val="auto"/>
        </w:rPr>
      </w:pPr>
      <w:r>
        <w:rPr>
          <w:rFonts w:ascii="Arial" w:cs="Arial" w:eastAsia="Arial" w:hAnsi="Arial"/>
          <w:sz w:val="18"/>
          <w:szCs w:val="18"/>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4522470</wp:posOffset>
            </wp:positionH>
            <wp:positionV relativeFrom="paragraph">
              <wp:posOffset>5715</wp:posOffset>
            </wp:positionV>
            <wp:extent cx="1131570" cy="8255"/>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111">
                      <a:extLst>
                        <a:ext uri="{28A0092B-C50C-407E-A947-70E740481C1C}"/>
                      </a:extLst>
                    </a:blip>
                    <a:srcRect/>
                    <a:stretch>
                      <a:fillRect/>
                    </a:stretch>
                  </pic:blipFill>
                  <pic:spPr bwMode="auto">
                    <a:xfrm>
                      <a:off x="0" y="0"/>
                      <a:ext cx="1131570" cy="8255"/>
                    </a:xfrm>
                    <a:prstGeom prst="rect">
                      <a:avLst/>
                    </a:prstGeom>
                    <a:noFill/>
                  </pic:spPr>
                </pic:pic>
              </a:graphicData>
            </a:graphic>
          </wp:anchor>
        </w:drawing>
      </w:r>
    </w:p>
    <w:p>
      <w:pPr>
        <w:ind w:left="6640"/>
        <w:spacing w:after="0"/>
        <w:rPr>
          <w:sz w:val="20"/>
          <w:szCs w:val="20"/>
          <w:color w:val="auto"/>
        </w:rPr>
      </w:pPr>
      <w:r>
        <w:rPr>
          <w:rFonts w:ascii="Arial" w:cs="Arial" w:eastAsia="Arial" w:hAnsi="Arial"/>
          <w:sz w:val="18"/>
          <w:szCs w:val="18"/>
          <w:color w:val="auto"/>
        </w:rPr>
        <w:t>Name: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4522470</wp:posOffset>
            </wp:positionH>
            <wp:positionV relativeFrom="paragraph">
              <wp:posOffset>14605</wp:posOffset>
            </wp:positionV>
            <wp:extent cx="1131570" cy="8255"/>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112">
                      <a:extLst>
                        <a:ext uri="{28A0092B-C50C-407E-A947-70E740481C1C}"/>
                      </a:extLst>
                    </a:blip>
                    <a:srcRect/>
                    <a:stretch>
                      <a:fillRect/>
                    </a:stretch>
                  </pic:blipFill>
                  <pic:spPr bwMode="auto">
                    <a:xfrm>
                      <a:off x="0" y="0"/>
                      <a:ext cx="1131570" cy="8255"/>
                    </a:xfrm>
                    <a:prstGeom prst="rect">
                      <a:avLst/>
                    </a:prstGeom>
                    <a:noFill/>
                  </pic:spPr>
                </pic:pic>
              </a:graphicData>
            </a:graphic>
          </wp:anchor>
        </w:drawing>
      </w:r>
    </w:p>
    <w:p>
      <w:pPr>
        <w:spacing w:after="0" w:line="3" w:lineRule="exact"/>
        <w:rPr>
          <w:sz w:val="20"/>
          <w:szCs w:val="20"/>
          <w:color w:val="auto"/>
        </w:rPr>
      </w:pPr>
    </w:p>
    <w:p>
      <w:pPr>
        <w:ind w:left="6640"/>
        <w:spacing w:after="0"/>
        <w:rPr>
          <w:sz w:val="20"/>
          <w:szCs w:val="20"/>
          <w:color w:val="auto"/>
        </w:rPr>
      </w:pPr>
      <w:r>
        <w:rPr>
          <w:rFonts w:ascii="Arial" w:cs="Arial" w:eastAsia="Arial" w:hAnsi="Arial"/>
          <w:sz w:val="18"/>
          <w:szCs w:val="18"/>
          <w:color w:val="auto"/>
        </w:rPr>
        <w:t>Title: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4522470</wp:posOffset>
            </wp:positionH>
            <wp:positionV relativeFrom="paragraph">
              <wp:posOffset>14605</wp:posOffset>
            </wp:positionV>
            <wp:extent cx="1131570" cy="8255"/>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113">
                      <a:extLst>
                        <a:ext uri="{28A0092B-C50C-407E-A947-70E740481C1C}"/>
                      </a:extLst>
                    </a:blip>
                    <a:srcRect/>
                    <a:stretch>
                      <a:fillRect/>
                    </a:stretch>
                  </pic:blipFill>
                  <pic:spPr bwMode="auto">
                    <a:xfrm>
                      <a:off x="0" y="0"/>
                      <a:ext cx="1131570" cy="825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520065</wp:posOffset>
            </wp:positionV>
            <wp:extent cx="7132320" cy="17145"/>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11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71" w:name="page72"/>
    <w:bookmarkEnd w:id="71"/>
    <w:p>
      <w:pPr>
        <w:ind w:left="8340"/>
        <w:spacing w:after="0"/>
        <w:rPr>
          <w:sz w:val="20"/>
          <w:szCs w:val="20"/>
          <w:color w:val="auto"/>
        </w:rPr>
      </w:pPr>
      <w:r>
        <w:rPr>
          <w:rFonts w:ascii="Arial" w:cs="Arial" w:eastAsia="Arial" w:hAnsi="Arial"/>
          <w:sz w:val="16"/>
          <w:szCs w:val="16"/>
          <w:b w:val="1"/>
          <w:bCs w:val="1"/>
          <w:color w:val="auto"/>
        </w:rPr>
        <w:t>Award Number: ___________</w:t>
      </w:r>
    </w:p>
    <w:p>
      <w:pPr>
        <w:spacing w:after="0" w:line="50" w:lineRule="exact"/>
        <w:rPr>
          <w:sz w:val="20"/>
          <w:szCs w:val="20"/>
          <w:color w:val="auto"/>
        </w:rPr>
      </w:pPr>
    </w:p>
    <w:p>
      <w:pPr>
        <w:jc w:val="center"/>
        <w:ind w:right="400"/>
        <w:spacing w:after="0"/>
        <w:rPr>
          <w:sz w:val="20"/>
          <w:szCs w:val="20"/>
          <w:color w:val="auto"/>
        </w:rPr>
      </w:pPr>
      <w:r>
        <w:rPr>
          <w:rFonts w:ascii="Arial" w:cs="Arial" w:eastAsia="Arial" w:hAnsi="Arial"/>
          <w:sz w:val="18"/>
          <w:szCs w:val="18"/>
          <w:b w:val="1"/>
          <w:bCs w:val="1"/>
          <w:color w:val="auto"/>
        </w:rPr>
        <w:t>HARVARD BIOSCIENCE, INC.</w:t>
      </w:r>
    </w:p>
    <w:p>
      <w:pPr>
        <w:spacing w:after="0" w:line="9" w:lineRule="exact"/>
        <w:rPr>
          <w:sz w:val="20"/>
          <w:szCs w:val="20"/>
          <w:color w:val="auto"/>
        </w:rPr>
      </w:pPr>
    </w:p>
    <w:p>
      <w:pPr>
        <w:jc w:val="center"/>
        <w:ind w:right="400"/>
        <w:spacing w:after="0"/>
        <w:rPr>
          <w:sz w:val="20"/>
          <w:szCs w:val="20"/>
          <w:color w:val="auto"/>
        </w:rPr>
      </w:pPr>
      <w:r>
        <w:rPr>
          <w:rFonts w:ascii="Arial" w:cs="Arial" w:eastAsia="Arial" w:hAnsi="Arial"/>
          <w:sz w:val="18"/>
          <w:szCs w:val="18"/>
          <w:b w:val="1"/>
          <w:bCs w:val="1"/>
          <w:color w:val="auto"/>
        </w:rPr>
        <w:t>2021 INCENTIVE PLAN</w:t>
      </w:r>
    </w:p>
    <w:p>
      <w:pPr>
        <w:spacing w:after="0" w:line="207" w:lineRule="exact"/>
        <w:rPr>
          <w:sz w:val="20"/>
          <w:szCs w:val="20"/>
          <w:color w:val="auto"/>
        </w:rPr>
      </w:pPr>
    </w:p>
    <w:p>
      <w:pPr>
        <w:ind w:left="3360"/>
        <w:spacing w:after="0"/>
        <w:rPr>
          <w:sz w:val="20"/>
          <w:szCs w:val="20"/>
          <w:color w:val="auto"/>
        </w:rPr>
      </w:pPr>
      <w:r>
        <w:rPr>
          <w:rFonts w:ascii="Arial" w:cs="Arial" w:eastAsia="Arial" w:hAnsi="Arial"/>
          <w:sz w:val="18"/>
          <w:szCs w:val="18"/>
          <w:b w:val="1"/>
          <w:bCs w:val="1"/>
          <w:u w:val="single" w:color="auto"/>
          <w:color w:val="auto"/>
        </w:rPr>
        <w:t>RESTRICTED STOCK UNIT AGREEMENT</w:t>
      </w:r>
    </w:p>
    <w:p>
      <w:pPr>
        <w:spacing w:after="0" w:line="229" w:lineRule="exact"/>
        <w:rPr>
          <w:sz w:val="20"/>
          <w:szCs w:val="20"/>
          <w:color w:val="auto"/>
        </w:rPr>
      </w:pPr>
    </w:p>
    <w:p>
      <w:pPr>
        <w:ind w:left="320" w:right="80" w:hanging="319"/>
        <w:spacing w:after="0" w:line="275" w:lineRule="auto"/>
        <w:tabs>
          <w:tab w:leader="none" w:pos="320" w:val="left"/>
        </w:tabs>
        <w:numPr>
          <w:ilvl w:val="0"/>
          <w:numId w:val="38"/>
        </w:numPr>
        <w:rPr>
          <w:rFonts w:ascii="Arial" w:cs="Arial" w:eastAsia="Arial" w:hAnsi="Arial"/>
          <w:sz w:val="17"/>
          <w:szCs w:val="17"/>
          <w:color w:val="auto"/>
        </w:rPr>
      </w:pPr>
      <w:r>
        <w:rPr>
          <w:rFonts w:ascii="Arial" w:cs="Arial" w:eastAsia="Arial" w:hAnsi="Arial"/>
          <w:sz w:val="17"/>
          <w:szCs w:val="17"/>
          <w:u w:val="single" w:color="auto"/>
          <w:color w:val="auto"/>
        </w:rPr>
        <w:t>Grant of Restricted Stock Units</w:t>
      </w:r>
      <w:r>
        <w:rPr>
          <w:rFonts w:ascii="Arial" w:cs="Arial" w:eastAsia="Arial" w:hAnsi="Arial"/>
          <w:sz w:val="17"/>
          <w:szCs w:val="17"/>
          <w:color w:val="auto"/>
        </w:rPr>
        <w:t>. Harvard Bioscience, Inc., a Delaware corporation (the “Company”), hereby grants to the Participant (the “Participant”) named in the Notice of Restricted Stock Unit Award (the “Notice”), the number of restricted stock units (“Restricted Stock Units” or “RSUs”) indicated in the Notice, subject to the terms and provisions of the Notice, this Restricted Stock Unit Award Agreement (this “RSU Agreement”) and the Company’s 2021 Incentive Plan (as amended from time to time, the “Plan”), which are incorporated herein by reference. Capitalized terms used but not defined herein shall have the meaning ascribed to them in the Plan.</w:t>
      </w:r>
    </w:p>
    <w:p>
      <w:pPr>
        <w:spacing w:after="0" w:line="176" w:lineRule="exact"/>
        <w:rPr>
          <w:rFonts w:ascii="Arial" w:cs="Arial" w:eastAsia="Arial" w:hAnsi="Arial"/>
          <w:sz w:val="17"/>
          <w:szCs w:val="17"/>
          <w:color w:val="auto"/>
        </w:rPr>
      </w:pPr>
    </w:p>
    <w:p>
      <w:pPr>
        <w:ind w:left="320" w:right="40" w:hanging="319"/>
        <w:spacing w:after="0" w:line="257" w:lineRule="auto"/>
        <w:tabs>
          <w:tab w:leader="none" w:pos="320" w:val="left"/>
        </w:tabs>
        <w:numPr>
          <w:ilvl w:val="0"/>
          <w:numId w:val="38"/>
        </w:numPr>
        <w:rPr>
          <w:rFonts w:ascii="Arial" w:cs="Arial" w:eastAsia="Arial" w:hAnsi="Arial"/>
          <w:sz w:val="18"/>
          <w:szCs w:val="18"/>
          <w:color w:val="auto"/>
        </w:rPr>
      </w:pPr>
      <w:r>
        <w:rPr>
          <w:rFonts w:ascii="Arial" w:cs="Arial" w:eastAsia="Arial" w:hAnsi="Arial"/>
          <w:sz w:val="18"/>
          <w:szCs w:val="18"/>
          <w:u w:val="single" w:color="auto"/>
          <w:color w:val="auto"/>
        </w:rPr>
        <w:t>Company</w:t>
      </w:r>
      <w:r>
        <w:rPr>
          <w:rFonts w:ascii="Arial" w:cs="Arial" w:eastAsia="Arial" w:hAnsi="Arial"/>
          <w:sz w:val="18"/>
          <w:szCs w:val="18"/>
          <w:color w:val="auto"/>
        </w:rPr>
        <w:t>’</w:t>
      </w:r>
      <w:r>
        <w:rPr>
          <w:rFonts w:ascii="Arial" w:cs="Arial" w:eastAsia="Arial" w:hAnsi="Arial"/>
          <w:sz w:val="18"/>
          <w:szCs w:val="18"/>
          <w:u w:val="single" w:color="auto"/>
          <w:color w:val="auto"/>
        </w:rPr>
        <w:t>s Obligation to Pay</w:t>
      </w:r>
      <w:r>
        <w:rPr>
          <w:rFonts w:ascii="Arial" w:cs="Arial" w:eastAsia="Arial" w:hAnsi="Arial"/>
          <w:sz w:val="18"/>
          <w:szCs w:val="18"/>
          <w:color w:val="auto"/>
        </w:rPr>
        <w:t>. Each Restricted Stock Unit represents the right to receive upon vesting thereof one share of Stock subject to Participant satisfying any applicable tax withholding obligations. Any Restricted Stock Units that vest in accordance with Section 3 will be settled in shares of Stock as soon as practicable after vesting, but in all cases within thirty (30) business days following the vesting date. Unless and until the Restricted Stock Units will have vested in the manner set forth in the Notice and the Plan, Participant will have no right to payment of any such Restricted Stock Units.</w:t>
      </w:r>
    </w:p>
    <w:p>
      <w:pPr>
        <w:spacing w:after="0" w:line="187" w:lineRule="exact"/>
        <w:rPr>
          <w:rFonts w:ascii="Arial" w:cs="Arial" w:eastAsia="Arial" w:hAnsi="Arial"/>
          <w:sz w:val="18"/>
          <w:szCs w:val="18"/>
          <w:color w:val="auto"/>
        </w:rPr>
      </w:pPr>
    </w:p>
    <w:p>
      <w:pPr>
        <w:ind w:left="320" w:right="240" w:hanging="319"/>
        <w:spacing w:after="0" w:line="277" w:lineRule="auto"/>
        <w:tabs>
          <w:tab w:leader="none" w:pos="320" w:val="left"/>
        </w:tabs>
        <w:numPr>
          <w:ilvl w:val="0"/>
          <w:numId w:val="38"/>
        </w:numPr>
        <w:rPr>
          <w:rFonts w:ascii="Arial" w:cs="Arial" w:eastAsia="Arial" w:hAnsi="Arial"/>
          <w:sz w:val="18"/>
          <w:szCs w:val="18"/>
          <w:color w:val="auto"/>
        </w:rPr>
      </w:pPr>
      <w:r>
        <w:rPr>
          <w:rFonts w:ascii="Arial" w:cs="Arial" w:eastAsia="Arial" w:hAnsi="Arial"/>
          <w:sz w:val="18"/>
          <w:szCs w:val="18"/>
          <w:u w:val="single" w:color="auto"/>
          <w:color w:val="auto"/>
        </w:rPr>
        <w:t>Vesting Schedule</w:t>
      </w:r>
      <w:r>
        <w:rPr>
          <w:rFonts w:ascii="Arial" w:cs="Arial" w:eastAsia="Arial" w:hAnsi="Arial"/>
          <w:sz w:val="18"/>
          <w:szCs w:val="18"/>
          <w:color w:val="auto"/>
        </w:rPr>
        <w:t>. Except as specifically provided in Sections 4 and 5 below, the Restricted Stock Units awarded by the Notice and this RSU Agreement will vest in accordance with the “Vesting Schedule” set forth in the Notice.</w:t>
      </w:r>
    </w:p>
    <w:p>
      <w:pPr>
        <w:spacing w:after="0" w:line="170" w:lineRule="exact"/>
        <w:rPr>
          <w:rFonts w:ascii="Arial" w:cs="Arial" w:eastAsia="Arial" w:hAnsi="Arial"/>
          <w:sz w:val="18"/>
          <w:szCs w:val="18"/>
          <w:color w:val="auto"/>
        </w:rPr>
      </w:pPr>
    </w:p>
    <w:p>
      <w:pPr>
        <w:ind w:left="320" w:right="440" w:hanging="319"/>
        <w:spacing w:after="0" w:line="286" w:lineRule="auto"/>
        <w:tabs>
          <w:tab w:leader="none" w:pos="320" w:val="left"/>
        </w:tabs>
        <w:numPr>
          <w:ilvl w:val="0"/>
          <w:numId w:val="38"/>
        </w:numPr>
        <w:rPr>
          <w:rFonts w:ascii="Arial" w:cs="Arial" w:eastAsia="Arial" w:hAnsi="Arial"/>
          <w:sz w:val="17"/>
          <w:szCs w:val="17"/>
          <w:color w:val="auto"/>
        </w:rPr>
      </w:pPr>
      <w:r>
        <w:rPr>
          <w:rFonts w:ascii="Arial" w:cs="Arial" w:eastAsia="Arial" w:hAnsi="Arial"/>
          <w:sz w:val="17"/>
          <w:szCs w:val="17"/>
          <w:u w:val="single" w:color="auto"/>
          <w:color w:val="auto"/>
        </w:rPr>
        <w:t>Termination of Employment; Retirement</w:t>
      </w:r>
      <w:r>
        <w:rPr>
          <w:rFonts w:ascii="Arial" w:cs="Arial" w:eastAsia="Arial" w:hAnsi="Arial"/>
          <w:sz w:val="17"/>
          <w:szCs w:val="17"/>
          <w:color w:val="auto"/>
        </w:rPr>
        <w:t>. Except as set forth in this Section 4 and in Section 5 below, the Participant’s rights to all RSUs granted herein and not yet vested in accordance with the “Vesting Schedule” set forth in the Notice shall automatically terminate upon the Participant’s termination of employment with the Company and its Subsidiaries for any reason.</w:t>
      </w:r>
    </w:p>
    <w:p>
      <w:pPr>
        <w:spacing w:after="0" w:line="165" w:lineRule="exact"/>
        <w:rPr>
          <w:rFonts w:ascii="Arial" w:cs="Arial" w:eastAsia="Arial" w:hAnsi="Arial"/>
          <w:sz w:val="17"/>
          <w:szCs w:val="17"/>
          <w:color w:val="auto"/>
        </w:rPr>
      </w:pPr>
    </w:p>
    <w:p>
      <w:pPr>
        <w:ind w:left="980" w:right="60" w:hanging="317"/>
        <w:spacing w:after="0" w:line="259" w:lineRule="auto"/>
        <w:tabs>
          <w:tab w:leader="none" w:pos="980" w:val="left"/>
        </w:tabs>
        <w:numPr>
          <w:ilvl w:val="1"/>
          <w:numId w:val="38"/>
        </w:numPr>
        <w:rPr>
          <w:rFonts w:ascii="Arial" w:cs="Arial" w:eastAsia="Arial" w:hAnsi="Arial"/>
          <w:sz w:val="18"/>
          <w:szCs w:val="18"/>
          <w:color w:val="auto"/>
        </w:rPr>
      </w:pPr>
      <w:r>
        <w:rPr>
          <w:rFonts w:ascii="Arial" w:cs="Arial" w:eastAsia="Arial" w:hAnsi="Arial"/>
          <w:sz w:val="18"/>
          <w:szCs w:val="18"/>
          <w:u w:val="single" w:color="auto"/>
          <w:color w:val="auto"/>
        </w:rPr>
        <w:t>Death or Disability</w:t>
      </w:r>
      <w:r>
        <w:rPr>
          <w:rFonts w:ascii="Arial" w:cs="Arial" w:eastAsia="Arial" w:hAnsi="Arial"/>
          <w:sz w:val="18"/>
          <w:szCs w:val="18"/>
          <w:color w:val="auto"/>
        </w:rPr>
        <w:t>. In the event of the Participant’s death or Disability while employed by the Company, a number of RSUs equal to one-third of the total number of RSUs granted pursuant to this RSU Agreement multiplied by the number of full months elapsed from the most recent Vesting Date to the date of Participant’s death or Disability divided by 12 shall vest as of the date of the Participant’s death or Disability.</w:t>
      </w:r>
    </w:p>
    <w:p>
      <w:pPr>
        <w:spacing w:after="0" w:line="186" w:lineRule="exact"/>
        <w:rPr>
          <w:rFonts w:ascii="Arial" w:cs="Arial" w:eastAsia="Arial" w:hAnsi="Arial"/>
          <w:sz w:val="18"/>
          <w:szCs w:val="18"/>
          <w:color w:val="auto"/>
        </w:rPr>
      </w:pPr>
    </w:p>
    <w:p>
      <w:pPr>
        <w:ind w:left="980" w:right="180" w:hanging="331"/>
        <w:spacing w:after="0" w:line="279" w:lineRule="auto"/>
        <w:tabs>
          <w:tab w:leader="none" w:pos="980" w:val="left"/>
        </w:tabs>
        <w:numPr>
          <w:ilvl w:val="1"/>
          <w:numId w:val="38"/>
        </w:numPr>
        <w:rPr>
          <w:rFonts w:ascii="Arial" w:cs="Arial" w:eastAsia="Arial" w:hAnsi="Arial"/>
          <w:sz w:val="17"/>
          <w:szCs w:val="17"/>
          <w:color w:val="auto"/>
        </w:rPr>
      </w:pPr>
      <w:r>
        <w:rPr>
          <w:rFonts w:ascii="Arial" w:cs="Arial" w:eastAsia="Arial" w:hAnsi="Arial"/>
          <w:sz w:val="17"/>
          <w:szCs w:val="17"/>
          <w:u w:val="single" w:color="auto"/>
          <w:color w:val="auto"/>
        </w:rPr>
        <w:t>Rule of 65</w:t>
      </w:r>
      <w:r>
        <w:rPr>
          <w:rFonts w:ascii="Arial" w:cs="Arial" w:eastAsia="Arial" w:hAnsi="Arial"/>
          <w:sz w:val="17"/>
          <w:szCs w:val="17"/>
          <w:color w:val="auto"/>
        </w:rPr>
        <w:t>. In the event that the Participant has satisfied the Rule of 65 at the time of his or her termination of employment and such termination of employment is not for Cause, a number of RSUs equal to one-third of the total number of RSUs granted pursuant to this RSU Agreement multiplied by the number of full months elapsed from the most recent Vesting Date to the date of such termination of employment divided by 12 shall vest as of the date of such termination of employment.</w:t>
      </w:r>
    </w:p>
    <w:p>
      <w:pPr>
        <w:spacing w:after="0" w:line="171" w:lineRule="exact"/>
        <w:rPr>
          <w:rFonts w:ascii="Arial" w:cs="Arial" w:eastAsia="Arial" w:hAnsi="Arial"/>
          <w:sz w:val="17"/>
          <w:szCs w:val="17"/>
          <w:color w:val="auto"/>
        </w:rPr>
      </w:pPr>
    </w:p>
    <w:p>
      <w:pPr>
        <w:ind w:left="980" w:right="40" w:hanging="317"/>
        <w:spacing w:after="0" w:line="259" w:lineRule="auto"/>
        <w:tabs>
          <w:tab w:leader="none" w:pos="980" w:val="left"/>
        </w:tabs>
        <w:numPr>
          <w:ilvl w:val="1"/>
          <w:numId w:val="38"/>
        </w:numPr>
        <w:rPr>
          <w:rFonts w:ascii="Arial" w:cs="Arial" w:eastAsia="Arial" w:hAnsi="Arial"/>
          <w:sz w:val="18"/>
          <w:szCs w:val="18"/>
          <w:color w:val="auto"/>
        </w:rPr>
      </w:pPr>
      <w:r>
        <w:rPr>
          <w:rFonts w:ascii="Arial" w:cs="Arial" w:eastAsia="Arial" w:hAnsi="Arial"/>
          <w:sz w:val="18"/>
          <w:szCs w:val="18"/>
          <w:u w:val="single" w:color="auto"/>
          <w:color w:val="auto"/>
        </w:rPr>
        <w:t>Termination for Good Reason</w:t>
      </w:r>
      <w:r>
        <w:rPr>
          <w:rFonts w:ascii="Arial" w:cs="Arial" w:eastAsia="Arial" w:hAnsi="Arial"/>
          <w:sz w:val="18"/>
          <w:szCs w:val="18"/>
          <w:color w:val="auto"/>
        </w:rPr>
        <w:t>. In the event that the Participant’s employment is terminated by the Participant for Good Reason, a number of RSUs equal to one-third of the total number of RSUs granted pursuant to this RSU Agreement multiplied by the number of full months elapsed from the most recent Vesting Date to the date of such termination of employment divided by 12 shall vest as of the date of such termination of employment.</w:t>
      </w:r>
    </w:p>
    <w:p>
      <w:pPr>
        <w:spacing w:after="0" w:line="200" w:lineRule="exact"/>
        <w:rPr>
          <w:sz w:val="20"/>
          <w:szCs w:val="20"/>
          <w:color w:val="auto"/>
        </w:rPr>
      </w:pPr>
    </w:p>
    <w:p>
      <w:pPr>
        <w:spacing w:after="0" w:line="230" w:lineRule="exact"/>
        <w:rPr>
          <w:sz w:val="20"/>
          <w:szCs w:val="20"/>
          <w:color w:val="auto"/>
        </w:rPr>
      </w:pPr>
    </w:p>
    <w:p>
      <w:pPr>
        <w:jc w:val="center"/>
        <w:ind w:right="560"/>
        <w:spacing w:after="0"/>
        <w:rPr>
          <w:sz w:val="20"/>
          <w:szCs w:val="20"/>
          <w:color w:val="auto"/>
        </w:rPr>
      </w:pPr>
      <w:r>
        <w:rPr>
          <w:rFonts w:ascii="Arial" w:cs="Arial" w:eastAsia="Arial" w:hAnsi="Arial"/>
          <w:sz w:val="18"/>
          <w:szCs w:val="18"/>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-349885</wp:posOffset>
            </wp:positionH>
            <wp:positionV relativeFrom="paragraph">
              <wp:posOffset>83185</wp:posOffset>
            </wp:positionV>
            <wp:extent cx="7132320" cy="17145"/>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11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0680"/>
          </w:cols>
          <w:pgMar w:left="880" w:top="580" w:right="339" w:bottom="1440" w:gutter="0" w:footer="0" w:header="0"/>
        </w:sectPr>
      </w:pPr>
    </w:p>
    <w:bookmarkStart w:id="72" w:name="page73"/>
    <w:bookmarkEnd w:id="72"/>
    <w:p>
      <w:pPr>
        <w:ind w:left="420" w:right="40" w:hanging="319"/>
        <w:spacing w:after="0" w:line="259" w:lineRule="auto"/>
        <w:tabs>
          <w:tab w:leader="none" w:pos="420" w:val="left"/>
        </w:tabs>
        <w:numPr>
          <w:ilvl w:val="1"/>
          <w:numId w:val="39"/>
        </w:numPr>
        <w:rPr>
          <w:rFonts w:ascii="Arial" w:cs="Arial" w:eastAsia="Arial" w:hAnsi="Arial"/>
          <w:sz w:val="18"/>
          <w:szCs w:val="18"/>
          <w:color w:val="auto"/>
        </w:rPr>
      </w:pPr>
      <w:r>
        <w:rPr>
          <w:rFonts w:ascii="Arial" w:cs="Arial" w:eastAsia="Arial" w:hAnsi="Arial"/>
          <w:sz w:val="18"/>
          <w:szCs w:val="18"/>
          <w:u w:val="single" w:color="auto"/>
          <w:color w:val="auto"/>
        </w:rPr>
        <w:t>Change in Control</w:t>
      </w:r>
      <w:r>
        <w:rPr>
          <w:rFonts w:ascii="Arial" w:cs="Arial" w:eastAsia="Arial" w:hAnsi="Arial"/>
          <w:sz w:val="18"/>
          <w:szCs w:val="18"/>
          <w:color w:val="auto"/>
        </w:rPr>
        <w:t>. Notwithstanding anything to the contrary in this Agreement, in the event of a Change in Control and the Participant’s employment is terminated by the Participant for Good Reason or by the Company without Cause within one (1) year following such Change in Control or in the event of the Participant’s death or Disability within one (1) year following such Change in Control, the RSUs shall automatically vest in full as of the date of such termination, death or Disability, as the case may be.</w:t>
      </w:r>
    </w:p>
    <w:p>
      <w:pPr>
        <w:spacing w:after="0" w:line="186" w:lineRule="exact"/>
        <w:rPr>
          <w:rFonts w:ascii="Arial" w:cs="Arial" w:eastAsia="Arial" w:hAnsi="Arial"/>
          <w:sz w:val="18"/>
          <w:szCs w:val="18"/>
          <w:color w:val="auto"/>
        </w:rPr>
      </w:pPr>
    </w:p>
    <w:p>
      <w:pPr>
        <w:ind w:left="420" w:right="440" w:hanging="319"/>
        <w:spacing w:after="0" w:line="277" w:lineRule="auto"/>
        <w:tabs>
          <w:tab w:leader="none" w:pos="420" w:val="left"/>
        </w:tabs>
        <w:numPr>
          <w:ilvl w:val="1"/>
          <w:numId w:val="39"/>
        </w:numPr>
        <w:rPr>
          <w:rFonts w:ascii="Arial" w:cs="Arial" w:eastAsia="Arial" w:hAnsi="Arial"/>
          <w:sz w:val="18"/>
          <w:szCs w:val="18"/>
          <w:color w:val="auto"/>
        </w:rPr>
      </w:pPr>
      <w:r>
        <w:rPr>
          <w:rFonts w:ascii="Arial" w:cs="Arial" w:eastAsia="Arial" w:hAnsi="Arial"/>
          <w:sz w:val="18"/>
          <w:szCs w:val="18"/>
          <w:u w:val="single" w:color="auto"/>
          <w:color w:val="auto"/>
        </w:rPr>
        <w:t>Transferability of RSUs</w:t>
      </w:r>
      <w:r>
        <w:rPr>
          <w:rFonts w:ascii="Arial" w:cs="Arial" w:eastAsia="Arial" w:hAnsi="Arial"/>
          <w:sz w:val="18"/>
          <w:szCs w:val="18"/>
          <w:color w:val="auto"/>
        </w:rPr>
        <w:t>. Unless determined otherwise by the Committee, the RSUs may not be sold, pledged, assigned, hypothecated, or otherwise transferred by Participant in any manner.</w:t>
      </w:r>
    </w:p>
    <w:p>
      <w:pPr>
        <w:spacing w:after="0" w:line="170" w:lineRule="exact"/>
        <w:rPr>
          <w:rFonts w:ascii="Arial" w:cs="Arial" w:eastAsia="Arial" w:hAnsi="Arial"/>
          <w:sz w:val="18"/>
          <w:szCs w:val="18"/>
          <w:color w:val="auto"/>
        </w:rPr>
      </w:pPr>
    </w:p>
    <w:p>
      <w:pPr>
        <w:jc w:val="both"/>
        <w:ind w:left="420" w:right="100" w:hanging="319"/>
        <w:spacing w:after="0" w:line="263" w:lineRule="auto"/>
        <w:tabs>
          <w:tab w:leader="none" w:pos="420" w:val="left"/>
        </w:tabs>
        <w:numPr>
          <w:ilvl w:val="1"/>
          <w:numId w:val="39"/>
        </w:numPr>
        <w:rPr>
          <w:rFonts w:ascii="Arial" w:cs="Arial" w:eastAsia="Arial" w:hAnsi="Arial"/>
          <w:sz w:val="18"/>
          <w:szCs w:val="18"/>
          <w:color w:val="auto"/>
        </w:rPr>
      </w:pPr>
      <w:r>
        <w:rPr>
          <w:rFonts w:ascii="Arial" w:cs="Arial" w:eastAsia="Arial" w:hAnsi="Arial"/>
          <w:sz w:val="18"/>
          <w:szCs w:val="18"/>
          <w:u w:val="single" w:color="auto"/>
          <w:color w:val="auto"/>
        </w:rPr>
        <w:t>Stop-Transfer Notices</w:t>
      </w:r>
      <w:r>
        <w:rPr>
          <w:rFonts w:ascii="Arial" w:cs="Arial" w:eastAsia="Arial" w:hAnsi="Arial"/>
          <w:sz w:val="18"/>
          <w:szCs w:val="18"/>
          <w:color w:val="auto"/>
        </w:rPr>
        <w:t>. In order to ensure compliance with the restrictions on transfer set forth in this RSU Agreement, the Notice or the Plan, the Company may issue appropriate “stop-transfer” instructions to its transfer agent, if any, and, if the Company transfers its own securities, it may make appropriate notations to the same effect in its own records.</w:t>
      </w:r>
    </w:p>
    <w:p>
      <w:pPr>
        <w:spacing w:after="0" w:line="183" w:lineRule="exact"/>
        <w:rPr>
          <w:rFonts w:ascii="Arial" w:cs="Arial" w:eastAsia="Arial" w:hAnsi="Arial"/>
          <w:sz w:val="18"/>
          <w:szCs w:val="18"/>
          <w:color w:val="auto"/>
        </w:rPr>
      </w:pPr>
    </w:p>
    <w:p>
      <w:pPr>
        <w:ind w:left="420" w:right="80" w:hanging="319"/>
        <w:spacing w:after="0" w:line="263" w:lineRule="auto"/>
        <w:tabs>
          <w:tab w:leader="none" w:pos="420" w:val="left"/>
        </w:tabs>
        <w:numPr>
          <w:ilvl w:val="1"/>
          <w:numId w:val="39"/>
        </w:numPr>
        <w:rPr>
          <w:rFonts w:ascii="Arial" w:cs="Arial" w:eastAsia="Arial" w:hAnsi="Arial"/>
          <w:sz w:val="18"/>
          <w:szCs w:val="18"/>
          <w:color w:val="auto"/>
        </w:rPr>
      </w:pPr>
      <w:r>
        <w:rPr>
          <w:rFonts w:ascii="Arial" w:cs="Arial" w:eastAsia="Arial" w:hAnsi="Arial"/>
          <w:sz w:val="18"/>
          <w:szCs w:val="18"/>
          <w:u w:val="single" w:color="auto"/>
          <w:color w:val="auto"/>
        </w:rPr>
        <w:t>Refusal to Transfer</w:t>
      </w:r>
      <w:r>
        <w:rPr>
          <w:rFonts w:ascii="Arial" w:cs="Arial" w:eastAsia="Arial" w:hAnsi="Arial"/>
          <w:sz w:val="18"/>
          <w:szCs w:val="18"/>
          <w:color w:val="auto"/>
        </w:rPr>
        <w:t>. The Company shall not be required (i) to transfer on its books any Shares that have been sold or otherwise transferred in violation of any of the provisions of this RSU Agreement or (ii) to treat as owner of such Shares or to accord the right to vote or pay dividends to any purchaser or other transferee to whom such Shares shall have been so transferred.</w:t>
      </w:r>
    </w:p>
    <w:p>
      <w:pPr>
        <w:spacing w:after="0" w:line="183" w:lineRule="exact"/>
        <w:rPr>
          <w:rFonts w:ascii="Arial" w:cs="Arial" w:eastAsia="Arial" w:hAnsi="Arial"/>
          <w:sz w:val="18"/>
          <w:szCs w:val="18"/>
          <w:color w:val="auto"/>
        </w:rPr>
      </w:pPr>
    </w:p>
    <w:p>
      <w:pPr>
        <w:ind w:left="420" w:hanging="319"/>
        <w:spacing w:after="0"/>
        <w:tabs>
          <w:tab w:leader="none" w:pos="420" w:val="left"/>
        </w:tabs>
        <w:numPr>
          <w:ilvl w:val="1"/>
          <w:numId w:val="39"/>
        </w:numPr>
        <w:rPr>
          <w:rFonts w:ascii="Arial" w:cs="Arial" w:eastAsia="Arial" w:hAnsi="Arial"/>
          <w:sz w:val="18"/>
          <w:szCs w:val="18"/>
          <w:color w:val="auto"/>
        </w:rPr>
      </w:pPr>
      <w:r>
        <w:rPr>
          <w:rFonts w:ascii="Arial" w:cs="Arial" w:eastAsia="Arial" w:hAnsi="Arial"/>
          <w:sz w:val="18"/>
          <w:szCs w:val="18"/>
          <w:u w:val="single" w:color="auto"/>
          <w:color w:val="auto"/>
        </w:rPr>
        <w:t>Tax Consequences</w:t>
      </w:r>
      <w:r>
        <w:rPr>
          <w:rFonts w:ascii="Arial" w:cs="Arial" w:eastAsia="Arial" w:hAnsi="Arial"/>
          <w:sz w:val="18"/>
          <w:szCs w:val="18"/>
          <w:color w:val="auto"/>
        </w:rPr>
        <w:t>.</w:t>
      </w:r>
    </w:p>
    <w:p>
      <w:pPr>
        <w:spacing w:after="0" w:line="225" w:lineRule="exact"/>
        <w:rPr>
          <w:rFonts w:ascii="Arial" w:cs="Arial" w:eastAsia="Arial" w:hAnsi="Arial"/>
          <w:sz w:val="18"/>
          <w:szCs w:val="18"/>
          <w:color w:val="auto"/>
        </w:rPr>
      </w:pPr>
    </w:p>
    <w:p>
      <w:pPr>
        <w:ind w:left="1080" w:right="380" w:hanging="317"/>
        <w:spacing w:after="0" w:line="277" w:lineRule="auto"/>
        <w:tabs>
          <w:tab w:leader="none" w:pos="1080" w:val="left"/>
        </w:tabs>
        <w:numPr>
          <w:ilvl w:val="2"/>
          <w:numId w:val="39"/>
        </w:numPr>
        <w:rPr>
          <w:rFonts w:ascii="Arial" w:cs="Arial" w:eastAsia="Arial" w:hAnsi="Arial"/>
          <w:sz w:val="18"/>
          <w:szCs w:val="18"/>
          <w:color w:val="auto"/>
        </w:rPr>
      </w:pPr>
      <w:r>
        <w:rPr>
          <w:rFonts w:ascii="Arial" w:cs="Arial" w:eastAsia="Arial" w:hAnsi="Arial"/>
          <w:sz w:val="18"/>
          <w:szCs w:val="18"/>
          <w:color w:val="auto"/>
        </w:rPr>
        <w:t>Participant is solely responsible for all federal, state and local taxes relating to the RSUs, including as a result of the Participant’s disposition of the Shares.</w:t>
      </w:r>
    </w:p>
    <w:p>
      <w:pPr>
        <w:spacing w:after="0" w:line="170" w:lineRule="exact"/>
        <w:rPr>
          <w:rFonts w:ascii="Arial" w:cs="Arial" w:eastAsia="Arial" w:hAnsi="Arial"/>
          <w:sz w:val="18"/>
          <w:szCs w:val="18"/>
          <w:color w:val="auto"/>
        </w:rPr>
      </w:pPr>
    </w:p>
    <w:p>
      <w:pPr>
        <w:ind w:left="1080" w:right="360" w:hanging="317"/>
        <w:spacing w:after="0" w:line="259" w:lineRule="auto"/>
        <w:tabs>
          <w:tab w:leader="none" w:pos="1080" w:val="left"/>
        </w:tabs>
        <w:numPr>
          <w:ilvl w:val="2"/>
          <w:numId w:val="39"/>
        </w:numPr>
        <w:rPr>
          <w:rFonts w:ascii="Arial" w:cs="Arial" w:eastAsia="Arial" w:hAnsi="Arial"/>
          <w:sz w:val="18"/>
          <w:szCs w:val="18"/>
          <w:color w:val="auto"/>
        </w:rPr>
      </w:pPr>
      <w:r>
        <w:rPr>
          <w:rFonts w:ascii="Arial" w:cs="Arial" w:eastAsia="Arial" w:hAnsi="Arial"/>
          <w:sz w:val="18"/>
          <w:szCs w:val="18"/>
          <w:color w:val="auto"/>
        </w:rPr>
        <w:t>The Company makes no representation that the RSUs will comply with Sections 409A and 457A of the Code and makes no undertaking to prevent Section 409A or 457A of the Code from applying to the RSUs or to mitigate its effects on any deferrals or payments made in respect of the RSUs. The Participant is encouraged to consult a tax adviser regarding the potential impact of Section 409A and 457A of the Code.</w:t>
      </w:r>
    </w:p>
    <w:p>
      <w:pPr>
        <w:spacing w:after="0" w:line="186" w:lineRule="exact"/>
        <w:rPr>
          <w:rFonts w:ascii="Arial" w:cs="Arial" w:eastAsia="Arial" w:hAnsi="Arial"/>
          <w:sz w:val="18"/>
          <w:szCs w:val="18"/>
          <w:color w:val="auto"/>
        </w:rPr>
      </w:pPr>
    </w:p>
    <w:p>
      <w:pPr>
        <w:ind w:left="340" w:right="40" w:hanging="333"/>
        <w:spacing w:after="0" w:line="271" w:lineRule="auto"/>
        <w:tabs>
          <w:tab w:leader="none" w:pos="340" w:val="left"/>
        </w:tabs>
        <w:numPr>
          <w:ilvl w:val="1"/>
          <w:numId w:val="39"/>
        </w:numPr>
        <w:rPr>
          <w:rFonts w:ascii="Arial" w:cs="Arial" w:eastAsia="Arial" w:hAnsi="Arial"/>
          <w:sz w:val="17"/>
          <w:szCs w:val="17"/>
          <w:color w:val="auto"/>
        </w:rPr>
      </w:pPr>
      <w:r>
        <w:rPr>
          <w:rFonts w:ascii="Arial" w:cs="Arial" w:eastAsia="Arial" w:hAnsi="Arial"/>
          <w:sz w:val="17"/>
          <w:szCs w:val="17"/>
          <w:u w:val="single" w:color="auto"/>
          <w:color w:val="auto"/>
        </w:rPr>
        <w:t>Entire Agreement; Severability</w:t>
      </w:r>
      <w:r>
        <w:rPr>
          <w:rFonts w:ascii="Arial" w:cs="Arial" w:eastAsia="Arial" w:hAnsi="Arial"/>
          <w:sz w:val="17"/>
          <w:szCs w:val="17"/>
          <w:color w:val="auto"/>
        </w:rPr>
        <w:t>. The Notice, the Plan and this RSU Agreement constitute the entire agreement of the parties with respect to the subject matter hereof and supersede in their entirety all prior undertakings and agreements of the Company and the Participant with respect to the subject matter hereof, and may not be modified adversely to the Participant’s interest except by means of a writing signed by the Company and the Participant. In the event of a conflict between the terms and conditions of the Plan and the terms and conditions of this RSU Agreement, the terms and conditions of the Plan shall prevail. Nothing in the Notice, the Plan and this RSU Agreement (except as expressly provided therein) is intended to confer any rights or remedies on any persons other than the parties. Should any provision of the Notice, the Plan or this RSU Agreement be determined to be illegal or unenforceable, such provision shall be enforced to the fullest extent allowed by law and the other provisions shall nevertheless remain effective and shall remain enforceable.</w:t>
      </w:r>
    </w:p>
    <w:p>
      <w:pPr>
        <w:spacing w:after="0" w:line="178" w:lineRule="exact"/>
        <w:rPr>
          <w:rFonts w:ascii="Arial" w:cs="Arial" w:eastAsia="Arial" w:hAnsi="Arial"/>
          <w:sz w:val="17"/>
          <w:szCs w:val="17"/>
          <w:color w:val="auto"/>
        </w:rPr>
      </w:pPr>
    </w:p>
    <w:p>
      <w:pPr>
        <w:ind w:left="340" w:hanging="333"/>
        <w:spacing w:after="0" w:line="286" w:lineRule="auto"/>
        <w:tabs>
          <w:tab w:leader="none" w:pos="340" w:val="left"/>
        </w:tabs>
        <w:numPr>
          <w:ilvl w:val="0"/>
          <w:numId w:val="40"/>
        </w:numPr>
        <w:rPr>
          <w:rFonts w:ascii="Arial" w:cs="Arial" w:eastAsia="Arial" w:hAnsi="Arial"/>
          <w:sz w:val="17"/>
          <w:szCs w:val="17"/>
          <w:color w:val="auto"/>
        </w:rPr>
      </w:pPr>
      <w:r>
        <w:rPr>
          <w:rFonts w:ascii="Arial" w:cs="Arial" w:eastAsia="Arial" w:hAnsi="Arial"/>
          <w:sz w:val="17"/>
          <w:szCs w:val="17"/>
          <w:u w:val="single" w:color="auto"/>
          <w:color w:val="auto"/>
        </w:rPr>
        <w:t>Construction</w:t>
      </w:r>
      <w:r>
        <w:rPr>
          <w:rFonts w:ascii="Arial" w:cs="Arial" w:eastAsia="Arial" w:hAnsi="Arial"/>
          <w:sz w:val="17"/>
          <w:szCs w:val="17"/>
          <w:color w:val="auto"/>
        </w:rPr>
        <w:t>. The captions used in the Notice and this RSU Agreement are inserted for convenience and shall not be deemed a part of the RSUs for construction or interpretation. Except when otherwise indicated by the context, the singular shall include the plural and the plural shall include the singular. Use of the term “or” is not intended to be exclusive, unless the context clearly requires otherwise.</w:t>
      </w:r>
    </w:p>
    <w:p>
      <w:pPr>
        <w:spacing w:after="0" w:line="165" w:lineRule="exact"/>
        <w:rPr>
          <w:rFonts w:ascii="Arial" w:cs="Arial" w:eastAsia="Arial" w:hAnsi="Arial"/>
          <w:sz w:val="17"/>
          <w:szCs w:val="17"/>
          <w:color w:val="auto"/>
        </w:rPr>
      </w:pPr>
    </w:p>
    <w:p>
      <w:pPr>
        <w:ind w:left="340" w:right="320" w:hanging="333"/>
        <w:spacing w:after="0" w:line="263" w:lineRule="auto"/>
        <w:tabs>
          <w:tab w:leader="none" w:pos="340" w:val="left"/>
        </w:tabs>
        <w:numPr>
          <w:ilvl w:val="0"/>
          <w:numId w:val="40"/>
        </w:numPr>
        <w:rPr>
          <w:rFonts w:ascii="Arial" w:cs="Arial" w:eastAsia="Arial" w:hAnsi="Arial"/>
          <w:sz w:val="18"/>
          <w:szCs w:val="18"/>
          <w:color w:val="auto"/>
        </w:rPr>
      </w:pPr>
      <w:r>
        <w:rPr>
          <w:rFonts w:ascii="Arial" w:cs="Arial" w:eastAsia="Arial" w:hAnsi="Arial"/>
          <w:sz w:val="18"/>
          <w:szCs w:val="18"/>
          <w:u w:val="single" w:color="auto"/>
          <w:color w:val="auto"/>
        </w:rPr>
        <w:t>Administration and Interpretation</w:t>
      </w:r>
      <w:r>
        <w:rPr>
          <w:rFonts w:ascii="Arial" w:cs="Arial" w:eastAsia="Arial" w:hAnsi="Arial"/>
          <w:sz w:val="18"/>
          <w:szCs w:val="18"/>
          <w:color w:val="auto"/>
        </w:rPr>
        <w:t>. Any question or dispute regarding the administration or interpretation of the Notice, the Plan or this RSU Agreement shall be submitted by the Participant or by the Company to the Committee. The resolution of such question or dispute by the Committee shall be final and binding on all persons.</w:t>
      </w:r>
    </w:p>
    <w:p>
      <w:pPr>
        <w:spacing w:after="0" w:line="184" w:lineRule="exact"/>
        <w:rPr>
          <w:sz w:val="20"/>
          <w:szCs w:val="20"/>
          <w:color w:val="auto"/>
        </w:rPr>
      </w:pPr>
    </w:p>
    <w:p>
      <w:pPr>
        <w:jc w:val="center"/>
        <w:ind w:right="440"/>
        <w:spacing w:after="0"/>
        <w:rPr>
          <w:sz w:val="20"/>
          <w:szCs w:val="20"/>
          <w:color w:val="auto"/>
        </w:rPr>
      </w:pPr>
      <w:r>
        <w:rPr>
          <w:rFonts w:ascii="Arial" w:cs="Arial" w:eastAsia="Arial" w:hAnsi="Arial"/>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-286385</wp:posOffset>
            </wp:positionH>
            <wp:positionV relativeFrom="paragraph">
              <wp:posOffset>83185</wp:posOffset>
            </wp:positionV>
            <wp:extent cx="7132320" cy="17145"/>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11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0760"/>
          </w:cols>
          <w:pgMar w:left="780" w:top="584" w:right="359" w:bottom="1440" w:gutter="0" w:footer="0" w:header="0"/>
        </w:sectPr>
      </w:pPr>
    </w:p>
    <w:bookmarkStart w:id="73" w:name="page74"/>
    <w:bookmarkEnd w:id="73"/>
    <w:p>
      <w:pPr>
        <w:ind w:left="340" w:hanging="333"/>
        <w:spacing w:after="0" w:line="263" w:lineRule="auto"/>
        <w:tabs>
          <w:tab w:leader="none" w:pos="340" w:val="left"/>
        </w:tabs>
        <w:numPr>
          <w:ilvl w:val="0"/>
          <w:numId w:val="41"/>
        </w:numPr>
        <w:rPr>
          <w:rFonts w:ascii="Arial" w:cs="Arial" w:eastAsia="Arial" w:hAnsi="Arial"/>
          <w:sz w:val="18"/>
          <w:szCs w:val="18"/>
          <w:color w:val="auto"/>
        </w:rPr>
      </w:pPr>
      <w:r>
        <w:rPr>
          <w:rFonts w:ascii="Arial" w:cs="Arial" w:eastAsia="Arial" w:hAnsi="Arial"/>
          <w:sz w:val="18"/>
          <w:szCs w:val="18"/>
          <w:u w:val="single" w:color="auto"/>
          <w:color w:val="auto"/>
        </w:rPr>
        <w:t>Conflicts</w:t>
      </w:r>
      <w:r>
        <w:rPr>
          <w:rFonts w:ascii="Arial" w:cs="Arial" w:eastAsia="Arial" w:hAnsi="Arial"/>
          <w:sz w:val="18"/>
          <w:szCs w:val="18"/>
          <w:color w:val="auto"/>
        </w:rPr>
        <w:t>. In the event of a conflict or inconsistency between the terms and conditions of this RSU Agreement and another written agreement between the Company and the Participant that provides for accelerated vesting of the Participant’s RSUs upon the occurrence of certain events, the terms and conditions of such other written agreement shall control.</w:t>
      </w:r>
    </w:p>
    <w:p>
      <w:pPr>
        <w:spacing w:after="0" w:line="183" w:lineRule="exact"/>
        <w:rPr>
          <w:rFonts w:ascii="Arial" w:cs="Arial" w:eastAsia="Arial" w:hAnsi="Arial"/>
          <w:sz w:val="18"/>
          <w:szCs w:val="18"/>
          <w:color w:val="auto"/>
        </w:rPr>
      </w:pPr>
    </w:p>
    <w:p>
      <w:pPr>
        <w:ind w:left="340" w:hanging="333"/>
        <w:spacing w:after="0"/>
        <w:tabs>
          <w:tab w:leader="none" w:pos="340" w:val="left"/>
        </w:tabs>
        <w:numPr>
          <w:ilvl w:val="0"/>
          <w:numId w:val="41"/>
        </w:numPr>
        <w:rPr>
          <w:rFonts w:ascii="Arial" w:cs="Arial" w:eastAsia="Arial" w:hAnsi="Arial"/>
          <w:sz w:val="18"/>
          <w:szCs w:val="18"/>
          <w:color w:val="auto"/>
        </w:rPr>
      </w:pPr>
      <w:r>
        <w:rPr>
          <w:rFonts w:ascii="Arial" w:cs="Arial" w:eastAsia="Arial" w:hAnsi="Arial"/>
          <w:sz w:val="18"/>
          <w:szCs w:val="18"/>
          <w:u w:val="single" w:color="auto"/>
          <w:color w:val="auto"/>
        </w:rPr>
        <w:t>Definitions</w:t>
      </w:r>
      <w:r>
        <w:rPr>
          <w:rFonts w:ascii="Arial" w:cs="Arial" w:eastAsia="Arial" w:hAnsi="Arial"/>
          <w:sz w:val="18"/>
          <w:szCs w:val="18"/>
          <w:color w:val="auto"/>
        </w:rPr>
        <w:t>. Whenever used in this Agreement, the following terms shall have the meanings set forth below.</w:t>
      </w:r>
    </w:p>
    <w:p>
      <w:pPr>
        <w:spacing w:after="0" w:line="225" w:lineRule="exact"/>
        <w:rPr>
          <w:rFonts w:ascii="Arial" w:cs="Arial" w:eastAsia="Arial" w:hAnsi="Arial"/>
          <w:sz w:val="18"/>
          <w:szCs w:val="18"/>
          <w:color w:val="auto"/>
        </w:rPr>
      </w:pPr>
    </w:p>
    <w:p>
      <w:pPr>
        <w:jc w:val="both"/>
        <w:ind w:left="1080" w:right="60" w:hanging="317"/>
        <w:spacing w:after="0" w:line="342" w:lineRule="auto"/>
        <w:tabs>
          <w:tab w:leader="none" w:pos="1080" w:val="left"/>
        </w:tabs>
        <w:numPr>
          <w:ilvl w:val="1"/>
          <w:numId w:val="41"/>
        </w:numPr>
        <w:rPr>
          <w:rFonts w:ascii="Arial" w:cs="Arial" w:eastAsia="Arial" w:hAnsi="Arial"/>
          <w:sz w:val="16"/>
          <w:szCs w:val="16"/>
          <w:color w:val="auto"/>
        </w:rPr>
      </w:pPr>
      <w:r>
        <w:rPr>
          <w:rFonts w:ascii="Arial" w:cs="Arial" w:eastAsia="Arial" w:hAnsi="Arial"/>
          <w:sz w:val="16"/>
          <w:szCs w:val="16"/>
          <w:color w:val="auto"/>
        </w:rPr>
        <w:t>“Good Reason” shall have the meaning defined in the applicable employment agreement, consulting agreement or any other similar written agreement between the Participant and the Company (or any of its affiliates) that specifically defines “good reason,” if any.</w:t>
      </w:r>
    </w:p>
    <w:p>
      <w:pPr>
        <w:spacing w:after="0" w:line="123" w:lineRule="exact"/>
        <w:rPr>
          <w:rFonts w:ascii="Arial" w:cs="Arial" w:eastAsia="Arial" w:hAnsi="Arial"/>
          <w:sz w:val="16"/>
          <w:szCs w:val="16"/>
          <w:color w:val="auto"/>
        </w:rPr>
      </w:pPr>
    </w:p>
    <w:p>
      <w:pPr>
        <w:ind w:left="1080" w:right="60" w:hanging="317"/>
        <w:spacing w:after="0" w:line="277" w:lineRule="auto"/>
        <w:tabs>
          <w:tab w:leader="none" w:pos="1080" w:val="left"/>
        </w:tabs>
        <w:numPr>
          <w:ilvl w:val="1"/>
          <w:numId w:val="41"/>
        </w:numPr>
        <w:rPr>
          <w:rFonts w:ascii="Arial" w:cs="Arial" w:eastAsia="Arial" w:hAnsi="Arial"/>
          <w:sz w:val="18"/>
          <w:szCs w:val="18"/>
          <w:color w:val="auto"/>
        </w:rPr>
      </w:pPr>
      <w:r>
        <w:rPr>
          <w:rFonts w:ascii="Arial" w:cs="Arial" w:eastAsia="Arial" w:hAnsi="Arial"/>
          <w:sz w:val="18"/>
          <w:szCs w:val="18"/>
          <w:color w:val="auto"/>
        </w:rPr>
        <w:t>“Rule of 65” means that the sum of the Participant’s age and years of service equals or exceeds 65, with a minimum age of 55 and a minimum of five years of continuous service, including as an employee or a director of the Company.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8" w:lineRule="exact"/>
        <w:rPr>
          <w:sz w:val="20"/>
          <w:szCs w:val="20"/>
          <w:color w:val="auto"/>
        </w:rPr>
      </w:pPr>
    </w:p>
    <w:p>
      <w:pPr>
        <w:jc w:val="center"/>
        <w:ind w:right="320"/>
        <w:spacing w:after="0"/>
        <w:rPr>
          <w:sz w:val="20"/>
          <w:szCs w:val="20"/>
          <w:color w:val="auto"/>
        </w:rPr>
      </w:pPr>
      <w:r>
        <w:rPr>
          <w:rFonts w:ascii="Arial" w:cs="Arial" w:eastAsia="Arial" w:hAnsi="Arial"/>
          <w:sz w:val="18"/>
          <w:szCs w:val="18"/>
          <w:color w:val="auto"/>
        </w:rPr>
        <w:t>3</w:t>
      </w:r>
    </w:p>
    <w:p>
      <w:pPr>
        <w:sectPr>
          <w:pgSz w:w="11900" w:h="16838" w:orient="portrait"/>
          <w:cols w:equalWidth="0" w:num="1">
            <w:col w:w="10640"/>
          </w:cols>
          <w:pgMar w:left="780" w:top="584" w:right="479" w:bottom="1440" w:gutter="0" w:footer="0" w:header="0"/>
        </w:sectPr>
      </w:pPr>
    </w:p>
    <w:bookmarkStart w:id="74" w:name="page75"/>
    <w:bookmarkEnd w:id="74"/>
    <w:p>
      <w:pPr>
        <w:jc w:val="right"/>
        <w:spacing w:after="0"/>
        <w:rPr>
          <w:sz w:val="20"/>
          <w:szCs w:val="20"/>
          <w:color w:val="auto"/>
        </w:rPr>
      </w:pPr>
      <w:r>
        <w:rPr>
          <w:rFonts w:ascii="Arial" w:cs="Arial" w:eastAsia="Arial" w:hAnsi="Arial"/>
          <w:sz w:val="18"/>
          <w:szCs w:val="18"/>
          <w:b w:val="1"/>
          <w:bCs w:val="1"/>
          <w:color w:val="auto"/>
        </w:rPr>
        <w:t>Exhibit 10.19</w:t>
      </w:r>
    </w:p>
    <w:p>
      <w:pPr>
        <w:spacing w:after="0" w:line="225" w:lineRule="exact"/>
        <w:rPr>
          <w:sz w:val="20"/>
          <w:szCs w:val="20"/>
          <w:color w:val="auto"/>
        </w:rPr>
      </w:pPr>
    </w:p>
    <w:p>
      <w:pPr>
        <w:jc w:val="center"/>
        <w:ind w:right="-159"/>
        <w:spacing w:after="0"/>
        <w:rPr>
          <w:sz w:val="20"/>
          <w:szCs w:val="20"/>
          <w:color w:val="auto"/>
        </w:rPr>
      </w:pPr>
      <w:r>
        <w:rPr>
          <w:rFonts w:ascii="Arial" w:cs="Arial" w:eastAsia="Arial" w:hAnsi="Arial"/>
          <w:sz w:val="18"/>
          <w:szCs w:val="18"/>
          <w:b w:val="1"/>
          <w:bCs w:val="1"/>
          <w:color w:val="auto"/>
        </w:rPr>
        <w:t>HARVARD BIOSCIENCE, INC.</w:t>
      </w:r>
    </w:p>
    <w:p>
      <w:pPr>
        <w:spacing w:after="0" w:line="27" w:lineRule="exact"/>
        <w:rPr>
          <w:sz w:val="20"/>
          <w:szCs w:val="20"/>
          <w:color w:val="auto"/>
        </w:rPr>
      </w:pPr>
    </w:p>
    <w:p>
      <w:pPr>
        <w:jc w:val="center"/>
        <w:ind w:right="-159"/>
        <w:spacing w:after="0"/>
        <w:rPr>
          <w:sz w:val="20"/>
          <w:szCs w:val="20"/>
          <w:color w:val="auto"/>
        </w:rPr>
      </w:pPr>
      <w:r>
        <w:rPr>
          <w:rFonts w:ascii="Arial" w:cs="Arial" w:eastAsia="Arial" w:hAnsi="Arial"/>
          <w:sz w:val="18"/>
          <w:szCs w:val="18"/>
          <w:b w:val="1"/>
          <w:bCs w:val="1"/>
          <w:color w:val="auto"/>
        </w:rPr>
        <w:t>2021 INCENTIVE PLAN</w:t>
      </w:r>
    </w:p>
    <w:p>
      <w:pPr>
        <w:spacing w:after="0" w:line="200" w:lineRule="exact"/>
        <w:rPr>
          <w:sz w:val="20"/>
          <w:szCs w:val="20"/>
          <w:color w:val="auto"/>
        </w:rPr>
      </w:pPr>
    </w:p>
    <w:p>
      <w:pPr>
        <w:spacing w:after="0" w:line="223" w:lineRule="exact"/>
        <w:rPr>
          <w:sz w:val="20"/>
          <w:szCs w:val="20"/>
          <w:color w:val="auto"/>
        </w:rPr>
      </w:pPr>
    </w:p>
    <w:p>
      <w:pPr>
        <w:jc w:val="center"/>
        <w:ind w:right="-159"/>
        <w:spacing w:after="0"/>
        <w:rPr>
          <w:sz w:val="20"/>
          <w:szCs w:val="20"/>
          <w:color w:val="auto"/>
        </w:rPr>
      </w:pPr>
      <w:r>
        <w:rPr>
          <w:rFonts w:ascii="Arial" w:cs="Arial" w:eastAsia="Arial" w:hAnsi="Arial"/>
          <w:sz w:val="18"/>
          <w:szCs w:val="18"/>
          <w:b w:val="1"/>
          <w:bCs w:val="1"/>
          <w:color w:val="auto"/>
        </w:rPr>
        <w:t>NOTICE OF RESTRICTED STOCK UNIT AWARD</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Participant Name and Address:</w:t>
      </w:r>
    </w:p>
    <w:p>
      <w:pPr>
        <w:spacing w:after="0" w:line="211" w:lineRule="exact"/>
        <w:rPr>
          <w:sz w:val="20"/>
          <w:szCs w:val="20"/>
          <w:color w:val="auto"/>
        </w:rPr>
      </w:pPr>
    </w:p>
    <w:p>
      <w:pPr>
        <w:jc w:val="both"/>
        <w:ind w:left="160" w:firstLine="450"/>
        <w:spacing w:after="0" w:line="259" w:lineRule="auto"/>
        <w:rPr>
          <w:sz w:val="20"/>
          <w:szCs w:val="20"/>
          <w:color w:val="auto"/>
        </w:rPr>
      </w:pPr>
      <w:r>
        <w:rPr>
          <w:rFonts w:ascii="Arial" w:cs="Arial" w:eastAsia="Arial" w:hAnsi="Arial"/>
          <w:sz w:val="18"/>
          <w:szCs w:val="18"/>
          <w:color w:val="auto"/>
        </w:rPr>
        <w:t>You (the “Participant”) have been granted restricted stock units (“Restricted Stock Units” or “RSUs”), subject to the terms and conditions of this Notice of Restricted Stock Unit Award (the “Notice”), the Harvard Bioscience, Inc. 2021 Incentive Plan (as amended from time to time, the “Plan”) and the Restricted Stock Unit Award Agreement (the “RSU Agreement”) attached hereto, as follows. Unless otherwise defined herein, the terms defined in the Plan shall have the same defined meanings in this Notice.</w:t>
      </w:r>
    </w:p>
    <w:p>
      <w:pPr>
        <w:spacing w:after="0" w:line="18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Date of Grant:</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Number of RSUs:</w:t>
      </w:r>
    </w:p>
    <w:p>
      <w:pPr>
        <w:spacing w:after="0" w:line="9" w:lineRule="exact"/>
        <w:rPr>
          <w:sz w:val="20"/>
          <w:szCs w:val="20"/>
          <w:color w:val="auto"/>
        </w:rPr>
      </w:pPr>
    </w:p>
    <w:p>
      <w:pPr>
        <w:jc w:val="both"/>
        <w:ind w:left="2260" w:hanging="2253"/>
        <w:spacing w:after="0" w:line="253" w:lineRule="auto"/>
        <w:tabs>
          <w:tab w:leader="none" w:pos="2240" w:val="left"/>
        </w:tabs>
        <w:rPr>
          <w:sz w:val="20"/>
          <w:szCs w:val="20"/>
          <w:color w:val="auto"/>
        </w:rPr>
      </w:pPr>
      <w:r>
        <w:rPr>
          <w:rFonts w:ascii="Arial" w:cs="Arial" w:eastAsia="Arial" w:hAnsi="Arial"/>
          <w:sz w:val="18"/>
          <w:szCs w:val="18"/>
          <w:b w:val="1"/>
          <w:bCs w:val="1"/>
          <w:color w:val="auto"/>
        </w:rPr>
        <w:t>Vesting Schedule:</w:t>
      </w:r>
      <w:r>
        <w:rPr>
          <w:sz w:val="20"/>
          <w:szCs w:val="20"/>
          <w:color w:val="auto"/>
        </w:rPr>
        <w:tab/>
      </w:r>
      <w:r>
        <w:rPr>
          <w:rFonts w:ascii="Arial" w:cs="Arial" w:eastAsia="Arial" w:hAnsi="Arial"/>
          <w:sz w:val="18"/>
          <w:szCs w:val="18"/>
          <w:color w:val="auto"/>
        </w:rPr>
        <w:t>Participant will receive a benefit with respect to an RSU only if it vests. Subject to the terms set forth in the RSU Agreement attached hereto, the RSUs will vest on the earlier of (i) immediately prior to the Company’s next annual meeting of stockholders (so long as the date of such annual meeting is at least 50 weeks after the date of the immediately preceding year’s annual meeting), and (ii) the first anniversary of Date of Grant.</w:t>
      </w:r>
    </w:p>
    <w:p>
      <w:pPr>
        <w:spacing w:after="0" w:line="193" w:lineRule="exact"/>
        <w:rPr>
          <w:sz w:val="20"/>
          <w:szCs w:val="20"/>
          <w:color w:val="auto"/>
        </w:rPr>
      </w:pPr>
    </w:p>
    <w:p>
      <w:pPr>
        <w:ind w:left="6640"/>
        <w:spacing w:after="0"/>
        <w:rPr>
          <w:sz w:val="20"/>
          <w:szCs w:val="20"/>
          <w:color w:val="auto"/>
        </w:rPr>
      </w:pPr>
      <w:r>
        <w:rPr>
          <w:rFonts w:ascii="Arial" w:cs="Arial" w:eastAsia="Arial" w:hAnsi="Arial"/>
          <w:sz w:val="18"/>
          <w:szCs w:val="18"/>
          <w:color w:val="auto"/>
        </w:rPr>
        <w:t>HARVARD BIOSCIENCE, INC.</w:t>
      </w:r>
    </w:p>
    <w:p>
      <w:pPr>
        <w:spacing w:after="0" w:line="23" w:lineRule="exact"/>
        <w:rPr>
          <w:sz w:val="20"/>
          <w:szCs w:val="20"/>
          <w:color w:val="auto"/>
        </w:rPr>
      </w:pPr>
    </w:p>
    <w:p>
      <w:pPr>
        <w:ind w:left="6640"/>
        <w:spacing w:after="0"/>
        <w:rPr>
          <w:sz w:val="20"/>
          <w:szCs w:val="20"/>
          <w:color w:val="auto"/>
        </w:rPr>
      </w:pPr>
      <w:r>
        <w:rPr>
          <w:rFonts w:ascii="Arial" w:cs="Arial" w:eastAsia="Arial" w:hAnsi="Arial"/>
          <w:sz w:val="18"/>
          <w:szCs w:val="18"/>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4522470</wp:posOffset>
            </wp:positionH>
            <wp:positionV relativeFrom="paragraph">
              <wp:posOffset>5715</wp:posOffset>
            </wp:positionV>
            <wp:extent cx="1131570" cy="8890"/>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117">
                      <a:extLst>
                        <a:ext uri="{28A0092B-C50C-407E-A947-70E740481C1C}"/>
                      </a:extLst>
                    </a:blip>
                    <a:srcRect/>
                    <a:stretch>
                      <a:fillRect/>
                    </a:stretch>
                  </pic:blipFill>
                  <pic:spPr bwMode="auto">
                    <a:xfrm>
                      <a:off x="0" y="0"/>
                      <a:ext cx="1131570" cy="8890"/>
                    </a:xfrm>
                    <a:prstGeom prst="rect">
                      <a:avLst/>
                    </a:prstGeom>
                    <a:noFill/>
                  </pic:spPr>
                </pic:pic>
              </a:graphicData>
            </a:graphic>
          </wp:anchor>
        </w:drawing>
      </w:r>
    </w:p>
    <w:p>
      <w:pPr>
        <w:ind w:left="6640"/>
        <w:spacing w:after="0"/>
        <w:rPr>
          <w:sz w:val="20"/>
          <w:szCs w:val="20"/>
          <w:color w:val="auto"/>
        </w:rPr>
      </w:pPr>
      <w:r>
        <w:rPr>
          <w:rFonts w:ascii="Arial" w:cs="Arial" w:eastAsia="Arial" w:hAnsi="Arial"/>
          <w:sz w:val="18"/>
          <w:szCs w:val="18"/>
          <w:color w:val="auto"/>
        </w:rPr>
        <w:t>Name: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4522470</wp:posOffset>
            </wp:positionH>
            <wp:positionV relativeFrom="paragraph">
              <wp:posOffset>14605</wp:posOffset>
            </wp:positionV>
            <wp:extent cx="1131570" cy="8255"/>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118">
                      <a:extLst>
                        <a:ext uri="{28A0092B-C50C-407E-A947-70E740481C1C}"/>
                      </a:extLst>
                    </a:blip>
                    <a:srcRect/>
                    <a:stretch>
                      <a:fillRect/>
                    </a:stretch>
                  </pic:blipFill>
                  <pic:spPr bwMode="auto">
                    <a:xfrm>
                      <a:off x="0" y="0"/>
                      <a:ext cx="1131570" cy="8255"/>
                    </a:xfrm>
                    <a:prstGeom prst="rect">
                      <a:avLst/>
                    </a:prstGeom>
                    <a:noFill/>
                  </pic:spPr>
                </pic:pic>
              </a:graphicData>
            </a:graphic>
          </wp:anchor>
        </w:drawing>
      </w:r>
    </w:p>
    <w:p>
      <w:pPr>
        <w:spacing w:after="0" w:line="3" w:lineRule="exact"/>
        <w:rPr>
          <w:sz w:val="20"/>
          <w:szCs w:val="20"/>
          <w:color w:val="auto"/>
        </w:rPr>
      </w:pPr>
    </w:p>
    <w:p>
      <w:pPr>
        <w:ind w:left="6640"/>
        <w:spacing w:after="0"/>
        <w:rPr>
          <w:sz w:val="20"/>
          <w:szCs w:val="20"/>
          <w:color w:val="auto"/>
        </w:rPr>
      </w:pPr>
      <w:r>
        <w:rPr>
          <w:rFonts w:ascii="Arial" w:cs="Arial" w:eastAsia="Arial" w:hAnsi="Arial"/>
          <w:sz w:val="18"/>
          <w:szCs w:val="18"/>
          <w:color w:val="auto"/>
        </w:rPr>
        <w:t>Title: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4522470</wp:posOffset>
            </wp:positionH>
            <wp:positionV relativeFrom="paragraph">
              <wp:posOffset>14605</wp:posOffset>
            </wp:positionV>
            <wp:extent cx="1131570" cy="8255"/>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119">
                      <a:extLst>
                        <a:ext uri="{28A0092B-C50C-407E-A947-70E740481C1C}"/>
                      </a:extLst>
                    </a:blip>
                    <a:srcRect/>
                    <a:stretch>
                      <a:fillRect/>
                    </a:stretch>
                  </pic:blipFill>
                  <pic:spPr bwMode="auto">
                    <a:xfrm>
                      <a:off x="0" y="0"/>
                      <a:ext cx="1131570" cy="825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794385</wp:posOffset>
            </wp:positionV>
            <wp:extent cx="7132320" cy="17145"/>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12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75" w:name="page76"/>
    <w:bookmarkEnd w:id="75"/>
    <w:p>
      <w:pPr>
        <w:ind w:left="8340"/>
        <w:spacing w:after="0"/>
        <w:rPr>
          <w:sz w:val="20"/>
          <w:szCs w:val="20"/>
          <w:color w:val="auto"/>
        </w:rPr>
      </w:pPr>
      <w:r>
        <w:rPr>
          <w:rFonts w:ascii="Arial" w:cs="Arial" w:eastAsia="Arial" w:hAnsi="Arial"/>
          <w:sz w:val="16"/>
          <w:szCs w:val="16"/>
          <w:b w:val="1"/>
          <w:bCs w:val="1"/>
          <w:color w:val="auto"/>
        </w:rPr>
        <w:t>Award Number: ___________</w:t>
      </w:r>
    </w:p>
    <w:p>
      <w:pPr>
        <w:spacing w:after="0" w:line="50" w:lineRule="exact"/>
        <w:rPr>
          <w:sz w:val="20"/>
          <w:szCs w:val="20"/>
          <w:color w:val="auto"/>
        </w:rPr>
      </w:pPr>
    </w:p>
    <w:p>
      <w:pPr>
        <w:jc w:val="center"/>
        <w:ind w:right="400"/>
        <w:spacing w:after="0"/>
        <w:rPr>
          <w:sz w:val="20"/>
          <w:szCs w:val="20"/>
          <w:color w:val="auto"/>
        </w:rPr>
      </w:pPr>
      <w:r>
        <w:rPr>
          <w:rFonts w:ascii="Arial" w:cs="Arial" w:eastAsia="Arial" w:hAnsi="Arial"/>
          <w:sz w:val="18"/>
          <w:szCs w:val="18"/>
          <w:b w:val="1"/>
          <w:bCs w:val="1"/>
          <w:color w:val="auto"/>
        </w:rPr>
        <w:t>HARVARD BIOSCIENCE, INC.</w:t>
      </w:r>
    </w:p>
    <w:p>
      <w:pPr>
        <w:spacing w:after="0" w:line="9" w:lineRule="exact"/>
        <w:rPr>
          <w:sz w:val="20"/>
          <w:szCs w:val="20"/>
          <w:color w:val="auto"/>
        </w:rPr>
      </w:pPr>
    </w:p>
    <w:p>
      <w:pPr>
        <w:jc w:val="center"/>
        <w:ind w:right="400"/>
        <w:spacing w:after="0"/>
        <w:rPr>
          <w:sz w:val="20"/>
          <w:szCs w:val="20"/>
          <w:color w:val="auto"/>
        </w:rPr>
      </w:pPr>
      <w:r>
        <w:rPr>
          <w:rFonts w:ascii="Arial" w:cs="Arial" w:eastAsia="Arial" w:hAnsi="Arial"/>
          <w:sz w:val="18"/>
          <w:szCs w:val="18"/>
          <w:b w:val="1"/>
          <w:bCs w:val="1"/>
          <w:color w:val="auto"/>
        </w:rPr>
        <w:t>2021 INCENTIVE PLAN</w:t>
      </w:r>
    </w:p>
    <w:p>
      <w:pPr>
        <w:spacing w:after="0" w:line="207" w:lineRule="exact"/>
        <w:rPr>
          <w:sz w:val="20"/>
          <w:szCs w:val="20"/>
          <w:color w:val="auto"/>
        </w:rPr>
      </w:pPr>
    </w:p>
    <w:p>
      <w:pPr>
        <w:ind w:left="3360"/>
        <w:spacing w:after="0"/>
        <w:rPr>
          <w:sz w:val="20"/>
          <w:szCs w:val="20"/>
          <w:color w:val="auto"/>
        </w:rPr>
      </w:pPr>
      <w:r>
        <w:rPr>
          <w:rFonts w:ascii="Arial" w:cs="Arial" w:eastAsia="Arial" w:hAnsi="Arial"/>
          <w:sz w:val="18"/>
          <w:szCs w:val="18"/>
          <w:b w:val="1"/>
          <w:bCs w:val="1"/>
          <w:u w:val="single" w:color="auto"/>
          <w:color w:val="auto"/>
        </w:rPr>
        <w:t>RESTRICTED STOCK UNIT AGREEMENT</w:t>
      </w:r>
    </w:p>
    <w:p>
      <w:pPr>
        <w:spacing w:after="0" w:line="229" w:lineRule="exact"/>
        <w:rPr>
          <w:sz w:val="20"/>
          <w:szCs w:val="20"/>
          <w:color w:val="auto"/>
        </w:rPr>
      </w:pPr>
    </w:p>
    <w:p>
      <w:pPr>
        <w:ind w:left="320" w:right="80" w:hanging="319"/>
        <w:spacing w:after="0" w:line="275" w:lineRule="auto"/>
        <w:tabs>
          <w:tab w:leader="none" w:pos="320" w:val="left"/>
        </w:tabs>
        <w:numPr>
          <w:ilvl w:val="0"/>
          <w:numId w:val="42"/>
        </w:numPr>
        <w:rPr>
          <w:rFonts w:ascii="Arial" w:cs="Arial" w:eastAsia="Arial" w:hAnsi="Arial"/>
          <w:sz w:val="17"/>
          <w:szCs w:val="17"/>
          <w:color w:val="auto"/>
        </w:rPr>
      </w:pPr>
      <w:r>
        <w:rPr>
          <w:rFonts w:ascii="Arial" w:cs="Arial" w:eastAsia="Arial" w:hAnsi="Arial"/>
          <w:sz w:val="17"/>
          <w:szCs w:val="17"/>
          <w:u w:val="single" w:color="auto"/>
          <w:color w:val="auto"/>
        </w:rPr>
        <w:t>Grant of Restricted Stock Units</w:t>
      </w:r>
      <w:r>
        <w:rPr>
          <w:rFonts w:ascii="Arial" w:cs="Arial" w:eastAsia="Arial" w:hAnsi="Arial"/>
          <w:sz w:val="17"/>
          <w:szCs w:val="17"/>
          <w:color w:val="auto"/>
        </w:rPr>
        <w:t>. Harvard Bioscience, Inc., a Delaware corporation (the “Company”), hereby grants to the Participant (the “Participant”) named in the Notice of Restricted Stock Unit Award (the “Notice”), the number of restricted stock units (“Restricted Stock Units” or “RSUs”) indicated in the Notice, subject to the terms and provisions of the Notice, this Restricted Stock Unit Award Agreement (this “RSU Agreement”) and the Company’s 2021 Incentive Plan (as amended from time to time, the “Plan”), which are incorporated herein by reference. Capitalized terms used but not defined herein shall have the meaning ascribed to them in the Plan.</w:t>
      </w:r>
    </w:p>
    <w:p>
      <w:pPr>
        <w:spacing w:after="0" w:line="176" w:lineRule="exact"/>
        <w:rPr>
          <w:rFonts w:ascii="Arial" w:cs="Arial" w:eastAsia="Arial" w:hAnsi="Arial"/>
          <w:sz w:val="17"/>
          <w:szCs w:val="17"/>
          <w:color w:val="auto"/>
        </w:rPr>
      </w:pPr>
    </w:p>
    <w:p>
      <w:pPr>
        <w:ind w:left="320" w:right="40" w:hanging="319"/>
        <w:spacing w:after="0" w:line="257" w:lineRule="auto"/>
        <w:tabs>
          <w:tab w:leader="none" w:pos="320" w:val="left"/>
        </w:tabs>
        <w:numPr>
          <w:ilvl w:val="0"/>
          <w:numId w:val="42"/>
        </w:numPr>
        <w:rPr>
          <w:rFonts w:ascii="Arial" w:cs="Arial" w:eastAsia="Arial" w:hAnsi="Arial"/>
          <w:sz w:val="18"/>
          <w:szCs w:val="18"/>
          <w:color w:val="auto"/>
        </w:rPr>
      </w:pPr>
      <w:r>
        <w:rPr>
          <w:rFonts w:ascii="Arial" w:cs="Arial" w:eastAsia="Arial" w:hAnsi="Arial"/>
          <w:sz w:val="18"/>
          <w:szCs w:val="18"/>
          <w:u w:val="single" w:color="auto"/>
          <w:color w:val="auto"/>
        </w:rPr>
        <w:t>Company</w:t>
      </w:r>
      <w:r>
        <w:rPr>
          <w:rFonts w:ascii="Arial" w:cs="Arial" w:eastAsia="Arial" w:hAnsi="Arial"/>
          <w:sz w:val="18"/>
          <w:szCs w:val="18"/>
          <w:color w:val="auto"/>
        </w:rPr>
        <w:t>’</w:t>
      </w:r>
      <w:r>
        <w:rPr>
          <w:rFonts w:ascii="Arial" w:cs="Arial" w:eastAsia="Arial" w:hAnsi="Arial"/>
          <w:sz w:val="18"/>
          <w:szCs w:val="18"/>
          <w:u w:val="single" w:color="auto"/>
          <w:color w:val="auto"/>
        </w:rPr>
        <w:t>s Obligation to Pay</w:t>
      </w:r>
      <w:r>
        <w:rPr>
          <w:rFonts w:ascii="Arial" w:cs="Arial" w:eastAsia="Arial" w:hAnsi="Arial"/>
          <w:sz w:val="18"/>
          <w:szCs w:val="18"/>
          <w:color w:val="auto"/>
        </w:rPr>
        <w:t>. Each Restricted Stock Unit represents the right to receive upon vesting thereof one share of Stock subject to Participant satisfying any applicable tax withholding obligations. Any Restricted Stock Units that vest in accordance with Section 3 will be settled in shares of Stock as soon as practicable after vesting, but in all cases within thirty (30) business days following the vesting date. Unless and until the Restricted Stock Units will have vested in the manner set forth in the Notice and the Plan, Participant will have no right to payment of any such Restricted Stock Units.</w:t>
      </w:r>
    </w:p>
    <w:p>
      <w:pPr>
        <w:spacing w:after="0" w:line="187" w:lineRule="exact"/>
        <w:rPr>
          <w:rFonts w:ascii="Arial" w:cs="Arial" w:eastAsia="Arial" w:hAnsi="Arial"/>
          <w:sz w:val="18"/>
          <w:szCs w:val="18"/>
          <w:color w:val="auto"/>
        </w:rPr>
      </w:pPr>
    </w:p>
    <w:p>
      <w:pPr>
        <w:ind w:left="320" w:right="240" w:hanging="319"/>
        <w:spacing w:after="0" w:line="277" w:lineRule="auto"/>
        <w:tabs>
          <w:tab w:leader="none" w:pos="320" w:val="left"/>
        </w:tabs>
        <w:numPr>
          <w:ilvl w:val="0"/>
          <w:numId w:val="42"/>
        </w:numPr>
        <w:rPr>
          <w:rFonts w:ascii="Arial" w:cs="Arial" w:eastAsia="Arial" w:hAnsi="Arial"/>
          <w:sz w:val="18"/>
          <w:szCs w:val="18"/>
          <w:color w:val="auto"/>
        </w:rPr>
      </w:pPr>
      <w:r>
        <w:rPr>
          <w:rFonts w:ascii="Arial" w:cs="Arial" w:eastAsia="Arial" w:hAnsi="Arial"/>
          <w:sz w:val="18"/>
          <w:szCs w:val="18"/>
          <w:u w:val="single" w:color="auto"/>
          <w:color w:val="auto"/>
        </w:rPr>
        <w:t>Vesting Schedule</w:t>
      </w:r>
      <w:r>
        <w:rPr>
          <w:rFonts w:ascii="Arial" w:cs="Arial" w:eastAsia="Arial" w:hAnsi="Arial"/>
          <w:sz w:val="18"/>
          <w:szCs w:val="18"/>
          <w:color w:val="auto"/>
        </w:rPr>
        <w:t>. Except as specifically provided in Sections 4 and 5 below, the Restricted Stock Units awarded by the Notice and this RSU Agreement will vest in accordance with the “Vesting Schedule” set forth in the Notice.</w:t>
      </w:r>
    </w:p>
    <w:p>
      <w:pPr>
        <w:spacing w:after="0" w:line="170" w:lineRule="exact"/>
        <w:rPr>
          <w:rFonts w:ascii="Arial" w:cs="Arial" w:eastAsia="Arial" w:hAnsi="Arial"/>
          <w:sz w:val="18"/>
          <w:szCs w:val="18"/>
          <w:color w:val="auto"/>
        </w:rPr>
      </w:pPr>
    </w:p>
    <w:p>
      <w:pPr>
        <w:ind w:left="320" w:right="580" w:hanging="319"/>
        <w:spacing w:after="0" w:line="342" w:lineRule="auto"/>
        <w:tabs>
          <w:tab w:leader="none" w:pos="320" w:val="left"/>
        </w:tabs>
        <w:numPr>
          <w:ilvl w:val="0"/>
          <w:numId w:val="42"/>
        </w:numPr>
        <w:rPr>
          <w:rFonts w:ascii="Arial" w:cs="Arial" w:eastAsia="Arial" w:hAnsi="Arial"/>
          <w:sz w:val="16"/>
          <w:szCs w:val="16"/>
          <w:color w:val="auto"/>
        </w:rPr>
      </w:pPr>
      <w:r>
        <w:rPr>
          <w:rFonts w:ascii="Arial" w:cs="Arial" w:eastAsia="Arial" w:hAnsi="Arial"/>
          <w:sz w:val="16"/>
          <w:szCs w:val="16"/>
          <w:u w:val="single" w:color="auto"/>
          <w:color w:val="auto"/>
        </w:rPr>
        <w:t>Change in Control</w:t>
      </w:r>
      <w:r>
        <w:rPr>
          <w:rFonts w:ascii="Arial" w:cs="Arial" w:eastAsia="Arial" w:hAnsi="Arial"/>
          <w:sz w:val="16"/>
          <w:szCs w:val="16"/>
          <w:color w:val="auto"/>
        </w:rPr>
        <w:t>. Subject to Participant’s continued service as a Director from the date of this Agreement until the consummation of a Change in Control, any RSUs that have not vested shall be deemed vested as of immediately prior to such Change in Control.</w:t>
      </w:r>
    </w:p>
    <w:p>
      <w:pPr>
        <w:spacing w:after="0" w:line="123" w:lineRule="exact"/>
        <w:rPr>
          <w:rFonts w:ascii="Arial" w:cs="Arial" w:eastAsia="Arial" w:hAnsi="Arial"/>
          <w:sz w:val="16"/>
          <w:szCs w:val="16"/>
          <w:color w:val="auto"/>
        </w:rPr>
      </w:pPr>
    </w:p>
    <w:p>
      <w:pPr>
        <w:ind w:left="320" w:right="140" w:hanging="319"/>
        <w:spacing w:after="0" w:line="277" w:lineRule="auto"/>
        <w:tabs>
          <w:tab w:leader="none" w:pos="320" w:val="left"/>
        </w:tabs>
        <w:numPr>
          <w:ilvl w:val="0"/>
          <w:numId w:val="42"/>
        </w:numPr>
        <w:rPr>
          <w:rFonts w:ascii="Arial" w:cs="Arial" w:eastAsia="Arial" w:hAnsi="Arial"/>
          <w:sz w:val="18"/>
          <w:szCs w:val="18"/>
          <w:color w:val="auto"/>
        </w:rPr>
      </w:pPr>
      <w:r>
        <w:rPr>
          <w:rFonts w:ascii="Arial" w:cs="Arial" w:eastAsia="Arial" w:hAnsi="Arial"/>
          <w:sz w:val="18"/>
          <w:szCs w:val="18"/>
          <w:u w:val="single" w:color="auto"/>
          <w:color w:val="auto"/>
        </w:rPr>
        <w:t>Termination</w:t>
      </w:r>
      <w:r>
        <w:rPr>
          <w:rFonts w:ascii="Arial" w:cs="Arial" w:eastAsia="Arial" w:hAnsi="Arial"/>
          <w:sz w:val="18"/>
          <w:szCs w:val="18"/>
          <w:color w:val="auto"/>
        </w:rPr>
        <w:t>. If Participant ceases to be a Director for any reason, whether voluntarily or involuntarily, any RSUs that have not vested shall be automatically forfeited, and any RSUs that have vested shall be retained by the Participant.</w:t>
      </w:r>
    </w:p>
    <w:p>
      <w:pPr>
        <w:spacing w:after="0" w:line="170" w:lineRule="exact"/>
        <w:rPr>
          <w:rFonts w:ascii="Arial" w:cs="Arial" w:eastAsia="Arial" w:hAnsi="Arial"/>
          <w:sz w:val="18"/>
          <w:szCs w:val="18"/>
          <w:color w:val="auto"/>
        </w:rPr>
      </w:pPr>
    </w:p>
    <w:p>
      <w:pPr>
        <w:ind w:left="320" w:right="460" w:hanging="319"/>
        <w:spacing w:after="0" w:line="277" w:lineRule="auto"/>
        <w:tabs>
          <w:tab w:leader="none" w:pos="320" w:val="left"/>
        </w:tabs>
        <w:numPr>
          <w:ilvl w:val="0"/>
          <w:numId w:val="42"/>
        </w:numPr>
        <w:rPr>
          <w:rFonts w:ascii="Arial" w:cs="Arial" w:eastAsia="Arial" w:hAnsi="Arial"/>
          <w:sz w:val="18"/>
          <w:szCs w:val="18"/>
          <w:color w:val="auto"/>
        </w:rPr>
      </w:pPr>
      <w:r>
        <w:rPr>
          <w:rFonts w:ascii="Arial" w:cs="Arial" w:eastAsia="Arial" w:hAnsi="Arial"/>
          <w:sz w:val="18"/>
          <w:szCs w:val="18"/>
          <w:u w:val="single" w:color="auto"/>
          <w:color w:val="auto"/>
        </w:rPr>
        <w:t>Transferability of RSUs</w:t>
      </w:r>
      <w:r>
        <w:rPr>
          <w:rFonts w:ascii="Arial" w:cs="Arial" w:eastAsia="Arial" w:hAnsi="Arial"/>
          <w:sz w:val="18"/>
          <w:szCs w:val="18"/>
          <w:color w:val="auto"/>
        </w:rPr>
        <w:t>. Unless determined otherwise by the Committee, the RSUs may not be sold, pledged, assigned, hypothecated, or otherwise transferred by Participant in any manner.</w:t>
      </w:r>
    </w:p>
    <w:p>
      <w:pPr>
        <w:spacing w:after="0" w:line="170" w:lineRule="exact"/>
        <w:rPr>
          <w:rFonts w:ascii="Arial" w:cs="Arial" w:eastAsia="Arial" w:hAnsi="Arial"/>
          <w:sz w:val="18"/>
          <w:szCs w:val="18"/>
          <w:color w:val="auto"/>
        </w:rPr>
      </w:pPr>
    </w:p>
    <w:p>
      <w:pPr>
        <w:jc w:val="both"/>
        <w:ind w:left="320" w:right="120" w:hanging="319"/>
        <w:spacing w:after="0" w:line="263" w:lineRule="auto"/>
        <w:tabs>
          <w:tab w:leader="none" w:pos="320" w:val="left"/>
        </w:tabs>
        <w:numPr>
          <w:ilvl w:val="0"/>
          <w:numId w:val="42"/>
        </w:numPr>
        <w:rPr>
          <w:rFonts w:ascii="Arial" w:cs="Arial" w:eastAsia="Arial" w:hAnsi="Arial"/>
          <w:sz w:val="18"/>
          <w:szCs w:val="18"/>
          <w:color w:val="auto"/>
        </w:rPr>
      </w:pPr>
      <w:r>
        <w:rPr>
          <w:rFonts w:ascii="Arial" w:cs="Arial" w:eastAsia="Arial" w:hAnsi="Arial"/>
          <w:sz w:val="18"/>
          <w:szCs w:val="18"/>
          <w:u w:val="single" w:color="auto"/>
          <w:color w:val="auto"/>
        </w:rPr>
        <w:t>Stop-Transfer Notices</w:t>
      </w:r>
      <w:r>
        <w:rPr>
          <w:rFonts w:ascii="Arial" w:cs="Arial" w:eastAsia="Arial" w:hAnsi="Arial"/>
          <w:sz w:val="18"/>
          <w:szCs w:val="18"/>
          <w:color w:val="auto"/>
        </w:rPr>
        <w:t>. In order to ensure compliance with the restrictions on transfer set forth in this RSU Agreement, the Notice or the Plan, the Company may issue appropriate “stop-transfer” instructions to its transfer agent, if any, and, if the Company transfers its own securities, it may make appropriate notations to the same effect in its own records.</w:t>
      </w:r>
    </w:p>
    <w:p>
      <w:pPr>
        <w:spacing w:after="0" w:line="183" w:lineRule="exact"/>
        <w:rPr>
          <w:rFonts w:ascii="Arial" w:cs="Arial" w:eastAsia="Arial" w:hAnsi="Arial"/>
          <w:sz w:val="18"/>
          <w:szCs w:val="18"/>
          <w:color w:val="auto"/>
        </w:rPr>
      </w:pPr>
    </w:p>
    <w:p>
      <w:pPr>
        <w:ind w:left="320" w:right="100" w:hanging="319"/>
        <w:spacing w:after="0" w:line="263" w:lineRule="auto"/>
        <w:tabs>
          <w:tab w:leader="none" w:pos="320" w:val="left"/>
        </w:tabs>
        <w:numPr>
          <w:ilvl w:val="0"/>
          <w:numId w:val="42"/>
        </w:numPr>
        <w:rPr>
          <w:rFonts w:ascii="Arial" w:cs="Arial" w:eastAsia="Arial" w:hAnsi="Arial"/>
          <w:sz w:val="18"/>
          <w:szCs w:val="18"/>
          <w:color w:val="auto"/>
        </w:rPr>
      </w:pPr>
      <w:r>
        <w:rPr>
          <w:rFonts w:ascii="Arial" w:cs="Arial" w:eastAsia="Arial" w:hAnsi="Arial"/>
          <w:sz w:val="18"/>
          <w:szCs w:val="18"/>
          <w:u w:val="single" w:color="auto"/>
          <w:color w:val="auto"/>
        </w:rPr>
        <w:t>Refusal to Transfer</w:t>
      </w:r>
      <w:r>
        <w:rPr>
          <w:rFonts w:ascii="Arial" w:cs="Arial" w:eastAsia="Arial" w:hAnsi="Arial"/>
          <w:sz w:val="18"/>
          <w:szCs w:val="18"/>
          <w:color w:val="auto"/>
        </w:rPr>
        <w:t>. The Company shall not be required (i) to transfer on its books any Shares that have been sold or otherwise transferred in violation of any of the provisions of this RSU Agreement or (ii) to treat as owner of such Shares or to accord the right to vote or pay dividends to any purchaser or other transferee to whom such Shares shall have been so transferred.</w:t>
      </w:r>
    </w:p>
    <w:p>
      <w:pPr>
        <w:spacing w:after="0" w:line="200" w:lineRule="exact"/>
        <w:rPr>
          <w:sz w:val="20"/>
          <w:szCs w:val="20"/>
          <w:color w:val="auto"/>
        </w:rPr>
      </w:pPr>
    </w:p>
    <w:p>
      <w:pPr>
        <w:spacing w:after="0" w:line="227" w:lineRule="exact"/>
        <w:rPr>
          <w:sz w:val="20"/>
          <w:szCs w:val="20"/>
          <w:color w:val="auto"/>
        </w:rPr>
      </w:pPr>
    </w:p>
    <w:p>
      <w:pPr>
        <w:jc w:val="center"/>
        <w:ind w:right="560"/>
        <w:spacing w:after="0"/>
        <w:rPr>
          <w:sz w:val="20"/>
          <w:szCs w:val="20"/>
          <w:color w:val="auto"/>
        </w:rPr>
      </w:pPr>
      <w:r>
        <w:rPr>
          <w:rFonts w:ascii="Arial" w:cs="Arial" w:eastAsia="Arial" w:hAnsi="Arial"/>
          <w:sz w:val="18"/>
          <w:szCs w:val="18"/>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-349885</wp:posOffset>
            </wp:positionH>
            <wp:positionV relativeFrom="paragraph">
              <wp:posOffset>83185</wp:posOffset>
            </wp:positionV>
            <wp:extent cx="7132320" cy="17145"/>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12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0680"/>
          </w:cols>
          <w:pgMar w:left="880" w:top="580" w:right="339" w:bottom="1440" w:gutter="0" w:footer="0" w:header="0"/>
        </w:sectPr>
      </w:pPr>
    </w:p>
    <w:bookmarkStart w:id="76" w:name="page77"/>
    <w:bookmarkEnd w:id="76"/>
    <w:p>
      <w:pPr>
        <w:ind w:left="420" w:hanging="319"/>
        <w:spacing w:after="0"/>
        <w:tabs>
          <w:tab w:leader="none" w:pos="420" w:val="left"/>
        </w:tabs>
        <w:numPr>
          <w:ilvl w:val="1"/>
          <w:numId w:val="43"/>
        </w:numPr>
        <w:rPr>
          <w:rFonts w:ascii="Arial" w:cs="Arial" w:eastAsia="Arial" w:hAnsi="Arial"/>
          <w:sz w:val="18"/>
          <w:szCs w:val="18"/>
          <w:color w:val="auto"/>
        </w:rPr>
      </w:pPr>
      <w:r>
        <w:rPr>
          <w:rFonts w:ascii="Arial" w:cs="Arial" w:eastAsia="Arial" w:hAnsi="Arial"/>
          <w:sz w:val="18"/>
          <w:szCs w:val="18"/>
          <w:u w:val="single" w:color="auto"/>
          <w:color w:val="auto"/>
        </w:rPr>
        <w:t>Tax Consequences</w:t>
      </w:r>
      <w:r>
        <w:rPr>
          <w:rFonts w:ascii="Arial" w:cs="Arial" w:eastAsia="Arial" w:hAnsi="Arial"/>
          <w:sz w:val="18"/>
          <w:szCs w:val="18"/>
          <w:color w:val="auto"/>
        </w:rPr>
        <w:t>.</w:t>
      </w:r>
    </w:p>
    <w:p>
      <w:pPr>
        <w:spacing w:after="0" w:line="225" w:lineRule="exact"/>
        <w:rPr>
          <w:rFonts w:ascii="Arial" w:cs="Arial" w:eastAsia="Arial" w:hAnsi="Arial"/>
          <w:sz w:val="18"/>
          <w:szCs w:val="18"/>
          <w:color w:val="auto"/>
        </w:rPr>
      </w:pPr>
    </w:p>
    <w:p>
      <w:pPr>
        <w:ind w:left="1080" w:right="380" w:hanging="317"/>
        <w:spacing w:after="0" w:line="277" w:lineRule="auto"/>
        <w:tabs>
          <w:tab w:leader="none" w:pos="1080" w:val="left"/>
        </w:tabs>
        <w:numPr>
          <w:ilvl w:val="2"/>
          <w:numId w:val="43"/>
        </w:numPr>
        <w:rPr>
          <w:rFonts w:ascii="Arial" w:cs="Arial" w:eastAsia="Arial" w:hAnsi="Arial"/>
          <w:sz w:val="18"/>
          <w:szCs w:val="18"/>
          <w:color w:val="auto"/>
        </w:rPr>
      </w:pPr>
      <w:r>
        <w:rPr>
          <w:rFonts w:ascii="Arial" w:cs="Arial" w:eastAsia="Arial" w:hAnsi="Arial"/>
          <w:sz w:val="18"/>
          <w:szCs w:val="18"/>
          <w:color w:val="auto"/>
        </w:rPr>
        <w:t>Participant is solely responsible for all federal, state and local taxes relating to the RSUs, including as a result of the Participant’s disposition of the Shares.</w:t>
      </w:r>
    </w:p>
    <w:p>
      <w:pPr>
        <w:spacing w:after="0" w:line="170" w:lineRule="exact"/>
        <w:rPr>
          <w:rFonts w:ascii="Arial" w:cs="Arial" w:eastAsia="Arial" w:hAnsi="Arial"/>
          <w:sz w:val="18"/>
          <w:szCs w:val="18"/>
          <w:color w:val="auto"/>
        </w:rPr>
      </w:pPr>
    </w:p>
    <w:p>
      <w:pPr>
        <w:ind w:left="1080" w:right="360" w:hanging="317"/>
        <w:spacing w:after="0" w:line="259" w:lineRule="auto"/>
        <w:tabs>
          <w:tab w:leader="none" w:pos="1080" w:val="left"/>
        </w:tabs>
        <w:numPr>
          <w:ilvl w:val="2"/>
          <w:numId w:val="43"/>
        </w:numPr>
        <w:rPr>
          <w:rFonts w:ascii="Arial" w:cs="Arial" w:eastAsia="Arial" w:hAnsi="Arial"/>
          <w:sz w:val="18"/>
          <w:szCs w:val="18"/>
          <w:color w:val="auto"/>
        </w:rPr>
      </w:pPr>
      <w:r>
        <w:rPr>
          <w:rFonts w:ascii="Arial" w:cs="Arial" w:eastAsia="Arial" w:hAnsi="Arial"/>
          <w:sz w:val="18"/>
          <w:szCs w:val="18"/>
          <w:color w:val="auto"/>
        </w:rPr>
        <w:t>The Company makes no representation that the RSUs will comply with Sections 409A and 457A of the Code and makes no undertaking to prevent Section 409A or 457A of the Code from applying to the RSUs or to mitigate its effects on any deferrals or payments made in respect of the RSUs. The Participant is encouraged to consult a tax adviser regarding the potential impact of Section 409A and 457A of the Code.</w:t>
      </w:r>
    </w:p>
    <w:p>
      <w:pPr>
        <w:spacing w:after="0" w:line="186" w:lineRule="exact"/>
        <w:rPr>
          <w:rFonts w:ascii="Arial" w:cs="Arial" w:eastAsia="Arial" w:hAnsi="Arial"/>
          <w:sz w:val="18"/>
          <w:szCs w:val="18"/>
          <w:color w:val="auto"/>
        </w:rPr>
      </w:pPr>
    </w:p>
    <w:p>
      <w:pPr>
        <w:ind w:left="340" w:right="40" w:hanging="333"/>
        <w:spacing w:after="0" w:line="271" w:lineRule="auto"/>
        <w:tabs>
          <w:tab w:leader="none" w:pos="340" w:val="left"/>
        </w:tabs>
        <w:numPr>
          <w:ilvl w:val="1"/>
          <w:numId w:val="43"/>
        </w:numPr>
        <w:rPr>
          <w:rFonts w:ascii="Arial" w:cs="Arial" w:eastAsia="Arial" w:hAnsi="Arial"/>
          <w:sz w:val="17"/>
          <w:szCs w:val="17"/>
          <w:color w:val="auto"/>
        </w:rPr>
      </w:pPr>
      <w:r>
        <w:rPr>
          <w:rFonts w:ascii="Arial" w:cs="Arial" w:eastAsia="Arial" w:hAnsi="Arial"/>
          <w:sz w:val="17"/>
          <w:szCs w:val="17"/>
          <w:u w:val="single" w:color="auto"/>
          <w:color w:val="auto"/>
        </w:rPr>
        <w:t>Entire Agreement; Severability</w:t>
      </w:r>
      <w:r>
        <w:rPr>
          <w:rFonts w:ascii="Arial" w:cs="Arial" w:eastAsia="Arial" w:hAnsi="Arial"/>
          <w:sz w:val="17"/>
          <w:szCs w:val="17"/>
          <w:color w:val="auto"/>
        </w:rPr>
        <w:t>. The Notice, the Plan and this RSU Agreement constitute the entire agreement of the parties with respect to the subject matter hereof and supersede in their entirety all prior undertakings and agreements of the Company and the Participant with respect to the subject matter hereof, and may not be modified adversely to the Participant’s interest except by means of a writing signed by the Company and the Participant. In the event of a conflict between the terms and conditions of the Plan and the terms and conditions of this RSU Agreement, the terms and conditions of the Plan shall prevail. Nothing in the Notice, the Plan and this RSU Agreement (except as expressly provided therein) is intended to confer any rights or remedies on any persons other than the parties. Should any provision of the Notice, the Plan or this RSU Agreement be determined to be illegal or unenforceable, such provision shall be enforced to the fullest extent allowed by law and the other provisions shall nevertheless remain effective and shall remain enforceable.</w:t>
      </w:r>
    </w:p>
    <w:p>
      <w:pPr>
        <w:spacing w:after="0" w:line="178" w:lineRule="exact"/>
        <w:rPr>
          <w:rFonts w:ascii="Arial" w:cs="Arial" w:eastAsia="Arial" w:hAnsi="Arial"/>
          <w:sz w:val="17"/>
          <w:szCs w:val="17"/>
          <w:color w:val="auto"/>
        </w:rPr>
      </w:pPr>
    </w:p>
    <w:p>
      <w:pPr>
        <w:ind w:left="340" w:hanging="333"/>
        <w:spacing w:after="0" w:line="286" w:lineRule="auto"/>
        <w:tabs>
          <w:tab w:leader="none" w:pos="340" w:val="left"/>
        </w:tabs>
        <w:numPr>
          <w:ilvl w:val="0"/>
          <w:numId w:val="44"/>
        </w:numPr>
        <w:rPr>
          <w:rFonts w:ascii="Arial" w:cs="Arial" w:eastAsia="Arial" w:hAnsi="Arial"/>
          <w:sz w:val="17"/>
          <w:szCs w:val="17"/>
          <w:color w:val="auto"/>
        </w:rPr>
      </w:pPr>
      <w:r>
        <w:rPr>
          <w:rFonts w:ascii="Arial" w:cs="Arial" w:eastAsia="Arial" w:hAnsi="Arial"/>
          <w:sz w:val="17"/>
          <w:szCs w:val="17"/>
          <w:u w:val="single" w:color="auto"/>
          <w:color w:val="auto"/>
        </w:rPr>
        <w:t>Construction</w:t>
      </w:r>
      <w:r>
        <w:rPr>
          <w:rFonts w:ascii="Arial" w:cs="Arial" w:eastAsia="Arial" w:hAnsi="Arial"/>
          <w:sz w:val="17"/>
          <w:szCs w:val="17"/>
          <w:color w:val="auto"/>
        </w:rPr>
        <w:t>. The captions used in the Notice and this RSU Agreement are inserted for convenience and shall not be deemed a part of the RSUs for construction or interpretation. Except when otherwise indicated by the context, the singular shall include the plural and the plural shall include the singular. Use of the term “or” is not intended to be exclusive, unless the context clearly requires otherwise.</w:t>
      </w:r>
    </w:p>
    <w:p>
      <w:pPr>
        <w:spacing w:after="0" w:line="165" w:lineRule="exact"/>
        <w:rPr>
          <w:rFonts w:ascii="Arial" w:cs="Arial" w:eastAsia="Arial" w:hAnsi="Arial"/>
          <w:sz w:val="17"/>
          <w:szCs w:val="17"/>
          <w:color w:val="auto"/>
        </w:rPr>
      </w:pPr>
    </w:p>
    <w:p>
      <w:pPr>
        <w:ind w:left="340" w:right="320" w:hanging="333"/>
        <w:spacing w:after="0" w:line="263" w:lineRule="auto"/>
        <w:tabs>
          <w:tab w:leader="none" w:pos="340" w:val="left"/>
        </w:tabs>
        <w:numPr>
          <w:ilvl w:val="0"/>
          <w:numId w:val="44"/>
        </w:numPr>
        <w:rPr>
          <w:rFonts w:ascii="Arial" w:cs="Arial" w:eastAsia="Arial" w:hAnsi="Arial"/>
          <w:sz w:val="18"/>
          <w:szCs w:val="18"/>
          <w:color w:val="auto"/>
        </w:rPr>
      </w:pPr>
      <w:r>
        <w:rPr>
          <w:rFonts w:ascii="Arial" w:cs="Arial" w:eastAsia="Arial" w:hAnsi="Arial"/>
          <w:sz w:val="18"/>
          <w:szCs w:val="18"/>
          <w:u w:val="single" w:color="auto"/>
          <w:color w:val="auto"/>
        </w:rPr>
        <w:t>Administration and Interpretation</w:t>
      </w:r>
      <w:r>
        <w:rPr>
          <w:rFonts w:ascii="Arial" w:cs="Arial" w:eastAsia="Arial" w:hAnsi="Arial"/>
          <w:sz w:val="18"/>
          <w:szCs w:val="18"/>
          <w:color w:val="auto"/>
        </w:rPr>
        <w:t>. Any question or dispute regarding the administration or interpretation of the Notice, the Plan or this RSU Agreement shall be submitted by the Participant or by the Company to the Committee. The resolution of such question or dispute by the Committee shall be final and binding on all persons.</w:t>
      </w:r>
    </w:p>
    <w:p>
      <w:pPr>
        <w:spacing w:after="0" w:line="183" w:lineRule="exact"/>
        <w:rPr>
          <w:rFonts w:ascii="Arial" w:cs="Arial" w:eastAsia="Arial" w:hAnsi="Arial"/>
          <w:sz w:val="18"/>
          <w:szCs w:val="18"/>
          <w:color w:val="auto"/>
        </w:rPr>
      </w:pPr>
    </w:p>
    <w:p>
      <w:pPr>
        <w:ind w:left="340" w:right="120" w:hanging="333"/>
        <w:spacing w:after="0" w:line="263" w:lineRule="auto"/>
        <w:tabs>
          <w:tab w:leader="none" w:pos="340" w:val="left"/>
        </w:tabs>
        <w:numPr>
          <w:ilvl w:val="0"/>
          <w:numId w:val="44"/>
        </w:numPr>
        <w:rPr>
          <w:rFonts w:ascii="Arial" w:cs="Arial" w:eastAsia="Arial" w:hAnsi="Arial"/>
          <w:sz w:val="18"/>
          <w:szCs w:val="18"/>
          <w:color w:val="auto"/>
        </w:rPr>
      </w:pPr>
      <w:r>
        <w:rPr>
          <w:rFonts w:ascii="Arial" w:cs="Arial" w:eastAsia="Arial" w:hAnsi="Arial"/>
          <w:sz w:val="18"/>
          <w:szCs w:val="18"/>
          <w:u w:val="single" w:color="auto"/>
          <w:color w:val="auto"/>
        </w:rPr>
        <w:t>Conflicts</w:t>
      </w:r>
      <w:r>
        <w:rPr>
          <w:rFonts w:ascii="Arial" w:cs="Arial" w:eastAsia="Arial" w:hAnsi="Arial"/>
          <w:sz w:val="18"/>
          <w:szCs w:val="18"/>
          <w:color w:val="auto"/>
        </w:rPr>
        <w:t>. In the event of a conflict or inconsistency between the terms and conditions of this RSU Agreement and another written agreement between the Company and the Participant that provides for accelerated vesting of the Participant’s RSUs upon the occurrence of certain events, the terms and conditions of such other written agreement shall control.</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2" w:lineRule="exact"/>
        <w:rPr>
          <w:sz w:val="20"/>
          <w:szCs w:val="20"/>
          <w:color w:val="auto"/>
        </w:rPr>
      </w:pPr>
    </w:p>
    <w:p>
      <w:pPr>
        <w:jc w:val="center"/>
        <w:ind w:right="440"/>
        <w:spacing w:after="0"/>
        <w:rPr>
          <w:sz w:val="20"/>
          <w:szCs w:val="20"/>
          <w:color w:val="auto"/>
        </w:rPr>
      </w:pPr>
      <w:r>
        <w:rPr>
          <w:rFonts w:ascii="Arial" w:cs="Arial" w:eastAsia="Arial" w:hAnsi="Arial"/>
          <w:sz w:val="18"/>
          <w:szCs w:val="18"/>
          <w:color w:val="auto"/>
        </w:rPr>
        <w:t>2</w:t>
      </w:r>
    </w:p>
    <w:p>
      <w:pPr>
        <w:sectPr>
          <w:pgSz w:w="11900" w:h="16838" w:orient="portrait"/>
          <w:cols w:equalWidth="0" w:num="1">
            <w:col w:w="10760"/>
          </w:cols>
          <w:pgMar w:left="780" w:top="584" w:right="359" w:bottom="1440" w:gutter="0" w:footer="0" w:header="0"/>
        </w:sectPr>
      </w:pPr>
    </w:p>
    <w:bookmarkStart w:id="77" w:name="page78"/>
    <w:bookmarkEnd w:id="77"/>
    <w:p>
      <w:pPr>
        <w:jc w:val="right"/>
        <w:spacing w:after="0"/>
        <w:rPr>
          <w:sz w:val="20"/>
          <w:szCs w:val="20"/>
          <w:color w:val="auto"/>
        </w:rPr>
      </w:pPr>
      <w:r>
        <w:rPr>
          <w:rFonts w:ascii="Arial" w:cs="Arial" w:eastAsia="Arial" w:hAnsi="Arial"/>
          <w:sz w:val="18"/>
          <w:szCs w:val="18"/>
          <w:b w:val="1"/>
          <w:bCs w:val="1"/>
          <w:color w:val="auto"/>
        </w:rPr>
        <w:t>EXHIBIT 21.1</w:t>
      </w:r>
    </w:p>
    <w:p>
      <w:pPr>
        <w:spacing w:after="0" w:line="225"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11240" w:type="dxa"/>
            <w:vAlign w:val="bottom"/>
            <w:gridSpan w:val="2"/>
          </w:tcPr>
          <w:p>
            <w:pPr>
              <w:ind w:left="4060"/>
              <w:spacing w:after="0"/>
              <w:rPr>
                <w:sz w:val="20"/>
                <w:szCs w:val="20"/>
                <w:color w:val="auto"/>
              </w:rPr>
            </w:pPr>
            <w:r>
              <w:rPr>
                <w:rFonts w:ascii="Arial" w:cs="Arial" w:eastAsia="Arial" w:hAnsi="Arial"/>
                <w:sz w:val="18"/>
                <w:szCs w:val="18"/>
                <w:b w:val="1"/>
                <w:bCs w:val="1"/>
                <w:color w:val="auto"/>
              </w:rPr>
              <w:t>Subsidiaries Of Harvard Bioscience, Inc.</w:t>
            </w:r>
          </w:p>
        </w:tc>
      </w:tr>
      <w:tr>
        <w:trPr>
          <w:trHeight w:val="432"/>
        </w:trPr>
        <w:tc>
          <w:tcPr>
            <w:tcW w:w="530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Name</w:t>
            </w:r>
          </w:p>
        </w:tc>
        <w:tc>
          <w:tcPr>
            <w:tcW w:w="5940" w:type="dxa"/>
            <w:vAlign w:val="bottom"/>
            <w:tcBorders>
              <w:bottom w:val="single" w:sz="8" w:color="auto"/>
            </w:tcBorders>
          </w:tcPr>
          <w:p>
            <w:pPr>
              <w:ind w:left="320"/>
              <w:spacing w:after="0"/>
              <w:rPr>
                <w:sz w:val="20"/>
                <w:szCs w:val="20"/>
                <w:color w:val="auto"/>
              </w:rPr>
            </w:pPr>
            <w:r>
              <w:rPr>
                <w:rFonts w:ascii="Arial" w:cs="Arial" w:eastAsia="Arial" w:hAnsi="Arial"/>
                <w:sz w:val="18"/>
                <w:szCs w:val="18"/>
                <w:color w:val="auto"/>
              </w:rPr>
              <w:t>Jurisdiction</w:t>
            </w:r>
          </w:p>
        </w:tc>
      </w:tr>
      <w:tr>
        <w:trPr>
          <w:trHeight w:val="195"/>
        </w:trPr>
        <w:tc>
          <w:tcPr>
            <w:tcW w:w="5300" w:type="dxa"/>
            <w:vAlign w:val="bottom"/>
          </w:tcPr>
          <w:p>
            <w:pPr>
              <w:spacing w:after="0" w:line="195" w:lineRule="exact"/>
              <w:rPr>
                <w:sz w:val="20"/>
                <w:szCs w:val="20"/>
                <w:color w:val="auto"/>
              </w:rPr>
            </w:pPr>
            <w:r>
              <w:rPr>
                <w:rFonts w:ascii="Arial" w:cs="Arial" w:eastAsia="Arial" w:hAnsi="Arial"/>
                <w:sz w:val="18"/>
                <w:szCs w:val="18"/>
                <w:color w:val="auto"/>
              </w:rPr>
              <w:t>AHN Acquisition GmbH</w:t>
            </w:r>
          </w:p>
        </w:tc>
        <w:tc>
          <w:tcPr>
            <w:tcW w:w="5940" w:type="dxa"/>
            <w:vAlign w:val="bottom"/>
          </w:tcPr>
          <w:p>
            <w:pPr>
              <w:ind w:left="320"/>
              <w:spacing w:after="0" w:line="195" w:lineRule="exact"/>
              <w:rPr>
                <w:sz w:val="20"/>
                <w:szCs w:val="20"/>
                <w:color w:val="auto"/>
              </w:rPr>
            </w:pPr>
            <w:r>
              <w:rPr>
                <w:rFonts w:ascii="Arial" w:cs="Arial" w:eastAsia="Arial" w:hAnsi="Arial"/>
                <w:sz w:val="18"/>
                <w:szCs w:val="18"/>
                <w:color w:val="auto"/>
              </w:rPr>
              <w:t>Germany</w:t>
            </w:r>
          </w:p>
        </w:tc>
      </w:tr>
      <w:tr>
        <w:trPr>
          <w:trHeight w:val="216"/>
        </w:trPr>
        <w:tc>
          <w:tcPr>
            <w:tcW w:w="5300" w:type="dxa"/>
            <w:vAlign w:val="bottom"/>
          </w:tcPr>
          <w:p>
            <w:pPr>
              <w:spacing w:after="0"/>
              <w:rPr>
                <w:sz w:val="20"/>
                <w:szCs w:val="20"/>
                <w:color w:val="auto"/>
              </w:rPr>
            </w:pPr>
            <w:r>
              <w:rPr>
                <w:rFonts w:ascii="Arial" w:cs="Arial" w:eastAsia="Arial" w:hAnsi="Arial"/>
                <w:sz w:val="18"/>
                <w:szCs w:val="18"/>
                <w:color w:val="auto"/>
              </w:rPr>
              <w:t>Asys Hitech GmbH</w:t>
            </w:r>
          </w:p>
        </w:tc>
        <w:tc>
          <w:tcPr>
            <w:tcW w:w="5940" w:type="dxa"/>
            <w:vAlign w:val="bottom"/>
          </w:tcPr>
          <w:p>
            <w:pPr>
              <w:ind w:left="320"/>
              <w:spacing w:after="0"/>
              <w:rPr>
                <w:sz w:val="20"/>
                <w:szCs w:val="20"/>
                <w:color w:val="auto"/>
              </w:rPr>
            </w:pPr>
            <w:r>
              <w:rPr>
                <w:rFonts w:ascii="Arial" w:cs="Arial" w:eastAsia="Arial" w:hAnsi="Arial"/>
                <w:sz w:val="18"/>
                <w:szCs w:val="18"/>
                <w:color w:val="auto"/>
              </w:rPr>
              <w:t>Austria</w:t>
            </w:r>
          </w:p>
        </w:tc>
      </w:tr>
      <w:tr>
        <w:trPr>
          <w:trHeight w:val="216"/>
        </w:trPr>
        <w:tc>
          <w:tcPr>
            <w:tcW w:w="5300" w:type="dxa"/>
            <w:vAlign w:val="bottom"/>
          </w:tcPr>
          <w:p>
            <w:pPr>
              <w:spacing w:after="0"/>
              <w:rPr>
                <w:sz w:val="20"/>
                <w:szCs w:val="20"/>
                <w:color w:val="auto"/>
              </w:rPr>
            </w:pPr>
            <w:r>
              <w:rPr>
                <w:rFonts w:ascii="Arial" w:cs="Arial" w:eastAsia="Arial" w:hAnsi="Arial"/>
                <w:sz w:val="18"/>
                <w:szCs w:val="18"/>
                <w:color w:val="auto"/>
              </w:rPr>
              <w:t>Biochrom Limited</w:t>
            </w:r>
          </w:p>
        </w:tc>
        <w:tc>
          <w:tcPr>
            <w:tcW w:w="5940" w:type="dxa"/>
            <w:vAlign w:val="bottom"/>
          </w:tcPr>
          <w:p>
            <w:pPr>
              <w:ind w:left="320"/>
              <w:spacing w:after="0"/>
              <w:rPr>
                <w:sz w:val="20"/>
                <w:szCs w:val="20"/>
                <w:color w:val="auto"/>
              </w:rPr>
            </w:pPr>
            <w:r>
              <w:rPr>
                <w:rFonts w:ascii="Arial" w:cs="Arial" w:eastAsia="Arial" w:hAnsi="Arial"/>
                <w:sz w:val="18"/>
                <w:szCs w:val="18"/>
                <w:color w:val="auto"/>
              </w:rPr>
              <w:t>United Kingdom</w:t>
            </w:r>
          </w:p>
        </w:tc>
      </w:tr>
      <w:tr>
        <w:trPr>
          <w:trHeight w:val="216"/>
        </w:trPr>
        <w:tc>
          <w:tcPr>
            <w:tcW w:w="5300" w:type="dxa"/>
            <w:vAlign w:val="bottom"/>
          </w:tcPr>
          <w:p>
            <w:pPr>
              <w:spacing w:after="0"/>
              <w:rPr>
                <w:sz w:val="20"/>
                <w:szCs w:val="20"/>
                <w:color w:val="auto"/>
              </w:rPr>
            </w:pPr>
            <w:r>
              <w:rPr>
                <w:rFonts w:ascii="Arial" w:cs="Arial" w:eastAsia="Arial" w:hAnsi="Arial"/>
                <w:sz w:val="18"/>
                <w:szCs w:val="18"/>
                <w:color w:val="auto"/>
              </w:rPr>
              <w:t>Biochrom US, Inc.</w:t>
            </w:r>
          </w:p>
        </w:tc>
        <w:tc>
          <w:tcPr>
            <w:tcW w:w="5940" w:type="dxa"/>
            <w:vAlign w:val="bottom"/>
          </w:tcPr>
          <w:p>
            <w:pPr>
              <w:ind w:left="320"/>
              <w:spacing w:after="0"/>
              <w:rPr>
                <w:sz w:val="20"/>
                <w:szCs w:val="20"/>
                <w:color w:val="auto"/>
              </w:rPr>
            </w:pPr>
            <w:r>
              <w:rPr>
                <w:rFonts w:ascii="Arial" w:cs="Arial" w:eastAsia="Arial" w:hAnsi="Arial"/>
                <w:sz w:val="18"/>
                <w:szCs w:val="18"/>
                <w:color w:val="auto"/>
              </w:rPr>
              <w:t>Delaware, United States</w:t>
            </w:r>
          </w:p>
        </w:tc>
      </w:tr>
      <w:tr>
        <w:trPr>
          <w:trHeight w:val="216"/>
        </w:trPr>
        <w:tc>
          <w:tcPr>
            <w:tcW w:w="5300" w:type="dxa"/>
            <w:vAlign w:val="bottom"/>
          </w:tcPr>
          <w:p>
            <w:pPr>
              <w:spacing w:after="0"/>
              <w:rPr>
                <w:sz w:val="20"/>
                <w:szCs w:val="20"/>
                <w:color w:val="auto"/>
              </w:rPr>
            </w:pPr>
            <w:r>
              <w:rPr>
                <w:rFonts w:ascii="Arial" w:cs="Arial" w:eastAsia="Arial" w:hAnsi="Arial"/>
                <w:sz w:val="18"/>
                <w:szCs w:val="18"/>
                <w:color w:val="auto"/>
              </w:rPr>
              <w:t>Biodrop Ltd.</w:t>
            </w:r>
          </w:p>
        </w:tc>
        <w:tc>
          <w:tcPr>
            <w:tcW w:w="5940" w:type="dxa"/>
            <w:vAlign w:val="bottom"/>
          </w:tcPr>
          <w:p>
            <w:pPr>
              <w:ind w:left="320"/>
              <w:spacing w:after="0"/>
              <w:rPr>
                <w:sz w:val="20"/>
                <w:szCs w:val="20"/>
                <w:color w:val="auto"/>
              </w:rPr>
            </w:pPr>
            <w:r>
              <w:rPr>
                <w:rFonts w:ascii="Arial" w:cs="Arial" w:eastAsia="Arial" w:hAnsi="Arial"/>
                <w:sz w:val="18"/>
                <w:szCs w:val="18"/>
                <w:color w:val="auto"/>
              </w:rPr>
              <w:t>United Kingdom</w:t>
            </w:r>
          </w:p>
        </w:tc>
      </w:tr>
      <w:tr>
        <w:trPr>
          <w:trHeight w:val="216"/>
        </w:trPr>
        <w:tc>
          <w:tcPr>
            <w:tcW w:w="5300" w:type="dxa"/>
            <w:vAlign w:val="bottom"/>
          </w:tcPr>
          <w:p>
            <w:pPr>
              <w:spacing w:after="0"/>
              <w:rPr>
                <w:sz w:val="20"/>
                <w:szCs w:val="20"/>
                <w:color w:val="auto"/>
              </w:rPr>
            </w:pPr>
            <w:r>
              <w:rPr>
                <w:rFonts w:ascii="Arial" w:cs="Arial" w:eastAsia="Arial" w:hAnsi="Arial"/>
                <w:sz w:val="18"/>
                <w:szCs w:val="18"/>
                <w:color w:val="auto"/>
              </w:rPr>
              <w:t>Cartesian Technologies, Inc.</w:t>
            </w:r>
          </w:p>
        </w:tc>
        <w:tc>
          <w:tcPr>
            <w:tcW w:w="5940" w:type="dxa"/>
            <w:vAlign w:val="bottom"/>
          </w:tcPr>
          <w:p>
            <w:pPr>
              <w:ind w:left="320"/>
              <w:spacing w:after="0"/>
              <w:rPr>
                <w:sz w:val="20"/>
                <w:szCs w:val="20"/>
                <w:color w:val="auto"/>
              </w:rPr>
            </w:pPr>
            <w:r>
              <w:rPr>
                <w:rFonts w:ascii="Arial" w:cs="Arial" w:eastAsia="Arial" w:hAnsi="Arial"/>
                <w:sz w:val="18"/>
                <w:szCs w:val="18"/>
                <w:color w:val="auto"/>
              </w:rPr>
              <w:t>Delaware, United States</w:t>
            </w:r>
          </w:p>
        </w:tc>
      </w:tr>
      <w:tr>
        <w:trPr>
          <w:trHeight w:val="216"/>
        </w:trPr>
        <w:tc>
          <w:tcPr>
            <w:tcW w:w="5300" w:type="dxa"/>
            <w:vAlign w:val="bottom"/>
          </w:tcPr>
          <w:p>
            <w:pPr>
              <w:spacing w:after="0"/>
              <w:rPr>
                <w:sz w:val="20"/>
                <w:szCs w:val="20"/>
                <w:color w:val="auto"/>
              </w:rPr>
            </w:pPr>
            <w:r>
              <w:rPr>
                <w:rFonts w:ascii="Arial" w:cs="Arial" w:eastAsia="Arial" w:hAnsi="Arial"/>
                <w:sz w:val="18"/>
                <w:szCs w:val="18"/>
                <w:color w:val="auto"/>
              </w:rPr>
              <w:t>CMA Microdialysis Ab</w:t>
            </w:r>
          </w:p>
        </w:tc>
        <w:tc>
          <w:tcPr>
            <w:tcW w:w="5940" w:type="dxa"/>
            <w:vAlign w:val="bottom"/>
          </w:tcPr>
          <w:p>
            <w:pPr>
              <w:ind w:left="320"/>
              <w:spacing w:after="0"/>
              <w:rPr>
                <w:sz w:val="20"/>
                <w:szCs w:val="20"/>
                <w:color w:val="auto"/>
              </w:rPr>
            </w:pPr>
            <w:r>
              <w:rPr>
                <w:rFonts w:ascii="Arial" w:cs="Arial" w:eastAsia="Arial" w:hAnsi="Arial"/>
                <w:sz w:val="18"/>
                <w:szCs w:val="18"/>
                <w:color w:val="auto"/>
              </w:rPr>
              <w:t>Sweden</w:t>
            </w:r>
          </w:p>
        </w:tc>
      </w:tr>
      <w:tr>
        <w:trPr>
          <w:trHeight w:val="216"/>
        </w:trPr>
        <w:tc>
          <w:tcPr>
            <w:tcW w:w="5300" w:type="dxa"/>
            <w:vAlign w:val="bottom"/>
          </w:tcPr>
          <w:p>
            <w:pPr>
              <w:spacing w:after="0"/>
              <w:rPr>
                <w:sz w:val="20"/>
                <w:szCs w:val="20"/>
                <w:color w:val="auto"/>
              </w:rPr>
            </w:pPr>
            <w:r>
              <w:rPr>
                <w:rFonts w:ascii="Arial" w:cs="Arial" w:eastAsia="Arial" w:hAnsi="Arial"/>
                <w:sz w:val="18"/>
                <w:szCs w:val="18"/>
                <w:color w:val="auto"/>
              </w:rPr>
              <w:t>Coulbourn Instruments, LLC</w:t>
            </w:r>
          </w:p>
        </w:tc>
        <w:tc>
          <w:tcPr>
            <w:tcW w:w="5940" w:type="dxa"/>
            <w:vAlign w:val="bottom"/>
          </w:tcPr>
          <w:p>
            <w:pPr>
              <w:ind w:left="320"/>
              <w:spacing w:after="0"/>
              <w:rPr>
                <w:sz w:val="20"/>
                <w:szCs w:val="20"/>
                <w:color w:val="auto"/>
              </w:rPr>
            </w:pPr>
            <w:r>
              <w:rPr>
                <w:rFonts w:ascii="Arial" w:cs="Arial" w:eastAsia="Arial" w:hAnsi="Arial"/>
                <w:sz w:val="18"/>
                <w:szCs w:val="18"/>
                <w:color w:val="auto"/>
              </w:rPr>
              <w:t>Delaware, United States</w:t>
            </w:r>
          </w:p>
        </w:tc>
      </w:tr>
      <w:tr>
        <w:trPr>
          <w:trHeight w:val="216"/>
        </w:trPr>
        <w:tc>
          <w:tcPr>
            <w:tcW w:w="5300" w:type="dxa"/>
            <w:vAlign w:val="bottom"/>
          </w:tcPr>
          <w:p>
            <w:pPr>
              <w:spacing w:after="0"/>
              <w:rPr>
                <w:sz w:val="20"/>
                <w:szCs w:val="20"/>
                <w:color w:val="auto"/>
              </w:rPr>
            </w:pPr>
            <w:r>
              <w:rPr>
                <w:rFonts w:ascii="Arial" w:cs="Arial" w:eastAsia="Arial" w:hAnsi="Arial"/>
                <w:sz w:val="18"/>
                <w:szCs w:val="18"/>
                <w:color w:val="auto"/>
              </w:rPr>
              <w:t>Data Sciences International, Inc.</w:t>
            </w:r>
          </w:p>
        </w:tc>
        <w:tc>
          <w:tcPr>
            <w:tcW w:w="5940" w:type="dxa"/>
            <w:vAlign w:val="bottom"/>
          </w:tcPr>
          <w:p>
            <w:pPr>
              <w:ind w:left="320"/>
              <w:spacing w:after="0"/>
              <w:rPr>
                <w:sz w:val="20"/>
                <w:szCs w:val="20"/>
                <w:color w:val="auto"/>
              </w:rPr>
            </w:pPr>
            <w:r>
              <w:rPr>
                <w:rFonts w:ascii="Arial" w:cs="Arial" w:eastAsia="Arial" w:hAnsi="Arial"/>
                <w:sz w:val="18"/>
                <w:szCs w:val="18"/>
                <w:color w:val="auto"/>
              </w:rPr>
              <w:t>Delaware, United States</w:t>
            </w:r>
          </w:p>
        </w:tc>
      </w:tr>
      <w:tr>
        <w:trPr>
          <w:trHeight w:val="216"/>
        </w:trPr>
        <w:tc>
          <w:tcPr>
            <w:tcW w:w="5300" w:type="dxa"/>
            <w:vAlign w:val="bottom"/>
          </w:tcPr>
          <w:p>
            <w:pPr>
              <w:spacing w:after="0"/>
              <w:rPr>
                <w:sz w:val="20"/>
                <w:szCs w:val="20"/>
                <w:color w:val="auto"/>
              </w:rPr>
            </w:pPr>
            <w:r>
              <w:rPr>
                <w:rFonts w:ascii="Arial" w:cs="Arial" w:eastAsia="Arial" w:hAnsi="Arial"/>
                <w:sz w:val="18"/>
                <w:szCs w:val="18"/>
                <w:color w:val="auto"/>
              </w:rPr>
              <w:t>Data Sciences (UK) Mn, Ltd.</w:t>
            </w:r>
          </w:p>
        </w:tc>
        <w:tc>
          <w:tcPr>
            <w:tcW w:w="5940" w:type="dxa"/>
            <w:vAlign w:val="bottom"/>
          </w:tcPr>
          <w:p>
            <w:pPr>
              <w:ind w:left="320"/>
              <w:spacing w:after="0"/>
              <w:rPr>
                <w:sz w:val="20"/>
                <w:szCs w:val="20"/>
                <w:color w:val="auto"/>
              </w:rPr>
            </w:pPr>
            <w:r>
              <w:rPr>
                <w:rFonts w:ascii="Arial" w:cs="Arial" w:eastAsia="Arial" w:hAnsi="Arial"/>
                <w:sz w:val="18"/>
                <w:szCs w:val="18"/>
                <w:color w:val="auto"/>
              </w:rPr>
              <w:t>United Kingdom</w:t>
            </w:r>
          </w:p>
        </w:tc>
      </w:tr>
      <w:tr>
        <w:trPr>
          <w:trHeight w:val="216"/>
        </w:trPr>
        <w:tc>
          <w:tcPr>
            <w:tcW w:w="5300" w:type="dxa"/>
            <w:vAlign w:val="bottom"/>
          </w:tcPr>
          <w:p>
            <w:pPr>
              <w:spacing w:after="0"/>
              <w:rPr>
                <w:sz w:val="20"/>
                <w:szCs w:val="20"/>
                <w:color w:val="auto"/>
              </w:rPr>
            </w:pPr>
            <w:r>
              <w:rPr>
                <w:rFonts w:ascii="Arial" w:cs="Arial" w:eastAsia="Arial" w:hAnsi="Arial"/>
                <w:sz w:val="18"/>
                <w:szCs w:val="18"/>
                <w:color w:val="auto"/>
              </w:rPr>
              <w:t>Data Sciences Eurl</w:t>
            </w:r>
          </w:p>
        </w:tc>
        <w:tc>
          <w:tcPr>
            <w:tcW w:w="5940" w:type="dxa"/>
            <w:vAlign w:val="bottom"/>
          </w:tcPr>
          <w:p>
            <w:pPr>
              <w:ind w:left="320"/>
              <w:spacing w:after="0"/>
              <w:rPr>
                <w:sz w:val="20"/>
                <w:szCs w:val="20"/>
                <w:color w:val="auto"/>
              </w:rPr>
            </w:pPr>
            <w:r>
              <w:rPr>
                <w:rFonts w:ascii="Arial" w:cs="Arial" w:eastAsia="Arial" w:hAnsi="Arial"/>
                <w:sz w:val="18"/>
                <w:szCs w:val="18"/>
                <w:color w:val="auto"/>
              </w:rPr>
              <w:t>France</w:t>
            </w:r>
          </w:p>
        </w:tc>
      </w:tr>
      <w:tr>
        <w:trPr>
          <w:trHeight w:val="216"/>
        </w:trPr>
        <w:tc>
          <w:tcPr>
            <w:tcW w:w="5300" w:type="dxa"/>
            <w:vAlign w:val="bottom"/>
          </w:tcPr>
          <w:p>
            <w:pPr>
              <w:spacing w:after="0"/>
              <w:rPr>
                <w:sz w:val="20"/>
                <w:szCs w:val="20"/>
                <w:color w:val="auto"/>
              </w:rPr>
            </w:pPr>
            <w:r>
              <w:rPr>
                <w:rFonts w:ascii="Arial" w:cs="Arial" w:eastAsia="Arial" w:hAnsi="Arial"/>
                <w:sz w:val="18"/>
                <w:szCs w:val="18"/>
                <w:color w:val="auto"/>
              </w:rPr>
              <w:t>Data Sciences GmbH</w:t>
            </w:r>
          </w:p>
        </w:tc>
        <w:tc>
          <w:tcPr>
            <w:tcW w:w="5940" w:type="dxa"/>
            <w:vAlign w:val="bottom"/>
          </w:tcPr>
          <w:p>
            <w:pPr>
              <w:ind w:left="320"/>
              <w:spacing w:after="0"/>
              <w:rPr>
                <w:sz w:val="20"/>
                <w:szCs w:val="20"/>
                <w:color w:val="auto"/>
              </w:rPr>
            </w:pPr>
            <w:r>
              <w:rPr>
                <w:rFonts w:ascii="Arial" w:cs="Arial" w:eastAsia="Arial" w:hAnsi="Arial"/>
                <w:sz w:val="18"/>
                <w:szCs w:val="18"/>
                <w:color w:val="auto"/>
              </w:rPr>
              <w:t>Germany</w:t>
            </w:r>
          </w:p>
        </w:tc>
      </w:tr>
      <w:tr>
        <w:trPr>
          <w:trHeight w:val="216"/>
        </w:trPr>
        <w:tc>
          <w:tcPr>
            <w:tcW w:w="5300" w:type="dxa"/>
            <w:vAlign w:val="bottom"/>
          </w:tcPr>
          <w:p>
            <w:pPr>
              <w:spacing w:after="0"/>
              <w:rPr>
                <w:sz w:val="20"/>
                <w:szCs w:val="20"/>
                <w:color w:val="auto"/>
              </w:rPr>
            </w:pPr>
            <w:r>
              <w:rPr>
                <w:rFonts w:ascii="Arial" w:cs="Arial" w:eastAsia="Arial" w:hAnsi="Arial"/>
                <w:sz w:val="18"/>
                <w:szCs w:val="18"/>
                <w:color w:val="auto"/>
              </w:rPr>
              <w:t>DSI (Shanghai) Trading Co Ltd.</w:t>
            </w:r>
          </w:p>
        </w:tc>
        <w:tc>
          <w:tcPr>
            <w:tcW w:w="5940" w:type="dxa"/>
            <w:vAlign w:val="bottom"/>
          </w:tcPr>
          <w:p>
            <w:pPr>
              <w:ind w:left="320"/>
              <w:spacing w:after="0"/>
              <w:rPr>
                <w:sz w:val="20"/>
                <w:szCs w:val="20"/>
                <w:color w:val="auto"/>
              </w:rPr>
            </w:pPr>
            <w:r>
              <w:rPr>
                <w:rFonts w:ascii="Arial" w:cs="Arial" w:eastAsia="Arial" w:hAnsi="Arial"/>
                <w:sz w:val="18"/>
                <w:szCs w:val="18"/>
                <w:color w:val="auto"/>
              </w:rPr>
              <w:t>China</w:t>
            </w:r>
          </w:p>
        </w:tc>
      </w:tr>
      <w:tr>
        <w:trPr>
          <w:trHeight w:val="216"/>
        </w:trPr>
        <w:tc>
          <w:tcPr>
            <w:tcW w:w="5300" w:type="dxa"/>
            <w:vAlign w:val="bottom"/>
          </w:tcPr>
          <w:p>
            <w:pPr>
              <w:spacing w:after="0"/>
              <w:rPr>
                <w:sz w:val="20"/>
                <w:szCs w:val="20"/>
                <w:color w:val="auto"/>
              </w:rPr>
            </w:pPr>
            <w:r>
              <w:rPr>
                <w:rFonts w:ascii="Arial" w:cs="Arial" w:eastAsia="Arial" w:hAnsi="Arial"/>
                <w:sz w:val="18"/>
                <w:szCs w:val="18"/>
                <w:color w:val="auto"/>
              </w:rPr>
              <w:t>Ealing Scientific Limited (DBA Harvard Apparatus, Canada)</w:t>
            </w:r>
          </w:p>
        </w:tc>
        <w:tc>
          <w:tcPr>
            <w:tcW w:w="5940" w:type="dxa"/>
            <w:vAlign w:val="bottom"/>
          </w:tcPr>
          <w:p>
            <w:pPr>
              <w:ind w:left="320"/>
              <w:spacing w:after="0"/>
              <w:rPr>
                <w:sz w:val="20"/>
                <w:szCs w:val="20"/>
                <w:color w:val="auto"/>
              </w:rPr>
            </w:pPr>
            <w:r>
              <w:rPr>
                <w:rFonts w:ascii="Arial" w:cs="Arial" w:eastAsia="Arial" w:hAnsi="Arial"/>
                <w:sz w:val="18"/>
                <w:szCs w:val="18"/>
                <w:color w:val="auto"/>
              </w:rPr>
              <w:t>Canada</w:t>
            </w:r>
          </w:p>
        </w:tc>
      </w:tr>
      <w:tr>
        <w:trPr>
          <w:trHeight w:val="216"/>
        </w:trPr>
        <w:tc>
          <w:tcPr>
            <w:tcW w:w="5300" w:type="dxa"/>
            <w:vAlign w:val="bottom"/>
          </w:tcPr>
          <w:p>
            <w:pPr>
              <w:spacing w:after="0"/>
              <w:rPr>
                <w:sz w:val="20"/>
                <w:szCs w:val="20"/>
                <w:color w:val="auto"/>
              </w:rPr>
            </w:pPr>
            <w:r>
              <w:rPr>
                <w:rFonts w:ascii="Arial" w:cs="Arial" w:eastAsia="Arial" w:hAnsi="Arial"/>
                <w:sz w:val="18"/>
                <w:szCs w:val="18"/>
                <w:color w:val="auto"/>
              </w:rPr>
              <w:t>FKA GSI US, Inc. (Formerly Genomic Solutions, Inc.)</w:t>
            </w:r>
          </w:p>
        </w:tc>
        <w:tc>
          <w:tcPr>
            <w:tcW w:w="5940" w:type="dxa"/>
            <w:vAlign w:val="bottom"/>
          </w:tcPr>
          <w:p>
            <w:pPr>
              <w:ind w:left="320"/>
              <w:spacing w:after="0"/>
              <w:rPr>
                <w:sz w:val="20"/>
                <w:szCs w:val="20"/>
                <w:color w:val="auto"/>
              </w:rPr>
            </w:pPr>
            <w:r>
              <w:rPr>
                <w:rFonts w:ascii="Arial" w:cs="Arial" w:eastAsia="Arial" w:hAnsi="Arial"/>
                <w:sz w:val="18"/>
                <w:szCs w:val="18"/>
                <w:color w:val="auto"/>
              </w:rPr>
              <w:t>Delaware, United States</w:t>
            </w:r>
          </w:p>
        </w:tc>
      </w:tr>
      <w:tr>
        <w:trPr>
          <w:trHeight w:val="216"/>
        </w:trPr>
        <w:tc>
          <w:tcPr>
            <w:tcW w:w="5300" w:type="dxa"/>
            <w:vAlign w:val="bottom"/>
          </w:tcPr>
          <w:p>
            <w:pPr>
              <w:spacing w:after="0"/>
              <w:rPr>
                <w:sz w:val="20"/>
                <w:szCs w:val="20"/>
                <w:color w:val="auto"/>
              </w:rPr>
            </w:pPr>
            <w:r>
              <w:rPr>
                <w:rFonts w:ascii="Arial" w:cs="Arial" w:eastAsia="Arial" w:hAnsi="Arial"/>
                <w:sz w:val="18"/>
                <w:szCs w:val="18"/>
                <w:color w:val="auto"/>
              </w:rPr>
              <w:t>FKA UBI, Inc. (Formerly Union Biometrica, Inc.)</w:t>
            </w:r>
          </w:p>
        </w:tc>
        <w:tc>
          <w:tcPr>
            <w:tcW w:w="5940" w:type="dxa"/>
            <w:vAlign w:val="bottom"/>
          </w:tcPr>
          <w:p>
            <w:pPr>
              <w:ind w:left="320"/>
              <w:spacing w:after="0"/>
              <w:rPr>
                <w:sz w:val="20"/>
                <w:szCs w:val="20"/>
                <w:color w:val="auto"/>
              </w:rPr>
            </w:pPr>
            <w:r>
              <w:rPr>
                <w:rFonts w:ascii="Arial" w:cs="Arial" w:eastAsia="Arial" w:hAnsi="Arial"/>
                <w:sz w:val="18"/>
                <w:szCs w:val="18"/>
                <w:color w:val="auto"/>
              </w:rPr>
              <w:t>Delaware, United States</w:t>
            </w:r>
          </w:p>
        </w:tc>
      </w:tr>
      <w:tr>
        <w:trPr>
          <w:trHeight w:val="216"/>
        </w:trPr>
        <w:tc>
          <w:tcPr>
            <w:tcW w:w="5300" w:type="dxa"/>
            <w:vAlign w:val="bottom"/>
          </w:tcPr>
          <w:p>
            <w:pPr>
              <w:spacing w:after="0"/>
              <w:rPr>
                <w:sz w:val="20"/>
                <w:szCs w:val="20"/>
                <w:color w:val="auto"/>
              </w:rPr>
            </w:pPr>
            <w:r>
              <w:rPr>
                <w:rFonts w:ascii="Arial" w:cs="Arial" w:eastAsia="Arial" w:hAnsi="Arial"/>
                <w:sz w:val="18"/>
                <w:szCs w:val="18"/>
                <w:color w:val="auto"/>
              </w:rPr>
              <w:t>Genomic Solutions Canada, Inc.</w:t>
            </w:r>
          </w:p>
        </w:tc>
        <w:tc>
          <w:tcPr>
            <w:tcW w:w="5940" w:type="dxa"/>
            <w:vAlign w:val="bottom"/>
          </w:tcPr>
          <w:p>
            <w:pPr>
              <w:ind w:left="320"/>
              <w:spacing w:after="0"/>
              <w:rPr>
                <w:sz w:val="20"/>
                <w:szCs w:val="20"/>
                <w:color w:val="auto"/>
              </w:rPr>
            </w:pPr>
            <w:r>
              <w:rPr>
                <w:rFonts w:ascii="Arial" w:cs="Arial" w:eastAsia="Arial" w:hAnsi="Arial"/>
                <w:sz w:val="18"/>
                <w:szCs w:val="18"/>
                <w:color w:val="auto"/>
              </w:rPr>
              <w:t>Delaware, United States</w:t>
            </w:r>
          </w:p>
        </w:tc>
      </w:tr>
      <w:tr>
        <w:trPr>
          <w:trHeight w:val="216"/>
        </w:trPr>
        <w:tc>
          <w:tcPr>
            <w:tcW w:w="5300" w:type="dxa"/>
            <w:vAlign w:val="bottom"/>
          </w:tcPr>
          <w:p>
            <w:pPr>
              <w:spacing w:after="0"/>
              <w:rPr>
                <w:sz w:val="20"/>
                <w:szCs w:val="20"/>
                <w:color w:val="auto"/>
              </w:rPr>
            </w:pPr>
            <w:r>
              <w:rPr>
                <w:rFonts w:ascii="Arial" w:cs="Arial" w:eastAsia="Arial" w:hAnsi="Arial"/>
                <w:sz w:val="18"/>
                <w:szCs w:val="18"/>
                <w:color w:val="auto"/>
              </w:rPr>
              <w:t>Harvard Apparatus, S.A.R.L.</w:t>
            </w:r>
          </w:p>
        </w:tc>
        <w:tc>
          <w:tcPr>
            <w:tcW w:w="5940" w:type="dxa"/>
            <w:vAlign w:val="bottom"/>
          </w:tcPr>
          <w:p>
            <w:pPr>
              <w:ind w:left="320"/>
              <w:spacing w:after="0"/>
              <w:rPr>
                <w:sz w:val="20"/>
                <w:szCs w:val="20"/>
                <w:color w:val="auto"/>
              </w:rPr>
            </w:pPr>
            <w:r>
              <w:rPr>
                <w:rFonts w:ascii="Arial" w:cs="Arial" w:eastAsia="Arial" w:hAnsi="Arial"/>
                <w:sz w:val="18"/>
                <w:szCs w:val="18"/>
                <w:color w:val="auto"/>
              </w:rPr>
              <w:t>France</w:t>
            </w:r>
          </w:p>
        </w:tc>
      </w:tr>
      <w:tr>
        <w:trPr>
          <w:trHeight w:val="216"/>
        </w:trPr>
        <w:tc>
          <w:tcPr>
            <w:tcW w:w="5300" w:type="dxa"/>
            <w:vAlign w:val="bottom"/>
          </w:tcPr>
          <w:p>
            <w:pPr>
              <w:spacing w:after="0"/>
              <w:rPr>
                <w:sz w:val="20"/>
                <w:szCs w:val="20"/>
                <w:color w:val="auto"/>
              </w:rPr>
            </w:pPr>
            <w:r>
              <w:rPr>
                <w:rFonts w:ascii="Arial" w:cs="Arial" w:eastAsia="Arial" w:hAnsi="Arial"/>
                <w:sz w:val="18"/>
                <w:szCs w:val="18"/>
                <w:color w:val="auto"/>
              </w:rPr>
              <w:t>Harvard Bioscience (Shanghai) Co. Ltd.</w:t>
            </w:r>
          </w:p>
        </w:tc>
        <w:tc>
          <w:tcPr>
            <w:tcW w:w="5940" w:type="dxa"/>
            <w:vAlign w:val="bottom"/>
          </w:tcPr>
          <w:p>
            <w:pPr>
              <w:ind w:left="320"/>
              <w:spacing w:after="0"/>
              <w:rPr>
                <w:sz w:val="20"/>
                <w:szCs w:val="20"/>
                <w:color w:val="auto"/>
              </w:rPr>
            </w:pPr>
            <w:r>
              <w:rPr>
                <w:rFonts w:ascii="Arial" w:cs="Arial" w:eastAsia="Arial" w:hAnsi="Arial"/>
                <w:sz w:val="18"/>
                <w:szCs w:val="18"/>
                <w:color w:val="auto"/>
              </w:rPr>
              <w:t>China</w:t>
            </w:r>
          </w:p>
        </w:tc>
      </w:tr>
      <w:tr>
        <w:trPr>
          <w:trHeight w:val="216"/>
        </w:trPr>
        <w:tc>
          <w:tcPr>
            <w:tcW w:w="5300" w:type="dxa"/>
            <w:vAlign w:val="bottom"/>
          </w:tcPr>
          <w:p>
            <w:pPr>
              <w:spacing w:after="0"/>
              <w:rPr>
                <w:sz w:val="20"/>
                <w:szCs w:val="20"/>
                <w:color w:val="auto"/>
              </w:rPr>
            </w:pPr>
            <w:r>
              <w:rPr>
                <w:rFonts w:ascii="Arial" w:cs="Arial" w:eastAsia="Arial" w:hAnsi="Arial"/>
                <w:sz w:val="18"/>
                <w:szCs w:val="18"/>
                <w:color w:val="auto"/>
              </w:rPr>
              <w:t>Harvard Distribution Oldco, Inc. (Formerly Denville Scientific, Inc.)</w:t>
            </w:r>
          </w:p>
        </w:tc>
        <w:tc>
          <w:tcPr>
            <w:tcW w:w="5940" w:type="dxa"/>
            <w:vAlign w:val="bottom"/>
          </w:tcPr>
          <w:p>
            <w:pPr>
              <w:ind w:left="320"/>
              <w:spacing w:after="0"/>
              <w:rPr>
                <w:sz w:val="20"/>
                <w:szCs w:val="20"/>
                <w:color w:val="auto"/>
              </w:rPr>
            </w:pPr>
            <w:r>
              <w:rPr>
                <w:rFonts w:ascii="Arial" w:cs="Arial" w:eastAsia="Arial" w:hAnsi="Arial"/>
                <w:sz w:val="18"/>
                <w:szCs w:val="18"/>
                <w:color w:val="auto"/>
              </w:rPr>
              <w:t>Delaware, United States</w:t>
            </w:r>
          </w:p>
        </w:tc>
      </w:tr>
      <w:tr>
        <w:trPr>
          <w:trHeight w:val="216"/>
        </w:trPr>
        <w:tc>
          <w:tcPr>
            <w:tcW w:w="5300" w:type="dxa"/>
            <w:vAlign w:val="bottom"/>
          </w:tcPr>
          <w:p>
            <w:pPr>
              <w:spacing w:after="0"/>
              <w:rPr>
                <w:sz w:val="20"/>
                <w:szCs w:val="20"/>
                <w:color w:val="auto"/>
              </w:rPr>
            </w:pPr>
            <w:r>
              <w:rPr>
                <w:rFonts w:ascii="Arial" w:cs="Arial" w:eastAsia="Arial" w:hAnsi="Arial"/>
                <w:sz w:val="18"/>
                <w:szCs w:val="18"/>
                <w:color w:val="auto"/>
              </w:rPr>
              <w:t>Heka Electronics Incorporated</w:t>
            </w:r>
          </w:p>
        </w:tc>
        <w:tc>
          <w:tcPr>
            <w:tcW w:w="5940" w:type="dxa"/>
            <w:vAlign w:val="bottom"/>
          </w:tcPr>
          <w:p>
            <w:pPr>
              <w:ind w:left="320"/>
              <w:spacing w:after="0"/>
              <w:rPr>
                <w:sz w:val="20"/>
                <w:szCs w:val="20"/>
                <w:color w:val="auto"/>
              </w:rPr>
            </w:pPr>
            <w:r>
              <w:rPr>
                <w:rFonts w:ascii="Arial" w:cs="Arial" w:eastAsia="Arial" w:hAnsi="Arial"/>
                <w:sz w:val="18"/>
                <w:szCs w:val="18"/>
                <w:color w:val="auto"/>
              </w:rPr>
              <w:t>Canada</w:t>
            </w:r>
          </w:p>
        </w:tc>
      </w:tr>
      <w:tr>
        <w:trPr>
          <w:trHeight w:val="216"/>
        </w:trPr>
        <w:tc>
          <w:tcPr>
            <w:tcW w:w="5300" w:type="dxa"/>
            <w:vAlign w:val="bottom"/>
          </w:tcPr>
          <w:p>
            <w:pPr>
              <w:spacing w:after="0"/>
              <w:rPr>
                <w:sz w:val="20"/>
                <w:szCs w:val="20"/>
                <w:color w:val="auto"/>
              </w:rPr>
            </w:pPr>
            <w:r>
              <w:rPr>
                <w:rFonts w:ascii="Arial" w:cs="Arial" w:eastAsia="Arial" w:hAnsi="Arial"/>
                <w:sz w:val="18"/>
                <w:szCs w:val="18"/>
                <w:color w:val="auto"/>
              </w:rPr>
              <w:t>Heka Electronik GmbH</w:t>
            </w:r>
          </w:p>
        </w:tc>
        <w:tc>
          <w:tcPr>
            <w:tcW w:w="5940" w:type="dxa"/>
            <w:vAlign w:val="bottom"/>
          </w:tcPr>
          <w:p>
            <w:pPr>
              <w:ind w:left="320"/>
              <w:spacing w:after="0"/>
              <w:rPr>
                <w:sz w:val="20"/>
                <w:szCs w:val="20"/>
                <w:color w:val="auto"/>
              </w:rPr>
            </w:pPr>
            <w:r>
              <w:rPr>
                <w:rFonts w:ascii="Arial" w:cs="Arial" w:eastAsia="Arial" w:hAnsi="Arial"/>
                <w:sz w:val="18"/>
                <w:szCs w:val="18"/>
                <w:color w:val="auto"/>
              </w:rPr>
              <w:t>Germany</w:t>
            </w:r>
          </w:p>
        </w:tc>
      </w:tr>
      <w:tr>
        <w:trPr>
          <w:trHeight w:val="216"/>
        </w:trPr>
        <w:tc>
          <w:tcPr>
            <w:tcW w:w="5300" w:type="dxa"/>
            <w:vAlign w:val="bottom"/>
          </w:tcPr>
          <w:p>
            <w:pPr>
              <w:spacing w:after="0"/>
              <w:rPr>
                <w:sz w:val="20"/>
                <w:szCs w:val="20"/>
                <w:color w:val="auto"/>
              </w:rPr>
            </w:pPr>
            <w:r>
              <w:rPr>
                <w:rFonts w:ascii="Arial" w:cs="Arial" w:eastAsia="Arial" w:hAnsi="Arial"/>
                <w:sz w:val="18"/>
                <w:szCs w:val="18"/>
                <w:color w:val="auto"/>
              </w:rPr>
              <w:t>Heka Instruments Incorporated</w:t>
            </w:r>
          </w:p>
        </w:tc>
        <w:tc>
          <w:tcPr>
            <w:tcW w:w="5940" w:type="dxa"/>
            <w:vAlign w:val="bottom"/>
          </w:tcPr>
          <w:p>
            <w:pPr>
              <w:ind w:left="320"/>
              <w:spacing w:after="0"/>
              <w:rPr>
                <w:sz w:val="20"/>
                <w:szCs w:val="20"/>
                <w:color w:val="auto"/>
              </w:rPr>
            </w:pPr>
            <w:r>
              <w:rPr>
                <w:rFonts w:ascii="Arial" w:cs="Arial" w:eastAsia="Arial" w:hAnsi="Arial"/>
                <w:sz w:val="18"/>
                <w:szCs w:val="18"/>
                <w:color w:val="auto"/>
              </w:rPr>
              <w:t>New York, United States</w:t>
            </w:r>
          </w:p>
        </w:tc>
      </w:tr>
      <w:tr>
        <w:trPr>
          <w:trHeight w:val="216"/>
        </w:trPr>
        <w:tc>
          <w:tcPr>
            <w:tcW w:w="5300" w:type="dxa"/>
            <w:vAlign w:val="bottom"/>
          </w:tcPr>
          <w:p>
            <w:pPr>
              <w:spacing w:after="0"/>
              <w:rPr>
                <w:sz w:val="20"/>
                <w:szCs w:val="20"/>
                <w:color w:val="auto"/>
              </w:rPr>
            </w:pPr>
            <w:r>
              <w:rPr>
                <w:rFonts w:ascii="Arial" w:cs="Arial" w:eastAsia="Arial" w:hAnsi="Arial"/>
                <w:sz w:val="18"/>
                <w:szCs w:val="18"/>
                <w:color w:val="auto"/>
              </w:rPr>
              <w:t>Hoefer, Inc.</w:t>
            </w:r>
          </w:p>
        </w:tc>
        <w:tc>
          <w:tcPr>
            <w:tcW w:w="5940" w:type="dxa"/>
            <w:vAlign w:val="bottom"/>
          </w:tcPr>
          <w:p>
            <w:pPr>
              <w:ind w:left="320"/>
              <w:spacing w:after="0"/>
              <w:rPr>
                <w:sz w:val="20"/>
                <w:szCs w:val="20"/>
                <w:color w:val="auto"/>
              </w:rPr>
            </w:pPr>
            <w:r>
              <w:rPr>
                <w:rFonts w:ascii="Arial" w:cs="Arial" w:eastAsia="Arial" w:hAnsi="Arial"/>
                <w:sz w:val="18"/>
                <w:szCs w:val="18"/>
                <w:color w:val="auto"/>
              </w:rPr>
              <w:t>Delaware, United States</w:t>
            </w:r>
          </w:p>
        </w:tc>
      </w:tr>
      <w:tr>
        <w:trPr>
          <w:trHeight w:val="216"/>
        </w:trPr>
        <w:tc>
          <w:tcPr>
            <w:tcW w:w="5300" w:type="dxa"/>
            <w:vAlign w:val="bottom"/>
          </w:tcPr>
          <w:p>
            <w:pPr>
              <w:spacing w:after="0"/>
              <w:rPr>
                <w:sz w:val="20"/>
                <w:szCs w:val="20"/>
                <w:color w:val="auto"/>
              </w:rPr>
            </w:pPr>
            <w:r>
              <w:rPr>
                <w:rFonts w:ascii="Arial" w:cs="Arial" w:eastAsia="Arial" w:hAnsi="Arial"/>
                <w:sz w:val="18"/>
                <w:szCs w:val="18"/>
                <w:color w:val="auto"/>
              </w:rPr>
              <w:t>Hugo Sachs Elektronik - Harvard Apparatus GmbH</w:t>
            </w:r>
          </w:p>
        </w:tc>
        <w:tc>
          <w:tcPr>
            <w:tcW w:w="5940" w:type="dxa"/>
            <w:vAlign w:val="bottom"/>
          </w:tcPr>
          <w:p>
            <w:pPr>
              <w:ind w:left="320"/>
              <w:spacing w:after="0"/>
              <w:rPr>
                <w:sz w:val="20"/>
                <w:szCs w:val="20"/>
                <w:color w:val="auto"/>
              </w:rPr>
            </w:pPr>
            <w:r>
              <w:rPr>
                <w:rFonts w:ascii="Arial" w:cs="Arial" w:eastAsia="Arial" w:hAnsi="Arial"/>
                <w:sz w:val="18"/>
                <w:szCs w:val="18"/>
                <w:color w:val="auto"/>
              </w:rPr>
              <w:t>Germany</w:t>
            </w:r>
          </w:p>
        </w:tc>
      </w:tr>
      <w:tr>
        <w:trPr>
          <w:trHeight w:val="216"/>
        </w:trPr>
        <w:tc>
          <w:tcPr>
            <w:tcW w:w="5300" w:type="dxa"/>
            <w:vAlign w:val="bottom"/>
          </w:tcPr>
          <w:p>
            <w:pPr>
              <w:spacing w:after="0"/>
              <w:rPr>
                <w:sz w:val="20"/>
                <w:szCs w:val="20"/>
                <w:color w:val="auto"/>
              </w:rPr>
            </w:pPr>
            <w:r>
              <w:rPr>
                <w:rFonts w:ascii="Arial" w:cs="Arial" w:eastAsia="Arial" w:hAnsi="Arial"/>
                <w:sz w:val="18"/>
                <w:szCs w:val="18"/>
                <w:color w:val="auto"/>
              </w:rPr>
              <w:t>KD Scientific, Inc.</w:t>
            </w:r>
          </w:p>
        </w:tc>
        <w:tc>
          <w:tcPr>
            <w:tcW w:w="5940" w:type="dxa"/>
            <w:vAlign w:val="bottom"/>
          </w:tcPr>
          <w:p>
            <w:pPr>
              <w:ind w:left="320"/>
              <w:spacing w:after="0"/>
              <w:rPr>
                <w:sz w:val="20"/>
                <w:szCs w:val="20"/>
                <w:color w:val="auto"/>
              </w:rPr>
            </w:pPr>
            <w:r>
              <w:rPr>
                <w:rFonts w:ascii="Arial" w:cs="Arial" w:eastAsia="Arial" w:hAnsi="Arial"/>
                <w:sz w:val="18"/>
                <w:szCs w:val="18"/>
                <w:color w:val="auto"/>
              </w:rPr>
              <w:t>Massachusetts, United States</w:t>
            </w:r>
          </w:p>
        </w:tc>
      </w:tr>
      <w:tr>
        <w:trPr>
          <w:trHeight w:val="216"/>
        </w:trPr>
        <w:tc>
          <w:tcPr>
            <w:tcW w:w="5300" w:type="dxa"/>
            <w:vAlign w:val="bottom"/>
          </w:tcPr>
          <w:p>
            <w:pPr>
              <w:spacing w:after="0"/>
              <w:rPr>
                <w:sz w:val="20"/>
                <w:szCs w:val="20"/>
                <w:color w:val="auto"/>
              </w:rPr>
            </w:pPr>
            <w:r>
              <w:rPr>
                <w:rFonts w:ascii="Arial" w:cs="Arial" w:eastAsia="Arial" w:hAnsi="Arial"/>
                <w:sz w:val="18"/>
                <w:szCs w:val="18"/>
                <w:color w:val="auto"/>
              </w:rPr>
              <w:t>Multichannel Systems MCS GmbH</w:t>
            </w:r>
          </w:p>
        </w:tc>
        <w:tc>
          <w:tcPr>
            <w:tcW w:w="5940" w:type="dxa"/>
            <w:vAlign w:val="bottom"/>
          </w:tcPr>
          <w:p>
            <w:pPr>
              <w:ind w:left="320"/>
              <w:spacing w:after="0"/>
              <w:rPr>
                <w:sz w:val="20"/>
                <w:szCs w:val="20"/>
                <w:color w:val="auto"/>
              </w:rPr>
            </w:pPr>
            <w:r>
              <w:rPr>
                <w:rFonts w:ascii="Arial" w:cs="Arial" w:eastAsia="Arial" w:hAnsi="Arial"/>
                <w:sz w:val="18"/>
                <w:szCs w:val="18"/>
                <w:color w:val="auto"/>
              </w:rPr>
              <w:t>Germany</w:t>
            </w:r>
          </w:p>
        </w:tc>
      </w:tr>
      <w:tr>
        <w:trPr>
          <w:trHeight w:val="216"/>
        </w:trPr>
        <w:tc>
          <w:tcPr>
            <w:tcW w:w="5300" w:type="dxa"/>
            <w:vAlign w:val="bottom"/>
          </w:tcPr>
          <w:p>
            <w:pPr>
              <w:spacing w:after="0"/>
              <w:rPr>
                <w:sz w:val="20"/>
                <w:szCs w:val="20"/>
                <w:color w:val="auto"/>
              </w:rPr>
            </w:pPr>
            <w:r>
              <w:rPr>
                <w:rFonts w:ascii="Arial" w:cs="Arial" w:eastAsia="Arial" w:hAnsi="Arial"/>
                <w:sz w:val="18"/>
                <w:szCs w:val="18"/>
                <w:color w:val="auto"/>
              </w:rPr>
              <w:t>Panlab S.L.</w:t>
            </w:r>
          </w:p>
        </w:tc>
        <w:tc>
          <w:tcPr>
            <w:tcW w:w="5940" w:type="dxa"/>
            <w:vAlign w:val="bottom"/>
          </w:tcPr>
          <w:p>
            <w:pPr>
              <w:ind w:left="320"/>
              <w:spacing w:after="0"/>
              <w:rPr>
                <w:sz w:val="20"/>
                <w:szCs w:val="20"/>
                <w:color w:val="auto"/>
              </w:rPr>
            </w:pPr>
            <w:r>
              <w:rPr>
                <w:rFonts w:ascii="Arial" w:cs="Arial" w:eastAsia="Arial" w:hAnsi="Arial"/>
                <w:sz w:val="18"/>
                <w:szCs w:val="18"/>
                <w:color w:val="auto"/>
              </w:rPr>
              <w:t>Spain</w:t>
            </w:r>
          </w:p>
        </w:tc>
      </w:tr>
      <w:tr>
        <w:trPr>
          <w:trHeight w:val="216"/>
        </w:trPr>
        <w:tc>
          <w:tcPr>
            <w:tcW w:w="5300" w:type="dxa"/>
            <w:vAlign w:val="bottom"/>
          </w:tcPr>
          <w:p>
            <w:pPr>
              <w:spacing w:after="0"/>
              <w:rPr>
                <w:sz w:val="20"/>
                <w:szCs w:val="20"/>
                <w:color w:val="auto"/>
              </w:rPr>
            </w:pPr>
            <w:r>
              <w:rPr>
                <w:rFonts w:ascii="Arial" w:cs="Arial" w:eastAsia="Arial" w:hAnsi="Arial"/>
                <w:sz w:val="18"/>
                <w:szCs w:val="18"/>
                <w:color w:val="auto"/>
              </w:rPr>
              <w:t>Scie-Plas Ltd.</w:t>
            </w:r>
          </w:p>
        </w:tc>
        <w:tc>
          <w:tcPr>
            <w:tcW w:w="5940" w:type="dxa"/>
            <w:vAlign w:val="bottom"/>
          </w:tcPr>
          <w:p>
            <w:pPr>
              <w:ind w:left="320"/>
              <w:spacing w:after="0"/>
              <w:rPr>
                <w:sz w:val="20"/>
                <w:szCs w:val="20"/>
                <w:color w:val="auto"/>
              </w:rPr>
            </w:pPr>
            <w:r>
              <w:rPr>
                <w:rFonts w:ascii="Arial" w:cs="Arial" w:eastAsia="Arial" w:hAnsi="Arial"/>
                <w:sz w:val="18"/>
                <w:szCs w:val="18"/>
                <w:color w:val="auto"/>
              </w:rPr>
              <w:t>United Kingdom</w:t>
            </w:r>
          </w:p>
        </w:tc>
      </w:tr>
      <w:tr>
        <w:trPr>
          <w:trHeight w:val="216"/>
        </w:trPr>
        <w:tc>
          <w:tcPr>
            <w:tcW w:w="5300" w:type="dxa"/>
            <w:vAlign w:val="bottom"/>
          </w:tcPr>
          <w:p>
            <w:pPr>
              <w:spacing w:after="0"/>
              <w:rPr>
                <w:sz w:val="20"/>
                <w:szCs w:val="20"/>
                <w:color w:val="auto"/>
              </w:rPr>
            </w:pPr>
            <w:r>
              <w:rPr>
                <w:rFonts w:ascii="Arial" w:cs="Arial" w:eastAsia="Arial" w:hAnsi="Arial"/>
                <w:sz w:val="18"/>
                <w:szCs w:val="18"/>
                <w:color w:val="auto"/>
              </w:rPr>
              <w:t>Triangle Biosystems, Inc.</w:t>
            </w:r>
          </w:p>
        </w:tc>
        <w:tc>
          <w:tcPr>
            <w:tcW w:w="5940" w:type="dxa"/>
            <w:vAlign w:val="bottom"/>
          </w:tcPr>
          <w:p>
            <w:pPr>
              <w:ind w:left="320"/>
              <w:spacing w:after="0"/>
              <w:rPr>
                <w:sz w:val="20"/>
                <w:szCs w:val="20"/>
                <w:color w:val="auto"/>
              </w:rPr>
            </w:pPr>
            <w:r>
              <w:rPr>
                <w:rFonts w:ascii="Arial" w:cs="Arial" w:eastAsia="Arial" w:hAnsi="Arial"/>
                <w:sz w:val="18"/>
                <w:szCs w:val="18"/>
                <w:color w:val="auto"/>
              </w:rPr>
              <w:t>Delaware, United States</w:t>
            </w:r>
          </w:p>
        </w:tc>
      </w:tr>
      <w:tr>
        <w:trPr>
          <w:trHeight w:val="216"/>
        </w:trPr>
        <w:tc>
          <w:tcPr>
            <w:tcW w:w="5300" w:type="dxa"/>
            <w:vAlign w:val="bottom"/>
          </w:tcPr>
          <w:p>
            <w:pPr>
              <w:spacing w:after="0"/>
              <w:rPr>
                <w:sz w:val="20"/>
                <w:szCs w:val="20"/>
                <w:color w:val="auto"/>
              </w:rPr>
            </w:pPr>
            <w:r>
              <w:rPr>
                <w:rFonts w:ascii="Arial" w:cs="Arial" w:eastAsia="Arial" w:hAnsi="Arial"/>
                <w:sz w:val="18"/>
                <w:szCs w:val="18"/>
                <w:color w:val="auto"/>
              </w:rPr>
              <w:t>Walden Precision Apparatus Ltd.</w:t>
            </w:r>
          </w:p>
        </w:tc>
        <w:tc>
          <w:tcPr>
            <w:tcW w:w="5940" w:type="dxa"/>
            <w:vAlign w:val="bottom"/>
          </w:tcPr>
          <w:p>
            <w:pPr>
              <w:ind w:left="320"/>
              <w:spacing w:after="0"/>
              <w:rPr>
                <w:sz w:val="20"/>
                <w:szCs w:val="20"/>
                <w:color w:val="auto"/>
              </w:rPr>
            </w:pPr>
            <w:r>
              <w:rPr>
                <w:rFonts w:ascii="Arial" w:cs="Arial" w:eastAsia="Arial" w:hAnsi="Arial"/>
                <w:sz w:val="18"/>
                <w:szCs w:val="18"/>
                <w:color w:val="auto"/>
              </w:rPr>
              <w:t>United Kingdom</w:t>
            </w:r>
          </w:p>
        </w:tc>
      </w:tr>
      <w:tr>
        <w:trPr>
          <w:trHeight w:val="230"/>
        </w:trPr>
        <w:tc>
          <w:tcPr>
            <w:tcW w:w="5300" w:type="dxa"/>
            <w:vAlign w:val="bottom"/>
          </w:tcPr>
          <w:p>
            <w:pPr>
              <w:spacing w:after="0"/>
              <w:rPr>
                <w:sz w:val="20"/>
                <w:szCs w:val="20"/>
                <w:color w:val="auto"/>
              </w:rPr>
            </w:pPr>
            <w:r>
              <w:rPr>
                <w:rFonts w:ascii="Arial" w:cs="Arial" w:eastAsia="Arial" w:hAnsi="Arial"/>
                <w:sz w:val="18"/>
                <w:szCs w:val="18"/>
                <w:color w:val="auto"/>
              </w:rPr>
              <w:t>Warner Instruments LLC</w:t>
            </w:r>
          </w:p>
        </w:tc>
        <w:tc>
          <w:tcPr>
            <w:tcW w:w="5940" w:type="dxa"/>
            <w:vAlign w:val="bottom"/>
          </w:tcPr>
          <w:p>
            <w:pPr>
              <w:ind w:left="320"/>
              <w:spacing w:after="0"/>
              <w:rPr>
                <w:sz w:val="20"/>
                <w:szCs w:val="20"/>
                <w:color w:val="auto"/>
              </w:rPr>
            </w:pPr>
            <w:r>
              <w:rPr>
                <w:rFonts w:ascii="Arial" w:cs="Arial" w:eastAsia="Arial" w:hAnsi="Arial"/>
                <w:sz w:val="18"/>
                <w:szCs w:val="18"/>
                <w:color w:val="auto"/>
              </w:rPr>
              <w:t>Delaware, United States</w:t>
            </w:r>
          </w:p>
        </w:tc>
      </w:tr>
    </w:tbl>
    <w:p>
      <w:pPr>
        <w:sectPr>
          <w:pgSz w:w="11900" w:h="16838" w:orient="portrait"/>
          <w:cols w:equalWidth="0" w:num="1">
            <w:col w:w="11240"/>
          </w:cols>
          <w:pgMar w:left="320" w:top="121" w:right="339" w:bottom="1440" w:gutter="0" w:footer="0" w:header="0"/>
        </w:sectPr>
      </w:pPr>
    </w:p>
    <w:bookmarkStart w:id="78" w:name="page79"/>
    <w:bookmarkEnd w:id="78"/>
    <w:p>
      <w:pPr>
        <w:jc w:val="right"/>
        <w:spacing w:after="0"/>
        <w:rPr>
          <w:sz w:val="20"/>
          <w:szCs w:val="20"/>
          <w:color w:val="auto"/>
        </w:rPr>
      </w:pPr>
      <w:r>
        <w:rPr>
          <w:rFonts w:ascii="Arial" w:cs="Arial" w:eastAsia="Arial" w:hAnsi="Arial"/>
          <w:sz w:val="18"/>
          <w:szCs w:val="18"/>
          <w:b w:val="1"/>
          <w:bCs w:val="1"/>
          <w:color w:val="auto"/>
        </w:rPr>
        <w:t>EXHIBIT 23.1</w:t>
      </w:r>
    </w:p>
    <w:p>
      <w:pPr>
        <w:spacing w:after="0" w:line="225" w:lineRule="exact"/>
        <w:rPr>
          <w:sz w:val="20"/>
          <w:szCs w:val="20"/>
          <w:color w:val="auto"/>
        </w:rPr>
      </w:pPr>
    </w:p>
    <w:p>
      <w:pPr>
        <w:jc w:val="center"/>
        <w:ind w:right="-159"/>
        <w:spacing w:after="0"/>
        <w:rPr>
          <w:sz w:val="20"/>
          <w:szCs w:val="20"/>
          <w:color w:val="auto"/>
        </w:rPr>
      </w:pPr>
      <w:r>
        <w:rPr>
          <w:rFonts w:ascii="Arial" w:cs="Arial" w:eastAsia="Arial" w:hAnsi="Arial"/>
          <w:sz w:val="18"/>
          <w:szCs w:val="18"/>
          <w:b w:val="1"/>
          <w:bCs w:val="1"/>
          <w:color w:val="auto"/>
        </w:rPr>
        <w:t>CONSENT OF INDEPENDENT REGISTERED PUBLIC ACCOUNTING FIRM</w:t>
      </w:r>
    </w:p>
    <w:p>
      <w:pPr>
        <w:spacing w:after="0" w:line="200" w:lineRule="exact"/>
        <w:rPr>
          <w:sz w:val="20"/>
          <w:szCs w:val="20"/>
          <w:color w:val="auto"/>
        </w:rPr>
      </w:pPr>
    </w:p>
    <w:p>
      <w:pPr>
        <w:spacing w:after="0" w:line="245" w:lineRule="exact"/>
        <w:rPr>
          <w:sz w:val="20"/>
          <w:szCs w:val="20"/>
          <w:color w:val="auto"/>
        </w:rPr>
      </w:pPr>
    </w:p>
    <w:p>
      <w:pPr>
        <w:ind w:right="60"/>
        <w:spacing w:after="0" w:line="257" w:lineRule="auto"/>
        <w:rPr>
          <w:sz w:val="20"/>
          <w:szCs w:val="20"/>
          <w:color w:val="auto"/>
        </w:rPr>
      </w:pPr>
      <w:r>
        <w:rPr>
          <w:rFonts w:ascii="Arial" w:cs="Arial" w:eastAsia="Arial" w:hAnsi="Arial"/>
          <w:sz w:val="18"/>
          <w:szCs w:val="18"/>
          <w:color w:val="auto"/>
        </w:rPr>
        <w:t>We have issued our reports dated March 11, 2022, with respect to the consolidated financial statements and internal control over financial reporting included in the Annual Report of Harvard Bioscience, Inc. on Form 10-K for the year ended December 31, 2021. We consent to the incorporation by reference of said reports in the Registration Statements of Harvard Bioscience, Inc. on Forms S-8 (File No. 333-249943, File No. 333-53848, File No. 333-104544, File No. 333-135418, File No. 333-151003, File No. 333-174476, File No. 333-189175, File No. 333-204760, File No. 333-218497, File No. 333-225365, File No. 333-231825 and File No. 333-256295).</w:t>
      </w:r>
    </w:p>
    <w:p>
      <w:pPr>
        <w:spacing w:after="0" w:line="200" w:lineRule="exact"/>
        <w:rPr>
          <w:sz w:val="20"/>
          <w:szCs w:val="20"/>
          <w:color w:val="auto"/>
        </w:rPr>
      </w:pPr>
    </w:p>
    <w:p>
      <w:pPr>
        <w:spacing w:after="0" w:line="204" w:lineRule="exact"/>
        <w:rPr>
          <w:sz w:val="20"/>
          <w:szCs w:val="20"/>
          <w:color w:val="auto"/>
        </w:rPr>
      </w:pPr>
    </w:p>
    <w:p>
      <w:pPr>
        <w:spacing w:after="0"/>
        <w:rPr>
          <w:sz w:val="20"/>
          <w:szCs w:val="20"/>
          <w:color w:val="auto"/>
        </w:rPr>
      </w:pPr>
      <w:r>
        <w:rPr>
          <w:rFonts w:ascii="Arial" w:cs="Arial" w:eastAsia="Arial" w:hAnsi="Arial"/>
          <w:sz w:val="18"/>
          <w:szCs w:val="18"/>
          <w:color w:val="auto"/>
        </w:rPr>
        <w:t>/s/ GRANT THORNTON LLP</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Boston, Massachusetts</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March 11, 2022</w:t>
      </w:r>
    </w:p>
    <w:p>
      <w:pPr>
        <w:sectPr>
          <w:pgSz w:w="11900" w:h="16838" w:orient="portrait"/>
          <w:cols w:equalWidth="0" w:num="1">
            <w:col w:w="11240"/>
          </w:cols>
          <w:pgMar w:left="320" w:top="121" w:right="339" w:bottom="1440" w:gutter="0" w:footer="0" w:header="0"/>
        </w:sectPr>
      </w:pPr>
    </w:p>
    <w:bookmarkStart w:id="79" w:name="page80"/>
    <w:bookmarkEnd w:id="79"/>
    <w:p>
      <w:pPr>
        <w:jc w:val="right"/>
        <w:spacing w:after="0"/>
        <w:rPr>
          <w:sz w:val="20"/>
          <w:szCs w:val="20"/>
          <w:color w:val="auto"/>
        </w:rPr>
      </w:pPr>
      <w:r>
        <w:rPr>
          <w:rFonts w:ascii="Arial" w:cs="Arial" w:eastAsia="Arial" w:hAnsi="Arial"/>
          <w:sz w:val="18"/>
          <w:szCs w:val="18"/>
          <w:b w:val="1"/>
          <w:bCs w:val="1"/>
          <w:color w:val="auto"/>
        </w:rPr>
        <w:t>EXHIBIT 31.1</w:t>
      </w:r>
    </w:p>
    <w:p>
      <w:pPr>
        <w:spacing w:after="0" w:line="225" w:lineRule="exact"/>
        <w:rPr>
          <w:sz w:val="20"/>
          <w:szCs w:val="20"/>
          <w:color w:val="auto"/>
        </w:rPr>
      </w:pPr>
    </w:p>
    <w:p>
      <w:pPr>
        <w:jc w:val="center"/>
        <w:ind w:right="-159"/>
        <w:spacing w:after="0"/>
        <w:rPr>
          <w:sz w:val="20"/>
          <w:szCs w:val="20"/>
          <w:color w:val="auto"/>
        </w:rPr>
      </w:pPr>
      <w:r>
        <w:rPr>
          <w:rFonts w:ascii="Arial" w:cs="Arial" w:eastAsia="Arial" w:hAnsi="Arial"/>
          <w:sz w:val="18"/>
          <w:szCs w:val="18"/>
          <w:b w:val="1"/>
          <w:bCs w:val="1"/>
          <w:color w:val="auto"/>
        </w:rPr>
        <w:t>Certification</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color w:val="auto"/>
        </w:rPr>
        <w:t>I, Michael A. Rossi, certify that:</w:t>
      </w:r>
    </w:p>
    <w:p>
      <w:pPr>
        <w:spacing w:after="0" w:line="211" w:lineRule="exact"/>
        <w:rPr>
          <w:sz w:val="20"/>
          <w:szCs w:val="20"/>
          <w:color w:val="auto"/>
        </w:rPr>
      </w:pPr>
    </w:p>
    <w:p>
      <w:pPr>
        <w:ind w:left="1300" w:hanging="644"/>
        <w:spacing w:after="0"/>
        <w:tabs>
          <w:tab w:leader="none" w:pos="1300" w:val="left"/>
        </w:tabs>
        <w:numPr>
          <w:ilvl w:val="0"/>
          <w:numId w:val="45"/>
        </w:numPr>
        <w:rPr>
          <w:rFonts w:ascii="Arial" w:cs="Arial" w:eastAsia="Arial" w:hAnsi="Arial"/>
          <w:sz w:val="18"/>
          <w:szCs w:val="18"/>
          <w:color w:val="auto"/>
        </w:rPr>
      </w:pPr>
      <w:r>
        <w:rPr>
          <w:rFonts w:ascii="Arial" w:cs="Arial" w:eastAsia="Arial" w:hAnsi="Arial"/>
          <w:sz w:val="18"/>
          <w:szCs w:val="18"/>
          <w:color w:val="auto"/>
        </w:rPr>
        <w:t>I have reviewed this annual report on Form 10-K of Harvard Bioscience, Inc.;</w:t>
      </w:r>
    </w:p>
    <w:p>
      <w:pPr>
        <w:spacing w:after="0" w:line="252" w:lineRule="exact"/>
        <w:rPr>
          <w:rFonts w:ascii="Arial" w:cs="Arial" w:eastAsia="Arial" w:hAnsi="Arial"/>
          <w:sz w:val="18"/>
          <w:szCs w:val="18"/>
          <w:color w:val="auto"/>
        </w:rPr>
      </w:pPr>
    </w:p>
    <w:p>
      <w:pPr>
        <w:ind w:left="1300" w:right="160" w:hanging="644"/>
        <w:spacing w:after="0" w:line="263" w:lineRule="auto"/>
        <w:tabs>
          <w:tab w:leader="none" w:pos="1300" w:val="left"/>
        </w:tabs>
        <w:numPr>
          <w:ilvl w:val="0"/>
          <w:numId w:val="45"/>
        </w:numPr>
        <w:rPr>
          <w:rFonts w:ascii="Arial" w:cs="Arial" w:eastAsia="Arial" w:hAnsi="Arial"/>
          <w:sz w:val="18"/>
          <w:szCs w:val="18"/>
          <w:color w:val="auto"/>
        </w:rPr>
      </w:pPr>
      <w:r>
        <w:rPr>
          <w:rFonts w:ascii="Arial" w:cs="Arial" w:eastAsia="Arial" w:hAnsi="Arial"/>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83" w:lineRule="exact"/>
        <w:rPr>
          <w:rFonts w:ascii="Arial" w:cs="Arial" w:eastAsia="Arial" w:hAnsi="Arial"/>
          <w:sz w:val="18"/>
          <w:szCs w:val="18"/>
          <w:color w:val="auto"/>
        </w:rPr>
      </w:pPr>
    </w:p>
    <w:p>
      <w:pPr>
        <w:ind w:left="1300" w:right="220" w:hanging="644"/>
        <w:spacing w:after="0" w:line="342" w:lineRule="auto"/>
        <w:tabs>
          <w:tab w:leader="none" w:pos="1300" w:val="left"/>
        </w:tabs>
        <w:numPr>
          <w:ilvl w:val="0"/>
          <w:numId w:val="45"/>
        </w:numPr>
        <w:rPr>
          <w:rFonts w:ascii="Arial" w:cs="Arial" w:eastAsia="Arial" w:hAnsi="Arial"/>
          <w:sz w:val="16"/>
          <w:szCs w:val="16"/>
          <w:color w:val="auto"/>
        </w:rPr>
      </w:pPr>
      <w:r>
        <w:rPr>
          <w:rFonts w:ascii="Arial" w:cs="Arial" w:eastAsia="Arial" w:hAnsi="Arial"/>
          <w:sz w:val="16"/>
          <w:szCs w:val="16"/>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23" w:lineRule="exact"/>
        <w:rPr>
          <w:rFonts w:ascii="Arial" w:cs="Arial" w:eastAsia="Arial" w:hAnsi="Arial"/>
          <w:sz w:val="16"/>
          <w:szCs w:val="16"/>
          <w:color w:val="auto"/>
        </w:rPr>
      </w:pPr>
    </w:p>
    <w:p>
      <w:pPr>
        <w:ind w:left="1300" w:right="100" w:hanging="644"/>
        <w:spacing w:after="0" w:line="291" w:lineRule="auto"/>
        <w:tabs>
          <w:tab w:leader="none" w:pos="1300" w:val="left"/>
        </w:tabs>
        <w:numPr>
          <w:ilvl w:val="0"/>
          <w:numId w:val="45"/>
        </w:numPr>
        <w:rPr>
          <w:rFonts w:ascii="Arial" w:cs="Arial" w:eastAsia="Arial" w:hAnsi="Arial"/>
          <w:sz w:val="16"/>
          <w:szCs w:val="16"/>
          <w:color w:val="auto"/>
        </w:rPr>
      </w:pPr>
      <w:r>
        <w:rPr>
          <w:rFonts w:ascii="Arial" w:cs="Arial" w:eastAsia="Arial" w:hAnsi="Arial"/>
          <w:sz w:val="16"/>
          <w:szCs w:val="16"/>
          <w:color w:val="auto"/>
        </w:rPr>
        <w:t>The registrant’s other certifying officer(s) and I are responsible for establishing and maintaining disclosure controls and procedures (as defined in Exchange Act Rules 13a-15(e) and 15d-15(e)) and internal control over financial reporting (as defined in Exchange Act Rules</w:t>
      </w:r>
    </w:p>
    <w:p>
      <w:pPr>
        <w:ind w:left="1300"/>
        <w:spacing w:after="0"/>
        <w:rPr>
          <w:rFonts w:ascii="Arial" w:cs="Arial" w:eastAsia="Arial" w:hAnsi="Arial"/>
          <w:sz w:val="16"/>
          <w:szCs w:val="16"/>
          <w:color w:val="auto"/>
        </w:rPr>
      </w:pPr>
      <w:r>
        <w:rPr>
          <w:rFonts w:ascii="Arial" w:cs="Arial" w:eastAsia="Arial" w:hAnsi="Arial"/>
          <w:sz w:val="18"/>
          <w:szCs w:val="18"/>
          <w:color w:val="auto"/>
        </w:rPr>
        <w:t>13a-15(f) and 15d-15(f)) for the registrant and have:</w:t>
      </w:r>
    </w:p>
    <w:p>
      <w:pPr>
        <w:spacing w:after="0" w:line="210" w:lineRule="exact"/>
        <w:rPr>
          <w:rFonts w:ascii="Arial" w:cs="Arial" w:eastAsia="Arial" w:hAnsi="Arial"/>
          <w:sz w:val="16"/>
          <w:szCs w:val="16"/>
          <w:color w:val="auto"/>
        </w:rPr>
      </w:pPr>
    </w:p>
    <w:p>
      <w:pPr>
        <w:ind w:left="1960" w:right="80" w:hanging="656"/>
        <w:spacing w:after="0" w:line="286" w:lineRule="auto"/>
        <w:tabs>
          <w:tab w:leader="none" w:pos="1960" w:val="left"/>
        </w:tabs>
        <w:numPr>
          <w:ilvl w:val="1"/>
          <w:numId w:val="45"/>
        </w:numPr>
        <w:rPr>
          <w:rFonts w:ascii="Arial" w:cs="Arial" w:eastAsia="Arial" w:hAnsi="Arial"/>
          <w:sz w:val="17"/>
          <w:szCs w:val="17"/>
          <w:color w:val="auto"/>
        </w:rPr>
      </w:pPr>
      <w:r>
        <w:rPr>
          <w:rFonts w:ascii="Arial" w:cs="Arial" w:eastAsia="Arial" w:hAnsi="Arial"/>
          <w:sz w:val="17"/>
          <w:szCs w:val="17"/>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65" w:lineRule="exact"/>
        <w:rPr>
          <w:rFonts w:ascii="Arial" w:cs="Arial" w:eastAsia="Arial" w:hAnsi="Arial"/>
          <w:sz w:val="17"/>
          <w:szCs w:val="17"/>
          <w:color w:val="auto"/>
        </w:rPr>
      </w:pPr>
    </w:p>
    <w:p>
      <w:pPr>
        <w:ind w:left="1960" w:right="220" w:hanging="656"/>
        <w:spacing w:after="0" w:line="286" w:lineRule="auto"/>
        <w:tabs>
          <w:tab w:leader="none" w:pos="1960" w:val="left"/>
        </w:tabs>
        <w:numPr>
          <w:ilvl w:val="1"/>
          <w:numId w:val="45"/>
        </w:numPr>
        <w:rPr>
          <w:rFonts w:ascii="Arial" w:cs="Arial" w:eastAsia="Arial" w:hAnsi="Arial"/>
          <w:sz w:val="17"/>
          <w:szCs w:val="17"/>
          <w:color w:val="auto"/>
        </w:rPr>
      </w:pPr>
      <w:r>
        <w:rPr>
          <w:rFonts w:ascii="Arial" w:cs="Arial" w:eastAsia="Arial" w:hAnsi="Arial"/>
          <w:sz w:val="17"/>
          <w:szCs w:val="17"/>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65" w:lineRule="exact"/>
        <w:rPr>
          <w:rFonts w:ascii="Arial" w:cs="Arial" w:eastAsia="Arial" w:hAnsi="Arial"/>
          <w:sz w:val="17"/>
          <w:szCs w:val="17"/>
          <w:color w:val="auto"/>
        </w:rPr>
      </w:pPr>
    </w:p>
    <w:p>
      <w:pPr>
        <w:ind w:left="1960" w:hanging="656"/>
        <w:spacing w:after="0" w:line="263" w:lineRule="auto"/>
        <w:tabs>
          <w:tab w:leader="none" w:pos="1960" w:val="left"/>
        </w:tabs>
        <w:numPr>
          <w:ilvl w:val="1"/>
          <w:numId w:val="45"/>
        </w:numPr>
        <w:rPr>
          <w:rFonts w:ascii="Arial" w:cs="Arial" w:eastAsia="Arial" w:hAnsi="Arial"/>
          <w:sz w:val="18"/>
          <w:szCs w:val="18"/>
          <w:color w:val="auto"/>
        </w:rPr>
      </w:pPr>
      <w:r>
        <w:rPr>
          <w:rFonts w:ascii="Arial" w:cs="Arial" w:eastAsia="Arial" w:hAnsi="Arial"/>
          <w:sz w:val="18"/>
          <w:szCs w:val="18"/>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83" w:lineRule="exact"/>
        <w:rPr>
          <w:rFonts w:ascii="Arial" w:cs="Arial" w:eastAsia="Arial" w:hAnsi="Arial"/>
          <w:sz w:val="18"/>
          <w:szCs w:val="18"/>
          <w:color w:val="auto"/>
        </w:rPr>
      </w:pPr>
    </w:p>
    <w:p>
      <w:pPr>
        <w:ind w:left="1960" w:right="320" w:hanging="656"/>
        <w:spacing w:after="0" w:line="311" w:lineRule="auto"/>
        <w:tabs>
          <w:tab w:leader="none" w:pos="1960" w:val="left"/>
        </w:tabs>
        <w:numPr>
          <w:ilvl w:val="1"/>
          <w:numId w:val="45"/>
        </w:numPr>
        <w:rPr>
          <w:rFonts w:ascii="Arial" w:cs="Arial" w:eastAsia="Arial" w:hAnsi="Arial"/>
          <w:sz w:val="16"/>
          <w:szCs w:val="16"/>
          <w:color w:val="auto"/>
        </w:rPr>
      </w:pPr>
      <w:r>
        <w:rPr>
          <w:rFonts w:ascii="Arial" w:cs="Arial" w:eastAsia="Arial" w:hAnsi="Arial"/>
          <w:sz w:val="16"/>
          <w:szCs w:val="16"/>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48" w:lineRule="exact"/>
        <w:rPr>
          <w:rFonts w:ascii="Arial" w:cs="Arial" w:eastAsia="Arial" w:hAnsi="Arial"/>
          <w:sz w:val="16"/>
          <w:szCs w:val="16"/>
          <w:color w:val="auto"/>
        </w:rPr>
      </w:pPr>
    </w:p>
    <w:p>
      <w:pPr>
        <w:ind w:left="1300" w:right="140" w:hanging="644"/>
        <w:spacing w:after="0" w:line="263" w:lineRule="auto"/>
        <w:tabs>
          <w:tab w:leader="none" w:pos="1300" w:val="left"/>
        </w:tabs>
        <w:numPr>
          <w:ilvl w:val="0"/>
          <w:numId w:val="45"/>
        </w:numPr>
        <w:rPr>
          <w:rFonts w:ascii="Arial" w:cs="Arial" w:eastAsia="Arial" w:hAnsi="Arial"/>
          <w:sz w:val="18"/>
          <w:szCs w:val="18"/>
          <w:color w:val="auto"/>
        </w:rPr>
      </w:pPr>
      <w:r>
        <w:rPr>
          <w:rFonts w:ascii="Arial" w:cs="Arial" w:eastAsia="Arial" w:hAnsi="Arial"/>
          <w:sz w:val="18"/>
          <w:szCs w:val="18"/>
          <w:color w:val="auto"/>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spacing w:after="0" w:line="183" w:lineRule="exact"/>
        <w:rPr>
          <w:rFonts w:ascii="Arial" w:cs="Arial" w:eastAsia="Arial" w:hAnsi="Arial"/>
          <w:sz w:val="18"/>
          <w:szCs w:val="18"/>
          <w:color w:val="auto"/>
        </w:rPr>
      </w:pPr>
    </w:p>
    <w:p>
      <w:pPr>
        <w:ind w:left="1960" w:right="60" w:hanging="656"/>
        <w:spacing w:after="0" w:line="263" w:lineRule="auto"/>
        <w:tabs>
          <w:tab w:leader="none" w:pos="1960" w:val="left"/>
        </w:tabs>
        <w:numPr>
          <w:ilvl w:val="1"/>
          <w:numId w:val="45"/>
        </w:numPr>
        <w:rPr>
          <w:rFonts w:ascii="Arial" w:cs="Arial" w:eastAsia="Arial" w:hAnsi="Arial"/>
          <w:sz w:val="18"/>
          <w:szCs w:val="18"/>
          <w:color w:val="auto"/>
        </w:rPr>
      </w:pPr>
      <w:r>
        <w:rPr>
          <w:rFonts w:ascii="Arial" w:cs="Arial" w:eastAsia="Arial" w:hAnsi="Arial"/>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83" w:lineRule="exact"/>
        <w:rPr>
          <w:rFonts w:ascii="Arial" w:cs="Arial" w:eastAsia="Arial" w:hAnsi="Arial"/>
          <w:sz w:val="18"/>
          <w:szCs w:val="18"/>
          <w:color w:val="auto"/>
        </w:rPr>
      </w:pPr>
    </w:p>
    <w:p>
      <w:pPr>
        <w:ind w:left="1960" w:right="80" w:hanging="656"/>
        <w:spacing w:after="0" w:line="277" w:lineRule="auto"/>
        <w:tabs>
          <w:tab w:leader="none" w:pos="1960" w:val="left"/>
        </w:tabs>
        <w:numPr>
          <w:ilvl w:val="1"/>
          <w:numId w:val="45"/>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170" w:lineRule="exact"/>
        <w:rPr>
          <w:sz w:val="20"/>
          <w:szCs w:val="20"/>
          <w:color w:val="auto"/>
        </w:rPr>
      </w:pPr>
    </w:p>
    <w:tbl>
      <w:tblPr>
        <w:tblLayout w:type="fixed"/>
        <w:tblInd w:w="60" w:type="dxa"/>
        <w:tblCellMar>
          <w:top w:w="0" w:type="dxa"/>
          <w:left w:w="0" w:type="dxa"/>
          <w:bottom w:w="0" w:type="dxa"/>
          <w:right w:w="0" w:type="dxa"/>
        </w:tblCellMar>
      </w:tblPr>
      <w:tr>
        <w:trPr>
          <w:trHeight w:val="230"/>
        </w:trPr>
        <w:tc>
          <w:tcPr>
            <w:tcW w:w="5560" w:type="dxa"/>
            <w:vAlign w:val="bottom"/>
          </w:tcPr>
          <w:p>
            <w:pPr>
              <w:spacing w:after="0"/>
              <w:rPr>
                <w:sz w:val="20"/>
                <w:szCs w:val="20"/>
                <w:color w:val="auto"/>
              </w:rPr>
            </w:pPr>
            <w:r>
              <w:rPr>
                <w:rFonts w:ascii="Arial" w:cs="Arial" w:eastAsia="Arial" w:hAnsi="Arial"/>
                <w:sz w:val="18"/>
                <w:szCs w:val="18"/>
                <w:color w:val="auto"/>
              </w:rPr>
              <w:t>Date: March 11, 2022</w:t>
            </w:r>
          </w:p>
        </w:tc>
        <w:tc>
          <w:tcPr>
            <w:tcW w:w="562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MICHAEL A. ROSSI</w:t>
            </w:r>
          </w:p>
        </w:tc>
      </w:tr>
      <w:tr>
        <w:trPr>
          <w:trHeight w:val="195"/>
        </w:trPr>
        <w:tc>
          <w:tcPr>
            <w:tcW w:w="5560" w:type="dxa"/>
            <w:vAlign w:val="bottom"/>
          </w:tcPr>
          <w:p>
            <w:pPr>
              <w:spacing w:after="0"/>
              <w:rPr>
                <w:sz w:val="16"/>
                <w:szCs w:val="16"/>
                <w:color w:val="auto"/>
              </w:rPr>
            </w:pPr>
          </w:p>
        </w:tc>
        <w:tc>
          <w:tcPr>
            <w:tcW w:w="5620" w:type="dxa"/>
            <w:vAlign w:val="bottom"/>
          </w:tcPr>
          <w:p>
            <w:pPr>
              <w:spacing w:after="0" w:line="195" w:lineRule="exact"/>
              <w:rPr>
                <w:sz w:val="20"/>
                <w:szCs w:val="20"/>
                <w:color w:val="auto"/>
              </w:rPr>
            </w:pPr>
            <w:r>
              <w:rPr>
                <w:rFonts w:ascii="Arial" w:cs="Arial" w:eastAsia="Arial" w:hAnsi="Arial"/>
                <w:sz w:val="18"/>
                <w:szCs w:val="18"/>
                <w:color w:val="auto"/>
              </w:rPr>
              <w:t>Michael A. Rossi</w:t>
            </w:r>
          </w:p>
        </w:tc>
      </w:tr>
      <w:tr>
        <w:trPr>
          <w:trHeight w:val="230"/>
        </w:trPr>
        <w:tc>
          <w:tcPr>
            <w:tcW w:w="5560" w:type="dxa"/>
            <w:vAlign w:val="bottom"/>
          </w:tcPr>
          <w:p>
            <w:pPr>
              <w:spacing w:after="0"/>
              <w:rPr>
                <w:sz w:val="20"/>
                <w:szCs w:val="20"/>
                <w:color w:val="auto"/>
              </w:rPr>
            </w:pPr>
          </w:p>
        </w:tc>
        <w:tc>
          <w:tcPr>
            <w:tcW w:w="5620" w:type="dxa"/>
            <w:vAlign w:val="bottom"/>
          </w:tcPr>
          <w:p>
            <w:pPr>
              <w:spacing w:after="0"/>
              <w:rPr>
                <w:sz w:val="20"/>
                <w:szCs w:val="20"/>
                <w:color w:val="auto"/>
              </w:rPr>
            </w:pPr>
            <w:r>
              <w:rPr>
                <w:rFonts w:ascii="Arial" w:cs="Arial" w:eastAsia="Arial" w:hAnsi="Arial"/>
                <w:sz w:val="18"/>
                <w:szCs w:val="18"/>
                <w:color w:val="auto"/>
              </w:rPr>
              <w:t>Chief Financial Officer</w:t>
            </w:r>
          </w:p>
        </w:tc>
      </w:tr>
    </w:tbl>
    <w:p>
      <w:pPr>
        <w:sectPr>
          <w:pgSz w:w="11900" w:h="16838" w:orient="portrait"/>
          <w:cols w:equalWidth="0" w:num="1">
            <w:col w:w="11240"/>
          </w:cols>
          <w:pgMar w:left="320" w:top="121" w:right="339" w:bottom="1440" w:gutter="0" w:footer="0" w:header="0"/>
        </w:sectPr>
      </w:pPr>
    </w:p>
    <w:bookmarkStart w:id="80" w:name="page81"/>
    <w:bookmarkEnd w:id="80"/>
    <w:p>
      <w:pPr>
        <w:jc w:val="right"/>
        <w:spacing w:after="0"/>
        <w:rPr>
          <w:sz w:val="20"/>
          <w:szCs w:val="20"/>
          <w:color w:val="auto"/>
        </w:rPr>
      </w:pPr>
      <w:r>
        <w:rPr>
          <w:rFonts w:ascii="Arial" w:cs="Arial" w:eastAsia="Arial" w:hAnsi="Arial"/>
          <w:sz w:val="18"/>
          <w:szCs w:val="18"/>
          <w:b w:val="1"/>
          <w:bCs w:val="1"/>
          <w:color w:val="auto"/>
        </w:rPr>
        <w:t>EXHIBIT 31.2</w:t>
      </w:r>
    </w:p>
    <w:p>
      <w:pPr>
        <w:spacing w:after="0" w:line="225" w:lineRule="exact"/>
        <w:rPr>
          <w:sz w:val="20"/>
          <w:szCs w:val="20"/>
          <w:color w:val="auto"/>
        </w:rPr>
      </w:pPr>
    </w:p>
    <w:p>
      <w:pPr>
        <w:jc w:val="center"/>
        <w:ind w:right="-159"/>
        <w:spacing w:after="0"/>
        <w:rPr>
          <w:sz w:val="20"/>
          <w:szCs w:val="20"/>
          <w:color w:val="auto"/>
        </w:rPr>
      </w:pPr>
      <w:r>
        <w:rPr>
          <w:rFonts w:ascii="Arial" w:cs="Arial" w:eastAsia="Arial" w:hAnsi="Arial"/>
          <w:sz w:val="18"/>
          <w:szCs w:val="18"/>
          <w:b w:val="1"/>
          <w:bCs w:val="1"/>
          <w:color w:val="auto"/>
        </w:rPr>
        <w:t>Certification</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I, James Green, certify that:</w:t>
      </w:r>
    </w:p>
    <w:p>
      <w:pPr>
        <w:spacing w:after="0" w:line="225" w:lineRule="exact"/>
        <w:rPr>
          <w:sz w:val="20"/>
          <w:szCs w:val="20"/>
          <w:color w:val="auto"/>
        </w:rPr>
      </w:pPr>
    </w:p>
    <w:p>
      <w:pPr>
        <w:ind w:left="1300" w:hanging="644"/>
        <w:spacing w:after="0"/>
        <w:tabs>
          <w:tab w:leader="none" w:pos="1300" w:val="left"/>
        </w:tabs>
        <w:numPr>
          <w:ilvl w:val="0"/>
          <w:numId w:val="46"/>
        </w:numPr>
        <w:rPr>
          <w:rFonts w:ascii="Arial" w:cs="Arial" w:eastAsia="Arial" w:hAnsi="Arial"/>
          <w:sz w:val="18"/>
          <w:szCs w:val="18"/>
          <w:color w:val="auto"/>
        </w:rPr>
      </w:pPr>
      <w:r>
        <w:rPr>
          <w:rFonts w:ascii="Arial" w:cs="Arial" w:eastAsia="Arial" w:hAnsi="Arial"/>
          <w:sz w:val="18"/>
          <w:szCs w:val="18"/>
          <w:color w:val="auto"/>
        </w:rPr>
        <w:t>I have reviewed this annual report on Form 10-K of Harvard Bioscience, Inc.;</w:t>
      </w:r>
    </w:p>
    <w:p>
      <w:pPr>
        <w:spacing w:after="0" w:line="252" w:lineRule="exact"/>
        <w:rPr>
          <w:rFonts w:ascii="Arial" w:cs="Arial" w:eastAsia="Arial" w:hAnsi="Arial"/>
          <w:sz w:val="18"/>
          <w:szCs w:val="18"/>
          <w:color w:val="auto"/>
        </w:rPr>
      </w:pPr>
    </w:p>
    <w:p>
      <w:pPr>
        <w:ind w:left="1300" w:right="160" w:hanging="644"/>
        <w:spacing w:after="0" w:line="263" w:lineRule="auto"/>
        <w:tabs>
          <w:tab w:leader="none" w:pos="1300" w:val="left"/>
        </w:tabs>
        <w:numPr>
          <w:ilvl w:val="0"/>
          <w:numId w:val="46"/>
        </w:numPr>
        <w:rPr>
          <w:rFonts w:ascii="Arial" w:cs="Arial" w:eastAsia="Arial" w:hAnsi="Arial"/>
          <w:sz w:val="18"/>
          <w:szCs w:val="18"/>
          <w:color w:val="auto"/>
        </w:rPr>
      </w:pPr>
      <w:r>
        <w:rPr>
          <w:rFonts w:ascii="Arial" w:cs="Arial" w:eastAsia="Arial" w:hAnsi="Arial"/>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83" w:lineRule="exact"/>
        <w:rPr>
          <w:rFonts w:ascii="Arial" w:cs="Arial" w:eastAsia="Arial" w:hAnsi="Arial"/>
          <w:sz w:val="18"/>
          <w:szCs w:val="18"/>
          <w:color w:val="auto"/>
        </w:rPr>
      </w:pPr>
    </w:p>
    <w:p>
      <w:pPr>
        <w:ind w:left="1300" w:right="220" w:hanging="644"/>
        <w:spacing w:after="0" w:line="342" w:lineRule="auto"/>
        <w:tabs>
          <w:tab w:leader="none" w:pos="1300" w:val="left"/>
        </w:tabs>
        <w:numPr>
          <w:ilvl w:val="0"/>
          <w:numId w:val="46"/>
        </w:numPr>
        <w:rPr>
          <w:rFonts w:ascii="Arial" w:cs="Arial" w:eastAsia="Arial" w:hAnsi="Arial"/>
          <w:sz w:val="16"/>
          <w:szCs w:val="16"/>
          <w:color w:val="auto"/>
        </w:rPr>
      </w:pPr>
      <w:r>
        <w:rPr>
          <w:rFonts w:ascii="Arial" w:cs="Arial" w:eastAsia="Arial" w:hAnsi="Arial"/>
          <w:sz w:val="16"/>
          <w:szCs w:val="16"/>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23" w:lineRule="exact"/>
        <w:rPr>
          <w:rFonts w:ascii="Arial" w:cs="Arial" w:eastAsia="Arial" w:hAnsi="Arial"/>
          <w:sz w:val="16"/>
          <w:szCs w:val="16"/>
          <w:color w:val="auto"/>
        </w:rPr>
      </w:pPr>
    </w:p>
    <w:p>
      <w:pPr>
        <w:ind w:left="1300" w:right="100" w:hanging="644"/>
        <w:spacing w:after="0" w:line="291" w:lineRule="auto"/>
        <w:tabs>
          <w:tab w:leader="none" w:pos="1300" w:val="left"/>
        </w:tabs>
        <w:numPr>
          <w:ilvl w:val="0"/>
          <w:numId w:val="46"/>
        </w:numPr>
        <w:rPr>
          <w:rFonts w:ascii="Arial" w:cs="Arial" w:eastAsia="Arial" w:hAnsi="Arial"/>
          <w:sz w:val="16"/>
          <w:szCs w:val="16"/>
          <w:color w:val="auto"/>
        </w:rPr>
      </w:pPr>
      <w:r>
        <w:rPr>
          <w:rFonts w:ascii="Arial" w:cs="Arial" w:eastAsia="Arial" w:hAnsi="Arial"/>
          <w:sz w:val="16"/>
          <w:szCs w:val="16"/>
          <w:color w:val="auto"/>
        </w:rPr>
        <w:t>The registrant’s other certifying officer(s) and I are responsible for establishing and maintaining disclosure controls and procedures (as defined in Exchange Act Rules 13a-15(e) and 15d-15(e)) and internal control over financial reporting (as defined in Exchange Act Rules</w:t>
      </w:r>
    </w:p>
    <w:p>
      <w:pPr>
        <w:ind w:left="1300"/>
        <w:spacing w:after="0"/>
        <w:rPr>
          <w:rFonts w:ascii="Arial" w:cs="Arial" w:eastAsia="Arial" w:hAnsi="Arial"/>
          <w:sz w:val="16"/>
          <w:szCs w:val="16"/>
          <w:color w:val="auto"/>
        </w:rPr>
      </w:pPr>
      <w:r>
        <w:rPr>
          <w:rFonts w:ascii="Arial" w:cs="Arial" w:eastAsia="Arial" w:hAnsi="Arial"/>
          <w:sz w:val="18"/>
          <w:szCs w:val="18"/>
          <w:color w:val="auto"/>
        </w:rPr>
        <w:t>13a-15(f) and 15d-15(f)) for the registrant and have:</w:t>
      </w:r>
    </w:p>
    <w:p>
      <w:pPr>
        <w:spacing w:after="0" w:line="210" w:lineRule="exact"/>
        <w:rPr>
          <w:rFonts w:ascii="Arial" w:cs="Arial" w:eastAsia="Arial" w:hAnsi="Arial"/>
          <w:sz w:val="16"/>
          <w:szCs w:val="16"/>
          <w:color w:val="auto"/>
        </w:rPr>
      </w:pPr>
    </w:p>
    <w:p>
      <w:pPr>
        <w:ind w:left="1960" w:right="80" w:hanging="656"/>
        <w:spacing w:after="0" w:line="286" w:lineRule="auto"/>
        <w:tabs>
          <w:tab w:leader="none" w:pos="1960" w:val="left"/>
        </w:tabs>
        <w:numPr>
          <w:ilvl w:val="1"/>
          <w:numId w:val="46"/>
        </w:numPr>
        <w:rPr>
          <w:rFonts w:ascii="Arial" w:cs="Arial" w:eastAsia="Arial" w:hAnsi="Arial"/>
          <w:sz w:val="17"/>
          <w:szCs w:val="17"/>
          <w:color w:val="auto"/>
        </w:rPr>
      </w:pPr>
      <w:r>
        <w:rPr>
          <w:rFonts w:ascii="Arial" w:cs="Arial" w:eastAsia="Arial" w:hAnsi="Arial"/>
          <w:sz w:val="17"/>
          <w:szCs w:val="17"/>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65" w:lineRule="exact"/>
        <w:rPr>
          <w:rFonts w:ascii="Arial" w:cs="Arial" w:eastAsia="Arial" w:hAnsi="Arial"/>
          <w:sz w:val="17"/>
          <w:szCs w:val="17"/>
          <w:color w:val="auto"/>
        </w:rPr>
      </w:pPr>
    </w:p>
    <w:p>
      <w:pPr>
        <w:ind w:left="1960" w:right="220" w:hanging="656"/>
        <w:spacing w:after="0" w:line="286" w:lineRule="auto"/>
        <w:tabs>
          <w:tab w:leader="none" w:pos="1960" w:val="left"/>
        </w:tabs>
        <w:numPr>
          <w:ilvl w:val="1"/>
          <w:numId w:val="46"/>
        </w:numPr>
        <w:rPr>
          <w:rFonts w:ascii="Arial" w:cs="Arial" w:eastAsia="Arial" w:hAnsi="Arial"/>
          <w:sz w:val="17"/>
          <w:szCs w:val="17"/>
          <w:color w:val="auto"/>
        </w:rPr>
      </w:pPr>
      <w:r>
        <w:rPr>
          <w:rFonts w:ascii="Arial" w:cs="Arial" w:eastAsia="Arial" w:hAnsi="Arial"/>
          <w:sz w:val="17"/>
          <w:szCs w:val="17"/>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65" w:lineRule="exact"/>
        <w:rPr>
          <w:rFonts w:ascii="Arial" w:cs="Arial" w:eastAsia="Arial" w:hAnsi="Arial"/>
          <w:sz w:val="17"/>
          <w:szCs w:val="17"/>
          <w:color w:val="auto"/>
        </w:rPr>
      </w:pPr>
    </w:p>
    <w:p>
      <w:pPr>
        <w:ind w:left="1960" w:hanging="656"/>
        <w:spacing w:after="0" w:line="263" w:lineRule="auto"/>
        <w:tabs>
          <w:tab w:leader="none" w:pos="1960" w:val="left"/>
        </w:tabs>
        <w:numPr>
          <w:ilvl w:val="1"/>
          <w:numId w:val="46"/>
        </w:numPr>
        <w:rPr>
          <w:rFonts w:ascii="Arial" w:cs="Arial" w:eastAsia="Arial" w:hAnsi="Arial"/>
          <w:sz w:val="18"/>
          <w:szCs w:val="18"/>
          <w:color w:val="auto"/>
        </w:rPr>
      </w:pPr>
      <w:r>
        <w:rPr>
          <w:rFonts w:ascii="Arial" w:cs="Arial" w:eastAsia="Arial" w:hAnsi="Arial"/>
          <w:sz w:val="18"/>
          <w:szCs w:val="18"/>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83" w:lineRule="exact"/>
        <w:rPr>
          <w:rFonts w:ascii="Arial" w:cs="Arial" w:eastAsia="Arial" w:hAnsi="Arial"/>
          <w:sz w:val="18"/>
          <w:szCs w:val="18"/>
          <w:color w:val="auto"/>
        </w:rPr>
      </w:pPr>
    </w:p>
    <w:p>
      <w:pPr>
        <w:ind w:left="1960" w:right="320" w:hanging="656"/>
        <w:spacing w:after="0" w:line="311" w:lineRule="auto"/>
        <w:tabs>
          <w:tab w:leader="none" w:pos="1960" w:val="left"/>
        </w:tabs>
        <w:numPr>
          <w:ilvl w:val="1"/>
          <w:numId w:val="46"/>
        </w:numPr>
        <w:rPr>
          <w:rFonts w:ascii="Arial" w:cs="Arial" w:eastAsia="Arial" w:hAnsi="Arial"/>
          <w:sz w:val="16"/>
          <w:szCs w:val="16"/>
          <w:color w:val="auto"/>
        </w:rPr>
      </w:pPr>
      <w:r>
        <w:rPr>
          <w:rFonts w:ascii="Arial" w:cs="Arial" w:eastAsia="Arial" w:hAnsi="Arial"/>
          <w:sz w:val="16"/>
          <w:szCs w:val="16"/>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48" w:lineRule="exact"/>
        <w:rPr>
          <w:rFonts w:ascii="Arial" w:cs="Arial" w:eastAsia="Arial" w:hAnsi="Arial"/>
          <w:sz w:val="16"/>
          <w:szCs w:val="16"/>
          <w:color w:val="auto"/>
        </w:rPr>
      </w:pPr>
    </w:p>
    <w:p>
      <w:pPr>
        <w:ind w:left="1300" w:right="140" w:hanging="644"/>
        <w:spacing w:after="0" w:line="263" w:lineRule="auto"/>
        <w:tabs>
          <w:tab w:leader="none" w:pos="1300" w:val="left"/>
        </w:tabs>
        <w:numPr>
          <w:ilvl w:val="0"/>
          <w:numId w:val="46"/>
        </w:numPr>
        <w:rPr>
          <w:rFonts w:ascii="Arial" w:cs="Arial" w:eastAsia="Arial" w:hAnsi="Arial"/>
          <w:sz w:val="18"/>
          <w:szCs w:val="18"/>
          <w:color w:val="auto"/>
        </w:rPr>
      </w:pPr>
      <w:r>
        <w:rPr>
          <w:rFonts w:ascii="Arial" w:cs="Arial" w:eastAsia="Arial" w:hAnsi="Arial"/>
          <w:sz w:val="18"/>
          <w:szCs w:val="18"/>
          <w:color w:val="auto"/>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spacing w:after="0" w:line="183" w:lineRule="exact"/>
        <w:rPr>
          <w:rFonts w:ascii="Arial" w:cs="Arial" w:eastAsia="Arial" w:hAnsi="Arial"/>
          <w:sz w:val="18"/>
          <w:szCs w:val="18"/>
          <w:color w:val="auto"/>
        </w:rPr>
      </w:pPr>
    </w:p>
    <w:p>
      <w:pPr>
        <w:ind w:left="1960" w:right="60" w:hanging="656"/>
        <w:spacing w:after="0" w:line="263" w:lineRule="auto"/>
        <w:tabs>
          <w:tab w:leader="none" w:pos="1960" w:val="left"/>
        </w:tabs>
        <w:numPr>
          <w:ilvl w:val="1"/>
          <w:numId w:val="46"/>
        </w:numPr>
        <w:rPr>
          <w:rFonts w:ascii="Arial" w:cs="Arial" w:eastAsia="Arial" w:hAnsi="Arial"/>
          <w:sz w:val="18"/>
          <w:szCs w:val="18"/>
          <w:color w:val="auto"/>
        </w:rPr>
      </w:pPr>
      <w:r>
        <w:rPr>
          <w:rFonts w:ascii="Arial" w:cs="Arial" w:eastAsia="Arial" w:hAnsi="Arial"/>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83" w:lineRule="exact"/>
        <w:rPr>
          <w:rFonts w:ascii="Arial" w:cs="Arial" w:eastAsia="Arial" w:hAnsi="Arial"/>
          <w:sz w:val="18"/>
          <w:szCs w:val="18"/>
          <w:color w:val="auto"/>
        </w:rPr>
      </w:pPr>
    </w:p>
    <w:p>
      <w:pPr>
        <w:ind w:left="1960" w:right="80" w:hanging="656"/>
        <w:spacing w:after="0" w:line="277" w:lineRule="auto"/>
        <w:tabs>
          <w:tab w:leader="none" w:pos="1960" w:val="left"/>
        </w:tabs>
        <w:numPr>
          <w:ilvl w:val="1"/>
          <w:numId w:val="46"/>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170" w:lineRule="exact"/>
        <w:rPr>
          <w:sz w:val="20"/>
          <w:szCs w:val="20"/>
          <w:color w:val="auto"/>
        </w:rPr>
      </w:pPr>
    </w:p>
    <w:tbl>
      <w:tblPr>
        <w:tblLayout w:type="fixed"/>
        <w:tblInd w:w="60" w:type="dxa"/>
        <w:tblCellMar>
          <w:top w:w="0" w:type="dxa"/>
          <w:left w:w="0" w:type="dxa"/>
          <w:bottom w:w="0" w:type="dxa"/>
          <w:right w:w="0" w:type="dxa"/>
        </w:tblCellMar>
      </w:tblPr>
      <w:tr>
        <w:trPr>
          <w:trHeight w:val="230"/>
        </w:trPr>
        <w:tc>
          <w:tcPr>
            <w:tcW w:w="5560" w:type="dxa"/>
            <w:vAlign w:val="bottom"/>
          </w:tcPr>
          <w:p>
            <w:pPr>
              <w:spacing w:after="0"/>
              <w:rPr>
                <w:sz w:val="20"/>
                <w:szCs w:val="20"/>
                <w:color w:val="auto"/>
              </w:rPr>
            </w:pPr>
            <w:r>
              <w:rPr>
                <w:rFonts w:ascii="Arial" w:cs="Arial" w:eastAsia="Arial" w:hAnsi="Arial"/>
                <w:sz w:val="18"/>
                <w:szCs w:val="18"/>
                <w:color w:val="auto"/>
              </w:rPr>
              <w:t>Date: March 11, 2022</w:t>
            </w:r>
          </w:p>
        </w:tc>
        <w:tc>
          <w:tcPr>
            <w:tcW w:w="562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JAMES GREEN</w:t>
            </w:r>
          </w:p>
        </w:tc>
      </w:tr>
      <w:tr>
        <w:trPr>
          <w:trHeight w:val="195"/>
        </w:trPr>
        <w:tc>
          <w:tcPr>
            <w:tcW w:w="5560" w:type="dxa"/>
            <w:vAlign w:val="bottom"/>
          </w:tcPr>
          <w:p>
            <w:pPr>
              <w:spacing w:after="0"/>
              <w:rPr>
                <w:sz w:val="16"/>
                <w:szCs w:val="16"/>
                <w:color w:val="auto"/>
              </w:rPr>
            </w:pPr>
          </w:p>
        </w:tc>
        <w:tc>
          <w:tcPr>
            <w:tcW w:w="5620" w:type="dxa"/>
            <w:vAlign w:val="bottom"/>
          </w:tcPr>
          <w:p>
            <w:pPr>
              <w:spacing w:after="0" w:line="195" w:lineRule="exact"/>
              <w:rPr>
                <w:sz w:val="20"/>
                <w:szCs w:val="20"/>
                <w:color w:val="auto"/>
              </w:rPr>
            </w:pPr>
            <w:r>
              <w:rPr>
                <w:rFonts w:ascii="Arial" w:cs="Arial" w:eastAsia="Arial" w:hAnsi="Arial"/>
                <w:sz w:val="18"/>
                <w:szCs w:val="18"/>
                <w:color w:val="auto"/>
              </w:rPr>
              <w:t>James Green</w:t>
            </w:r>
          </w:p>
        </w:tc>
      </w:tr>
      <w:tr>
        <w:trPr>
          <w:trHeight w:val="230"/>
        </w:trPr>
        <w:tc>
          <w:tcPr>
            <w:tcW w:w="5560" w:type="dxa"/>
            <w:vAlign w:val="bottom"/>
          </w:tcPr>
          <w:p>
            <w:pPr>
              <w:spacing w:after="0"/>
              <w:rPr>
                <w:sz w:val="20"/>
                <w:szCs w:val="20"/>
                <w:color w:val="auto"/>
              </w:rPr>
            </w:pPr>
          </w:p>
        </w:tc>
        <w:tc>
          <w:tcPr>
            <w:tcW w:w="5620" w:type="dxa"/>
            <w:vAlign w:val="bottom"/>
          </w:tcPr>
          <w:p>
            <w:pPr>
              <w:spacing w:after="0"/>
              <w:rPr>
                <w:sz w:val="20"/>
                <w:szCs w:val="20"/>
                <w:color w:val="auto"/>
              </w:rPr>
            </w:pPr>
            <w:r>
              <w:rPr>
                <w:rFonts w:ascii="Arial" w:cs="Arial" w:eastAsia="Arial" w:hAnsi="Arial"/>
                <w:sz w:val="18"/>
                <w:szCs w:val="18"/>
                <w:color w:val="auto"/>
              </w:rPr>
              <w:t>Chief Executive Officer</w:t>
            </w:r>
          </w:p>
        </w:tc>
      </w:tr>
    </w:tbl>
    <w:p>
      <w:pPr>
        <w:sectPr>
          <w:pgSz w:w="11900" w:h="16838" w:orient="portrait"/>
          <w:cols w:equalWidth="0" w:num="1">
            <w:col w:w="11240"/>
          </w:cols>
          <w:pgMar w:left="320" w:top="121" w:right="339" w:bottom="1440" w:gutter="0" w:footer="0" w:header="0"/>
        </w:sectPr>
      </w:pPr>
    </w:p>
    <w:bookmarkStart w:id="81" w:name="page82"/>
    <w:bookmarkEnd w:id="81"/>
    <w:p>
      <w:pPr>
        <w:ind w:left="10120"/>
        <w:spacing w:after="0"/>
        <w:rPr>
          <w:sz w:val="20"/>
          <w:szCs w:val="20"/>
          <w:color w:val="auto"/>
        </w:rPr>
      </w:pPr>
      <w:r>
        <w:rPr>
          <w:rFonts w:ascii="Arial" w:cs="Arial" w:eastAsia="Arial" w:hAnsi="Arial"/>
          <w:sz w:val="18"/>
          <w:szCs w:val="18"/>
          <w:b w:val="1"/>
          <w:bCs w:val="1"/>
          <w:color w:val="auto"/>
        </w:rPr>
        <w:t>EXHIBIT 32.1</w:t>
      </w:r>
    </w:p>
    <w:p>
      <w:pPr>
        <w:spacing w:after="0" w:line="225" w:lineRule="exact"/>
        <w:rPr>
          <w:sz w:val="20"/>
          <w:szCs w:val="20"/>
          <w:color w:val="auto"/>
        </w:rPr>
      </w:pPr>
    </w:p>
    <w:p>
      <w:pPr>
        <w:jc w:val="center"/>
        <w:ind w:right="-159"/>
        <w:spacing w:after="0"/>
        <w:rPr>
          <w:sz w:val="20"/>
          <w:szCs w:val="20"/>
          <w:color w:val="auto"/>
        </w:rPr>
      </w:pPr>
      <w:r>
        <w:rPr>
          <w:rFonts w:ascii="Arial" w:cs="Arial" w:eastAsia="Arial" w:hAnsi="Arial"/>
          <w:sz w:val="18"/>
          <w:szCs w:val="18"/>
          <w:b w:val="1"/>
          <w:bCs w:val="1"/>
          <w:color w:val="auto"/>
        </w:rPr>
        <w:t>CERTIFICATION OF PERIODIC FINANCIAL REPORT</w:t>
      </w:r>
    </w:p>
    <w:p>
      <w:pPr>
        <w:spacing w:after="0" w:line="27" w:lineRule="exact"/>
        <w:rPr>
          <w:sz w:val="20"/>
          <w:szCs w:val="20"/>
          <w:color w:val="auto"/>
        </w:rPr>
      </w:pPr>
    </w:p>
    <w:p>
      <w:pPr>
        <w:jc w:val="center"/>
        <w:ind w:right="-159"/>
        <w:spacing w:after="0"/>
        <w:rPr>
          <w:sz w:val="20"/>
          <w:szCs w:val="20"/>
          <w:color w:val="auto"/>
        </w:rPr>
      </w:pPr>
      <w:r>
        <w:rPr>
          <w:rFonts w:ascii="Arial" w:cs="Arial" w:eastAsia="Arial" w:hAnsi="Arial"/>
          <w:sz w:val="18"/>
          <w:szCs w:val="18"/>
          <w:b w:val="1"/>
          <w:bCs w:val="1"/>
          <w:color w:val="auto"/>
        </w:rPr>
        <w:t>PURSUANT TO 18 U.S.C. SECTION 1350</w:t>
      </w:r>
    </w:p>
    <w:p>
      <w:pPr>
        <w:spacing w:after="0" w:line="211" w:lineRule="exact"/>
        <w:rPr>
          <w:sz w:val="20"/>
          <w:szCs w:val="20"/>
          <w:color w:val="auto"/>
        </w:rPr>
      </w:pPr>
    </w:p>
    <w:p>
      <w:pPr>
        <w:jc w:val="both"/>
        <w:spacing w:after="0" w:line="270" w:lineRule="auto"/>
        <w:rPr>
          <w:sz w:val="20"/>
          <w:szCs w:val="20"/>
          <w:color w:val="auto"/>
        </w:rPr>
      </w:pPr>
      <w:r>
        <w:rPr>
          <w:rFonts w:ascii="Arial" w:cs="Arial" w:eastAsia="Arial" w:hAnsi="Arial"/>
          <w:sz w:val="17"/>
          <w:szCs w:val="17"/>
          <w:color w:val="auto"/>
        </w:rPr>
        <w:t>The undersigned officer of Harvard Bioscience, Inc. (the “Company”) hereby certifies to his knowledge that the Company’s annual report on Form 10-K for the year ended December 31, 2021 to which this certification is being furnished as an exhibit (the “Report”), as filed with the Securities and Exchange Commission on the date hereof, fully complies with the requirements of Section 13(a) or 15(d), as applicable, of the Securities Exchange Act of 1934, as amended (the “Exchange Act”), and that the information contained in the Report fairly presents, in all material respects, the financial condition and results of operations of the Company. This certification is provided solely pursuant to 18 U.S.C. Section 1350 and Item 601(b)(32) of Regulation S-K (“Item 601(b)(32)”) promulgated under the Securities Act of 1933, as amended (the “Securities Act”), and the Exchange Act. In accordance with clause (ii) of Item 601(b)(32), this certification (A) shall not be deemed “filed” for purposes of Section 18 of the Exchange Act, or otherwise subject to the liability of that section, and (B) shall not be deemed to be incorporated by reference into any filing under the Securities Act or the Exchange Act, except to the extent that the Company specifically incorporates it by reference.</w:t>
      </w:r>
    </w:p>
    <w:p>
      <w:pPr>
        <w:spacing w:after="0" w:line="181" w:lineRule="exact"/>
        <w:rPr>
          <w:sz w:val="20"/>
          <w:szCs w:val="20"/>
          <w:color w:val="auto"/>
        </w:rPr>
      </w:pPr>
    </w:p>
    <w:tbl>
      <w:tblPr>
        <w:tblLayout w:type="fixed"/>
        <w:tblInd w:w="60" w:type="dxa"/>
        <w:tblCellMar>
          <w:top w:w="0" w:type="dxa"/>
          <w:left w:w="0" w:type="dxa"/>
          <w:bottom w:w="0" w:type="dxa"/>
          <w:right w:w="0" w:type="dxa"/>
        </w:tblCellMar>
      </w:tblPr>
      <w:tr>
        <w:trPr>
          <w:trHeight w:val="230"/>
        </w:trPr>
        <w:tc>
          <w:tcPr>
            <w:tcW w:w="5560" w:type="dxa"/>
            <w:vAlign w:val="bottom"/>
          </w:tcPr>
          <w:p>
            <w:pPr>
              <w:spacing w:after="0"/>
              <w:rPr>
                <w:sz w:val="20"/>
                <w:szCs w:val="20"/>
                <w:color w:val="auto"/>
              </w:rPr>
            </w:pPr>
            <w:r>
              <w:rPr>
                <w:rFonts w:ascii="Arial" w:cs="Arial" w:eastAsia="Arial" w:hAnsi="Arial"/>
                <w:sz w:val="18"/>
                <w:szCs w:val="18"/>
                <w:color w:val="auto"/>
              </w:rPr>
              <w:t>Date: March 11, 2022</w:t>
            </w:r>
          </w:p>
        </w:tc>
        <w:tc>
          <w:tcPr>
            <w:tcW w:w="562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MICHAEL A. ROSSI</w:t>
            </w:r>
          </w:p>
        </w:tc>
      </w:tr>
      <w:tr>
        <w:trPr>
          <w:trHeight w:val="195"/>
        </w:trPr>
        <w:tc>
          <w:tcPr>
            <w:tcW w:w="5560" w:type="dxa"/>
            <w:vAlign w:val="bottom"/>
          </w:tcPr>
          <w:p>
            <w:pPr>
              <w:spacing w:after="0"/>
              <w:rPr>
                <w:sz w:val="16"/>
                <w:szCs w:val="16"/>
                <w:color w:val="auto"/>
              </w:rPr>
            </w:pPr>
          </w:p>
        </w:tc>
        <w:tc>
          <w:tcPr>
            <w:tcW w:w="5620" w:type="dxa"/>
            <w:vAlign w:val="bottom"/>
          </w:tcPr>
          <w:p>
            <w:pPr>
              <w:spacing w:after="0" w:line="195" w:lineRule="exact"/>
              <w:rPr>
                <w:sz w:val="20"/>
                <w:szCs w:val="20"/>
                <w:color w:val="auto"/>
              </w:rPr>
            </w:pPr>
            <w:r>
              <w:rPr>
                <w:rFonts w:ascii="Arial" w:cs="Arial" w:eastAsia="Arial" w:hAnsi="Arial"/>
                <w:sz w:val="18"/>
                <w:szCs w:val="18"/>
                <w:color w:val="auto"/>
              </w:rPr>
              <w:t>Name: Michael A. Rossi</w:t>
            </w:r>
          </w:p>
        </w:tc>
      </w:tr>
      <w:tr>
        <w:trPr>
          <w:trHeight w:val="230"/>
        </w:trPr>
        <w:tc>
          <w:tcPr>
            <w:tcW w:w="5560" w:type="dxa"/>
            <w:vAlign w:val="bottom"/>
          </w:tcPr>
          <w:p>
            <w:pPr>
              <w:spacing w:after="0"/>
              <w:rPr>
                <w:sz w:val="20"/>
                <w:szCs w:val="20"/>
                <w:color w:val="auto"/>
              </w:rPr>
            </w:pPr>
          </w:p>
        </w:tc>
        <w:tc>
          <w:tcPr>
            <w:tcW w:w="5620" w:type="dxa"/>
            <w:vAlign w:val="bottom"/>
          </w:tcPr>
          <w:p>
            <w:pPr>
              <w:spacing w:after="0"/>
              <w:rPr>
                <w:sz w:val="20"/>
                <w:szCs w:val="20"/>
                <w:color w:val="auto"/>
              </w:rPr>
            </w:pPr>
            <w:r>
              <w:rPr>
                <w:rFonts w:ascii="Arial" w:cs="Arial" w:eastAsia="Arial" w:hAnsi="Arial"/>
                <w:sz w:val="18"/>
                <w:szCs w:val="18"/>
                <w:color w:val="auto"/>
              </w:rPr>
              <w:t>Title: Chief Financial Officer</w:t>
            </w:r>
          </w:p>
        </w:tc>
      </w:tr>
    </w:tbl>
    <w:p>
      <w:pPr>
        <w:sectPr>
          <w:pgSz w:w="11900" w:h="16838" w:orient="portrait"/>
          <w:cols w:equalWidth="0" w:num="1">
            <w:col w:w="11240"/>
          </w:cols>
          <w:pgMar w:left="320" w:top="121" w:right="339" w:bottom="1440" w:gutter="0" w:footer="0" w:header="0"/>
        </w:sectPr>
      </w:pPr>
    </w:p>
    <w:bookmarkStart w:id="82" w:name="page83"/>
    <w:bookmarkEnd w:id="82"/>
    <w:p>
      <w:pPr>
        <w:ind w:left="10120"/>
        <w:spacing w:after="0"/>
        <w:rPr>
          <w:sz w:val="20"/>
          <w:szCs w:val="20"/>
          <w:color w:val="auto"/>
        </w:rPr>
      </w:pPr>
      <w:r>
        <w:rPr>
          <w:rFonts w:ascii="Arial" w:cs="Arial" w:eastAsia="Arial" w:hAnsi="Arial"/>
          <w:sz w:val="18"/>
          <w:szCs w:val="18"/>
          <w:b w:val="1"/>
          <w:bCs w:val="1"/>
          <w:color w:val="auto"/>
        </w:rPr>
        <w:t>EXHIBIT 32.2</w:t>
      </w:r>
    </w:p>
    <w:p>
      <w:pPr>
        <w:spacing w:after="0" w:line="225" w:lineRule="exact"/>
        <w:rPr>
          <w:sz w:val="20"/>
          <w:szCs w:val="20"/>
          <w:color w:val="auto"/>
        </w:rPr>
      </w:pPr>
    </w:p>
    <w:p>
      <w:pPr>
        <w:jc w:val="center"/>
        <w:ind w:right="-159"/>
        <w:spacing w:after="0"/>
        <w:rPr>
          <w:sz w:val="20"/>
          <w:szCs w:val="20"/>
          <w:color w:val="auto"/>
        </w:rPr>
      </w:pPr>
      <w:r>
        <w:rPr>
          <w:rFonts w:ascii="Arial" w:cs="Arial" w:eastAsia="Arial" w:hAnsi="Arial"/>
          <w:sz w:val="18"/>
          <w:szCs w:val="18"/>
          <w:b w:val="1"/>
          <w:bCs w:val="1"/>
          <w:color w:val="auto"/>
        </w:rPr>
        <w:t>CERTIFICATION OF PERIODIC FINANCIAL REPORT</w:t>
      </w:r>
    </w:p>
    <w:p>
      <w:pPr>
        <w:spacing w:after="0" w:line="27" w:lineRule="exact"/>
        <w:rPr>
          <w:sz w:val="20"/>
          <w:szCs w:val="20"/>
          <w:color w:val="auto"/>
        </w:rPr>
      </w:pPr>
    </w:p>
    <w:p>
      <w:pPr>
        <w:jc w:val="center"/>
        <w:ind w:right="-159"/>
        <w:spacing w:after="0"/>
        <w:rPr>
          <w:sz w:val="20"/>
          <w:szCs w:val="20"/>
          <w:color w:val="auto"/>
        </w:rPr>
      </w:pPr>
      <w:r>
        <w:rPr>
          <w:rFonts w:ascii="Arial" w:cs="Arial" w:eastAsia="Arial" w:hAnsi="Arial"/>
          <w:sz w:val="18"/>
          <w:szCs w:val="18"/>
          <w:b w:val="1"/>
          <w:bCs w:val="1"/>
          <w:color w:val="auto"/>
        </w:rPr>
        <w:t>PURSUANT TO 18 U.S.C. SECTION 1350</w:t>
      </w:r>
    </w:p>
    <w:p>
      <w:pPr>
        <w:spacing w:after="0" w:line="211" w:lineRule="exact"/>
        <w:rPr>
          <w:sz w:val="20"/>
          <w:szCs w:val="20"/>
          <w:color w:val="auto"/>
        </w:rPr>
      </w:pPr>
    </w:p>
    <w:p>
      <w:pPr>
        <w:jc w:val="both"/>
        <w:spacing w:after="0" w:line="270" w:lineRule="auto"/>
        <w:rPr>
          <w:sz w:val="20"/>
          <w:szCs w:val="20"/>
          <w:color w:val="auto"/>
        </w:rPr>
      </w:pPr>
      <w:r>
        <w:rPr>
          <w:rFonts w:ascii="Arial" w:cs="Arial" w:eastAsia="Arial" w:hAnsi="Arial"/>
          <w:sz w:val="17"/>
          <w:szCs w:val="17"/>
          <w:color w:val="auto"/>
        </w:rPr>
        <w:t>The undersigned officer of Harvard Bioscience, Inc. (the “Company”) hereby certifies to his knowledge that the Company’s annual report on Form 10-K for the year ended December 31, 2021 to which this certification is being furnished as an exhibit (the “Report”), as filed with the Securities and Exchange Commission on the date hereof, fully complies with the requirements of Section 13(a) or 15(d), as applicable, of the Securities Exchange Act of 1934, as amended (the “Exchange Act”), and that the information contained in the Report fairly presents, in all material respects, the financial condition and results of operations of the Company. This certification is provided solely pursuant to 18 U.S.C. Section 1350 and Item 601(b)(32) of Regulation S-K (“Item 601(b)(32)”) promulgated under the Securities Act of 1933, as amended (the “Securities Act”), and the Exchange Act. In accordance with clause (ii) of Item 601(b)(32), this certification (A) shall not be deemed “filed” for purposes of Section 18 of the Exchange Act, or otherwise subject to the liability of that section, and (B) shall not be deemed to be incorporated by reference into any filing under the Securities Act or the Exchange Act, except to the extent that the Company specifically incorporates it by reference.</w:t>
      </w:r>
    </w:p>
    <w:p>
      <w:pPr>
        <w:spacing w:after="0" w:line="181" w:lineRule="exact"/>
        <w:rPr>
          <w:sz w:val="20"/>
          <w:szCs w:val="20"/>
          <w:color w:val="auto"/>
        </w:rPr>
      </w:pPr>
    </w:p>
    <w:tbl>
      <w:tblPr>
        <w:tblLayout w:type="fixed"/>
        <w:tblInd w:w="60" w:type="dxa"/>
        <w:tblCellMar>
          <w:top w:w="0" w:type="dxa"/>
          <w:left w:w="0" w:type="dxa"/>
          <w:bottom w:w="0" w:type="dxa"/>
          <w:right w:w="0" w:type="dxa"/>
        </w:tblCellMar>
      </w:tblPr>
      <w:tr>
        <w:trPr>
          <w:trHeight w:val="230"/>
        </w:trPr>
        <w:tc>
          <w:tcPr>
            <w:tcW w:w="5560" w:type="dxa"/>
            <w:vAlign w:val="bottom"/>
          </w:tcPr>
          <w:p>
            <w:pPr>
              <w:spacing w:after="0"/>
              <w:rPr>
                <w:sz w:val="20"/>
                <w:szCs w:val="20"/>
                <w:color w:val="auto"/>
              </w:rPr>
            </w:pPr>
            <w:r>
              <w:rPr>
                <w:rFonts w:ascii="Arial" w:cs="Arial" w:eastAsia="Arial" w:hAnsi="Arial"/>
                <w:sz w:val="18"/>
                <w:szCs w:val="18"/>
                <w:color w:val="auto"/>
              </w:rPr>
              <w:t>Date: March 11, 2022</w:t>
            </w:r>
          </w:p>
        </w:tc>
        <w:tc>
          <w:tcPr>
            <w:tcW w:w="562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JAMES GREEN</w:t>
            </w:r>
          </w:p>
        </w:tc>
      </w:tr>
      <w:tr>
        <w:trPr>
          <w:trHeight w:val="195"/>
        </w:trPr>
        <w:tc>
          <w:tcPr>
            <w:tcW w:w="5560" w:type="dxa"/>
            <w:vAlign w:val="bottom"/>
          </w:tcPr>
          <w:p>
            <w:pPr>
              <w:spacing w:after="0"/>
              <w:rPr>
                <w:sz w:val="16"/>
                <w:szCs w:val="16"/>
                <w:color w:val="auto"/>
              </w:rPr>
            </w:pPr>
          </w:p>
        </w:tc>
        <w:tc>
          <w:tcPr>
            <w:tcW w:w="5620" w:type="dxa"/>
            <w:vAlign w:val="bottom"/>
          </w:tcPr>
          <w:p>
            <w:pPr>
              <w:spacing w:after="0" w:line="195" w:lineRule="exact"/>
              <w:rPr>
                <w:sz w:val="20"/>
                <w:szCs w:val="20"/>
                <w:color w:val="auto"/>
              </w:rPr>
            </w:pPr>
            <w:r>
              <w:rPr>
                <w:rFonts w:ascii="Arial" w:cs="Arial" w:eastAsia="Arial" w:hAnsi="Arial"/>
                <w:sz w:val="18"/>
                <w:szCs w:val="18"/>
                <w:color w:val="auto"/>
              </w:rPr>
              <w:t>Name: James Green</w:t>
            </w:r>
          </w:p>
        </w:tc>
      </w:tr>
      <w:tr>
        <w:trPr>
          <w:trHeight w:val="230"/>
        </w:trPr>
        <w:tc>
          <w:tcPr>
            <w:tcW w:w="5560" w:type="dxa"/>
            <w:vAlign w:val="bottom"/>
          </w:tcPr>
          <w:p>
            <w:pPr>
              <w:spacing w:after="0"/>
              <w:rPr>
                <w:sz w:val="20"/>
                <w:szCs w:val="20"/>
                <w:color w:val="auto"/>
              </w:rPr>
            </w:pPr>
          </w:p>
        </w:tc>
        <w:tc>
          <w:tcPr>
            <w:tcW w:w="5620" w:type="dxa"/>
            <w:vAlign w:val="bottom"/>
          </w:tcPr>
          <w:p>
            <w:pPr>
              <w:spacing w:after="0"/>
              <w:rPr>
                <w:sz w:val="20"/>
                <w:szCs w:val="20"/>
                <w:color w:val="auto"/>
              </w:rPr>
            </w:pPr>
            <w:r>
              <w:rPr>
                <w:rFonts w:ascii="Arial" w:cs="Arial" w:eastAsia="Arial" w:hAnsi="Arial"/>
                <w:sz w:val="18"/>
                <w:szCs w:val="18"/>
                <w:color w:val="auto"/>
              </w:rPr>
              <w:t>Title: Chief Executive Officer</w:t>
            </w:r>
          </w:p>
        </w:tc>
      </w:tr>
    </w:tbl>
    <w:p>
      <w:pPr>
        <w:spacing w:after="0" w:line="1" w:lineRule="exact"/>
        <w:rPr>
          <w:sz w:val="20"/>
          <w:szCs w:val="20"/>
          <w:color w:val="auto"/>
        </w:rPr>
      </w:pPr>
    </w:p>
    <w:sectPr>
      <w:pgSz w:w="11900" w:h="16838" w:orient="portrait"/>
      <w:cols w:equalWidth="0" w:num="1">
        <w:col w:w="11240"/>
      </w:cols>
      <w:pgMar w:left="320" w:top="121"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6763845E"/>
    <w:multiLevelType w:val="hybridMultilevel"/>
    <w:lvl w:ilvl="0">
      <w:lvlJc w:val="left"/>
      <w:lvlText w:val="☒"/>
      <w:numFmt w:val="bullet"/>
      <w:start w:val="1"/>
    </w:lvl>
  </w:abstractNum>
  <w:abstractNum w:abstractNumId="1">
    <w:nsid w:val="75A2A8D4"/>
    <w:multiLevelType w:val="hybridMultilevel"/>
    <w:lvl w:ilvl="0">
      <w:lvlJc w:val="left"/>
      <w:lvlText w:val="☐"/>
      <w:numFmt w:val="bullet"/>
      <w:start w:val="1"/>
    </w:lvl>
  </w:abstractNum>
  <w:abstractNum w:abstractNumId="2">
    <w:nsid w:val="8EDBDAB"/>
    <w:multiLevelType w:val="hybridMultilevel"/>
    <w:lvl w:ilvl="0">
      <w:lvlJc w:val="left"/>
      <w:lvlText w:val="●"/>
      <w:numFmt w:val="bullet"/>
      <w:start w:val="1"/>
    </w:lvl>
  </w:abstractNum>
  <w:abstractNum w:abstractNumId="3">
    <w:nsid w:val="79838CB2"/>
    <w:multiLevelType w:val="hybridMultilevel"/>
    <w:lvl w:ilvl="0">
      <w:lvlJc w:val="left"/>
      <w:lvlText w:val="●"/>
      <w:numFmt w:val="bullet"/>
      <w:start w:val="1"/>
    </w:lvl>
  </w:abstractNum>
  <w:abstractNum w:abstractNumId="4">
    <w:nsid w:val="4353D0CD"/>
    <w:multiLevelType w:val="hybridMultilevel"/>
    <w:lvl w:ilvl="0">
      <w:lvlJc w:val="left"/>
      <w:lvlText w:val="●"/>
      <w:numFmt w:val="bullet"/>
      <w:start w:val="1"/>
    </w:lvl>
  </w:abstractNum>
  <w:abstractNum w:abstractNumId="5">
    <w:nsid w:val="B03E0C6"/>
    <w:multiLevelType w:val="hybridMultilevel"/>
    <w:lvl w:ilvl="0">
      <w:lvlJc w:val="left"/>
      <w:lvlText w:val="·"/>
      <w:numFmt w:val="bullet"/>
      <w:start w:val="1"/>
    </w:lvl>
  </w:abstractNum>
  <w:abstractNum w:abstractNumId="6">
    <w:nsid w:val="189A769B"/>
    <w:multiLevelType w:val="hybridMultilevel"/>
    <w:lvl w:ilvl="0">
      <w:lvlJc w:val="left"/>
      <w:lvlText w:val="(%1)"/>
      <w:numFmt w:val="lowerLetter"/>
      <w:start w:val="1"/>
    </w:lvl>
  </w:abstractNum>
  <w:abstractNum w:abstractNumId="7">
    <w:nsid w:val="54E49EB4"/>
    <w:multiLevelType w:val="hybridMultilevel"/>
    <w:lvl w:ilvl="0">
      <w:lvlJc w:val="left"/>
      <w:lvlText w:val="(%1)"/>
      <w:numFmt w:val="lowerLetter"/>
      <w:start w:val="2"/>
    </w:lvl>
  </w:abstractNum>
  <w:abstractNum w:abstractNumId="8">
    <w:nsid w:val="71F32454"/>
    <w:multiLevelType w:val="hybridMultilevel"/>
    <w:lvl w:ilvl="0">
      <w:lvlJc w:val="left"/>
      <w:lvlText w:val="(%1)"/>
      <w:numFmt w:val="decimal"/>
      <w:start w:val="3"/>
    </w:lvl>
  </w:abstractNum>
  <w:abstractNum w:abstractNumId="9">
    <w:nsid w:val="2CA88611"/>
    <w:multiLevelType w:val="hybridMultilevel"/>
    <w:lvl w:ilvl="0">
      <w:lvlJc w:val="left"/>
      <w:lvlText w:val="(%1)"/>
      <w:numFmt w:val="lowerLetter"/>
      <w:start w:val="3"/>
    </w:lvl>
  </w:abstractNum>
  <w:abstractNum w:abstractNumId="10">
    <w:nsid w:val="836C40E"/>
    <w:multiLevelType w:val="hybridMultilevel"/>
    <w:lvl w:ilvl="0">
      <w:lvlJc w:val="left"/>
      <w:lvlText w:val="(%1)"/>
      <w:numFmt w:val="lowerLetter"/>
      <w:start w:val="4"/>
    </w:lvl>
  </w:abstractNum>
  <w:abstractNum w:abstractNumId="11">
    <w:nsid w:val="2901D82"/>
    <w:multiLevelType w:val="hybridMultilevel"/>
    <w:lvl w:ilvl="0">
      <w:lvlJc w:val="left"/>
      <w:lvlText w:val="(%1)"/>
      <w:numFmt w:val="lowerLetter"/>
      <w:start w:val="5"/>
    </w:lvl>
  </w:abstractNum>
  <w:abstractNum w:abstractNumId="12">
    <w:nsid w:val="3A95F874"/>
    <w:multiLevelType w:val="hybridMultilevel"/>
    <w:lvl w:ilvl="0">
      <w:lvlJc w:val="left"/>
      <w:lvlText w:val="(%1)"/>
      <w:numFmt w:val="lowerLetter"/>
      <w:start w:val="1"/>
    </w:lvl>
  </w:abstractNum>
  <w:abstractNum w:abstractNumId="13">
    <w:nsid w:val="8138641"/>
    <w:multiLevelType w:val="hybridMultilevel"/>
    <w:lvl w:ilvl="0">
      <w:lvlJc w:val="left"/>
      <w:lvlText w:val="%1."/>
      <w:numFmt w:val="decimal"/>
      <w:start w:val="1"/>
    </w:lvl>
  </w:abstractNum>
  <w:abstractNum w:abstractNumId="14">
    <w:nsid w:val="1E7FF521"/>
    <w:multiLevelType w:val="hybridMultilevel"/>
    <w:lvl w:ilvl="0">
      <w:lvlJc w:val="left"/>
      <w:lvlText w:val="%1."/>
      <w:numFmt w:val="decimal"/>
      <w:start w:val="2"/>
    </w:lvl>
  </w:abstractNum>
  <w:abstractNum w:abstractNumId="15">
    <w:nsid w:val="7C3DBD3D"/>
    <w:multiLevelType w:val="hybridMultilevel"/>
    <w:lvl w:ilvl="0">
      <w:lvlJc w:val="left"/>
      <w:lvlText w:val="§"/>
      <w:numFmt w:val="bullet"/>
      <w:start w:val="1"/>
    </w:lvl>
  </w:abstractNum>
  <w:abstractNum w:abstractNumId="16">
    <w:nsid w:val="737B8DDC"/>
    <w:multiLevelType w:val="hybridMultilevel"/>
    <w:lvl w:ilvl="0">
      <w:lvlJc w:val="left"/>
      <w:lvlText w:val="%1."/>
      <w:numFmt w:val="decimal"/>
      <w:start w:val="3"/>
    </w:lvl>
  </w:abstractNum>
  <w:abstractNum w:abstractNumId="17">
    <w:nsid w:val="6CEAF087"/>
    <w:multiLevelType w:val="hybridMultilevel"/>
    <w:lvl w:ilvl="0">
      <w:lvlJc w:val="left"/>
      <w:lvlText w:val="%1."/>
      <w:numFmt w:val="decimal"/>
      <w:start w:val="4"/>
    </w:lvl>
  </w:abstractNum>
  <w:abstractNum w:abstractNumId="18">
    <w:nsid w:val="22221A70"/>
    <w:multiLevelType w:val="hybridMultilevel"/>
    <w:lvl w:ilvl="0">
      <w:lvlJc w:val="left"/>
      <w:lvlText w:val="%1."/>
      <w:numFmt w:val="decimal"/>
      <w:start w:val="6"/>
    </w:lvl>
  </w:abstractNum>
  <w:abstractNum w:abstractNumId="19">
    <w:nsid w:val="4516DDE9"/>
    <w:multiLevelType w:val="hybridMultilevel"/>
    <w:lvl w:ilvl="0">
      <w:lvlJc w:val="left"/>
      <w:lvlText w:val="%1."/>
      <w:numFmt w:val="decimal"/>
      <w:start w:val="7"/>
    </w:lvl>
  </w:abstractNum>
  <w:abstractNum w:abstractNumId="20">
    <w:nsid w:val="3006C83E"/>
    <w:multiLevelType w:val="hybridMultilevel"/>
    <w:lvl w:ilvl="0">
      <w:lvlJc w:val="left"/>
      <w:lvlText w:val="%1."/>
      <w:numFmt w:val="decimal"/>
      <w:start w:val="8"/>
    </w:lvl>
  </w:abstractNum>
  <w:abstractNum w:abstractNumId="21">
    <w:nsid w:val="614FD4A1"/>
    <w:multiLevelType w:val="hybridMultilevel"/>
    <w:lvl w:ilvl="0">
      <w:lvlJc w:val="left"/>
      <w:lvlText w:val="%1."/>
      <w:numFmt w:val="decimal"/>
      <w:start w:val="9"/>
    </w:lvl>
  </w:abstractNum>
  <w:abstractNum w:abstractNumId="22">
    <w:nsid w:val="419AC241"/>
    <w:multiLevelType w:val="hybridMultilevel"/>
    <w:lvl w:ilvl="0">
      <w:lvlJc w:val="left"/>
      <w:lvlText w:val="%1."/>
      <w:numFmt w:val="decimal"/>
      <w:start w:val="10"/>
    </w:lvl>
  </w:abstractNum>
  <w:abstractNum w:abstractNumId="23">
    <w:nsid w:val="5577F8E1"/>
    <w:multiLevelType w:val="hybridMultilevel"/>
    <w:lvl w:ilvl="0">
      <w:lvlJc w:val="left"/>
      <w:lvlText w:val="%1."/>
      <w:numFmt w:val="decimal"/>
      <w:start w:val="11"/>
    </w:lvl>
  </w:abstractNum>
  <w:abstractNum w:abstractNumId="24">
    <w:nsid w:val="440BADFC"/>
    <w:multiLevelType w:val="hybridMultilevel"/>
    <w:lvl w:ilvl="0">
      <w:lvlJc w:val="left"/>
      <w:lvlText w:val="%1."/>
      <w:numFmt w:val="decimal"/>
      <w:start w:val="12"/>
    </w:lvl>
  </w:abstractNum>
  <w:abstractNum w:abstractNumId="25">
    <w:nsid w:val="5072367"/>
    <w:multiLevelType w:val="hybridMultilevel"/>
    <w:lvl w:ilvl="0">
      <w:lvlJc w:val="left"/>
      <w:lvlText w:val="%1."/>
      <w:numFmt w:val="decimal"/>
      <w:start w:val="14"/>
    </w:lvl>
  </w:abstractNum>
  <w:abstractNum w:abstractNumId="26">
    <w:nsid w:val="3804823E"/>
    <w:multiLevelType w:val="hybridMultilevel"/>
    <w:lvl w:ilvl="0">
      <w:lvlJc w:val="left"/>
      <w:lvlText w:val="%1."/>
      <w:numFmt w:val="decimal"/>
      <w:start w:val="15"/>
    </w:lvl>
  </w:abstractNum>
  <w:abstractNum w:abstractNumId="27">
    <w:nsid w:val="77465F01"/>
    <w:multiLevelType w:val="hybridMultilevel"/>
    <w:lvl w:ilvl="0">
      <w:lvlJc w:val="left"/>
      <w:lvlText w:val="+"/>
      <w:numFmt w:val="bullet"/>
      <w:start w:val="1"/>
    </w:lvl>
    <w:lvl w:ilvl="1">
      <w:lvlJc w:val="left"/>
      <w:lvlText w:val="%2"/>
      <w:numFmt w:val="decimal"/>
      <w:start w:val="104"/>
    </w:lvl>
  </w:abstractNum>
  <w:abstractNum w:abstractNumId="28">
    <w:nsid w:val="7724C67E"/>
    <w:multiLevelType w:val="hybridMultilevel"/>
    <w:lvl w:ilvl="0">
      <w:lvlJc w:val="left"/>
      <w:lvlText w:val="*"/>
      <w:numFmt w:val="bullet"/>
      <w:start w:val="1"/>
    </w:lvl>
  </w:abstractNum>
  <w:abstractNum w:abstractNumId="29">
    <w:nsid w:val="5C482A97"/>
    <w:multiLevelType w:val="hybridMultilevel"/>
    <w:lvl w:ilvl="0">
      <w:lvlJc w:val="left"/>
      <w:lvlText w:val="#"/>
      <w:numFmt w:val="bullet"/>
      <w:start w:val="1"/>
    </w:lvl>
  </w:abstractNum>
  <w:abstractNum w:abstractNumId="30">
    <w:nsid w:val="2463B9EA"/>
    <w:multiLevelType w:val="hybridMultilevel"/>
    <w:lvl w:ilvl="0">
      <w:lvlJc w:val="left"/>
      <w:lvlText w:val="§"/>
      <w:numFmt w:val="bullet"/>
      <w:start w:val="1"/>
    </w:lvl>
  </w:abstractNum>
  <w:abstractNum w:abstractNumId="31">
    <w:nsid w:val="5E884ADC"/>
    <w:multiLevelType w:val="hybridMultilevel"/>
    <w:lvl w:ilvl="0">
      <w:lvlJc w:val="left"/>
      <w:lvlText w:val="*"/>
      <w:numFmt w:val="bullet"/>
      <w:start w:val="1"/>
    </w:lvl>
  </w:abstractNum>
  <w:abstractNum w:abstractNumId="32">
    <w:nsid w:val="51EAD36B"/>
    <w:multiLevelType w:val="hybridMultilevel"/>
    <w:lvl w:ilvl="0">
      <w:lvlJc w:val="left"/>
      <w:lvlText w:val="%1."/>
      <w:numFmt w:val="decimal"/>
      <w:start w:val="1"/>
    </w:lvl>
  </w:abstractNum>
  <w:abstractNum w:abstractNumId="33">
    <w:nsid w:val="2D517796"/>
    <w:multiLevelType w:val="hybridMultilevel"/>
    <w:lvl w:ilvl="0">
      <w:lvlJc w:val="left"/>
      <w:lvlText w:val="%1."/>
      <w:numFmt w:val="decimal"/>
      <w:start w:val="6"/>
    </w:lvl>
    <w:lvl w:ilvl="1">
      <w:lvlJc w:val="left"/>
      <w:lvlText w:val="(%2)"/>
      <w:numFmt w:val="lowerRoman"/>
      <w:start w:val="1"/>
    </w:lvl>
  </w:abstractNum>
  <w:abstractNum w:abstractNumId="34">
    <w:nsid w:val="580BD78F"/>
    <w:multiLevelType w:val="hybridMultilevel"/>
    <w:lvl w:ilvl="0">
      <w:lvlJc w:val="left"/>
      <w:lvlText w:val="%1."/>
      <w:numFmt w:val="decimal"/>
      <w:start w:val="1"/>
    </w:lvl>
    <w:lvl w:ilvl="1">
      <w:lvlJc w:val="left"/>
      <w:lvlText w:val="%2."/>
      <w:numFmt w:val="lowerLetter"/>
      <w:start w:val="1"/>
    </w:lvl>
  </w:abstractNum>
  <w:abstractNum w:abstractNumId="35">
    <w:nsid w:val="153EA438"/>
    <w:multiLevelType w:val="hybridMultilevel"/>
    <w:lvl w:ilvl="0">
      <w:lvlJc w:val="left"/>
      <w:lvlText w:val="%1."/>
      <w:numFmt w:val="decimal"/>
      <w:start w:val="5"/>
    </w:lvl>
    <w:lvl w:ilvl="1">
      <w:lvlJc w:val="left"/>
      <w:lvlText w:val="%2."/>
      <w:numFmt w:val="lowerLetter"/>
      <w:start w:val="1"/>
    </w:lvl>
  </w:abstractNum>
  <w:abstractNum w:abstractNumId="36">
    <w:nsid w:val="3855585C"/>
    <w:multiLevelType w:val="hybridMultilevel"/>
    <w:lvl w:ilvl="0">
      <w:lvlJc w:val="left"/>
      <w:lvlText w:val="%1."/>
      <w:numFmt w:val="decimal"/>
      <w:start w:val="11"/>
    </w:lvl>
    <w:lvl w:ilvl="1">
      <w:lvlJc w:val="left"/>
      <w:lvlText w:val="%2."/>
      <w:numFmt w:val="lowerLetter"/>
      <w:start w:val="1"/>
    </w:lvl>
  </w:abstractNum>
  <w:abstractNum w:abstractNumId="37">
    <w:nsid w:val="70A64E2A"/>
    <w:multiLevelType w:val="hybridMultilevel"/>
    <w:lvl w:ilvl="0">
      <w:lvlJc w:val="left"/>
      <w:lvlText w:val="%1."/>
      <w:numFmt w:val="decimal"/>
      <w:start w:val="1"/>
    </w:lvl>
    <w:lvl w:ilvl="1">
      <w:lvlJc w:val="left"/>
      <w:lvlText w:val="%2."/>
      <w:numFmt w:val="lowerLetter"/>
      <w:start w:val="1"/>
    </w:lvl>
  </w:abstractNum>
  <w:abstractNum w:abstractNumId="38">
    <w:nsid w:val="6A2342EC"/>
    <w:multiLevelType w:val="hybridMultilevel"/>
    <w:lvl w:ilvl="0">
      <w:lvlJc w:val="left"/>
      <w:lvlText w:val="%1"/>
      <w:numFmt w:val="decimal"/>
      <w:start w:val="1"/>
    </w:lvl>
    <w:lvl w:ilvl="1">
      <w:lvlJc w:val="left"/>
      <w:lvlText w:val="%2."/>
      <w:numFmt w:val="decimal"/>
      <w:start w:val="5"/>
    </w:lvl>
    <w:lvl w:ilvl="2">
      <w:lvlJc w:val="left"/>
      <w:lvlText w:val="%3."/>
      <w:numFmt w:val="lowerLetter"/>
      <w:start w:val="1"/>
    </w:lvl>
  </w:abstractNum>
  <w:abstractNum w:abstractNumId="39">
    <w:nsid w:val="2A487CB0"/>
    <w:multiLevelType w:val="hybridMultilevel"/>
    <w:lvl w:ilvl="0">
      <w:lvlJc w:val="left"/>
      <w:lvlText w:val="%1."/>
      <w:numFmt w:val="decimal"/>
      <w:start w:val="11"/>
    </w:lvl>
    <w:lvl w:ilvl="1">
      <w:lvlJc w:val="left"/>
      <w:lvlText w:val="%2"/>
      <w:numFmt w:val="decimal"/>
      <w:start w:val="1"/>
    </w:lvl>
    <w:lvl w:ilvl="2">
      <w:lvlJc w:val="left"/>
      <w:lvlText w:val="%3"/>
      <w:numFmt w:val="lowerLetter"/>
      <w:start w:val="1"/>
    </w:lvl>
  </w:abstractNum>
  <w:abstractNum w:abstractNumId="40">
    <w:nsid w:val="1D4ED43B"/>
    <w:multiLevelType w:val="hybridMultilevel"/>
    <w:lvl w:ilvl="0">
      <w:lvlJc w:val="left"/>
      <w:lvlText w:val="%1."/>
      <w:numFmt w:val="decimal"/>
      <w:start w:val="13"/>
    </w:lvl>
    <w:lvl w:ilvl="1">
      <w:lvlJc w:val="left"/>
      <w:lvlText w:val="%2."/>
      <w:numFmt w:val="lowerLetter"/>
      <w:start w:val="1"/>
    </w:lvl>
  </w:abstractNum>
  <w:abstractNum w:abstractNumId="41">
    <w:nsid w:val="725A06FB"/>
    <w:multiLevelType w:val="hybridMultilevel"/>
    <w:lvl w:ilvl="0">
      <w:lvlJc w:val="left"/>
      <w:lvlText w:val="%1."/>
      <w:numFmt w:val="decimal"/>
      <w:start w:val="1"/>
    </w:lvl>
  </w:abstractNum>
  <w:abstractNum w:abstractNumId="42">
    <w:nsid w:val="2CD89A32"/>
    <w:multiLevelType w:val="hybridMultilevel"/>
    <w:lvl w:ilvl="0">
      <w:lvlJc w:val="left"/>
      <w:lvlText w:val="%1"/>
      <w:numFmt w:val="decimal"/>
      <w:start w:val="1"/>
    </w:lvl>
    <w:lvl w:ilvl="1">
      <w:lvlJc w:val="left"/>
      <w:lvlText w:val="%2."/>
      <w:numFmt w:val="decimal"/>
      <w:start w:val="9"/>
    </w:lvl>
    <w:lvl w:ilvl="2">
      <w:lvlJc w:val="left"/>
      <w:lvlText w:val="%3."/>
      <w:numFmt w:val="lowerLetter"/>
      <w:start w:val="1"/>
    </w:lvl>
  </w:abstractNum>
  <w:abstractNum w:abstractNumId="43">
    <w:nsid w:val="57E4CCAF"/>
    <w:multiLevelType w:val="hybridMultilevel"/>
    <w:lvl w:ilvl="0">
      <w:lvlJc w:val="left"/>
      <w:lvlText w:val="%1."/>
      <w:numFmt w:val="decimal"/>
      <w:start w:val="11"/>
    </w:lvl>
    <w:lvl w:ilvl="1">
      <w:lvlJc w:val="left"/>
      <w:lvlText w:val="%2"/>
      <w:numFmt w:val="decimal"/>
      <w:start w:val="1"/>
    </w:lvl>
    <w:lvl w:ilvl="2">
      <w:lvlJc w:val="left"/>
      <w:lvlText w:val="%3"/>
      <w:numFmt w:val="lowerLetter"/>
      <w:start w:val="1"/>
    </w:lvl>
  </w:abstractNum>
  <w:abstractNum w:abstractNumId="44">
    <w:nsid w:val="7A6D8D3C"/>
    <w:multiLevelType w:val="hybridMultilevel"/>
    <w:lvl w:ilvl="0">
      <w:lvlJc w:val="left"/>
      <w:lvlText w:val="%1."/>
      <w:numFmt w:val="decimal"/>
      <w:start w:val="1"/>
    </w:lvl>
    <w:lvl w:ilvl="1">
      <w:lvlJc w:val="left"/>
      <w:lvlText w:val="%2."/>
      <w:numFmt w:val="lowerLetter"/>
      <w:start w:val="1"/>
    </w:lvl>
  </w:abstractNum>
  <w:abstractNum w:abstractNumId="45">
    <w:nsid w:val="4B588F54"/>
    <w:multiLevelType w:val="hybridMultilevel"/>
    <w:lvl w:ilvl="0">
      <w:lvlJc w:val="left"/>
      <w:lvlText w:val="%1."/>
      <w:numFmt w:val="decimal"/>
      <w:start w:val="1"/>
    </w:lvl>
    <w:lvl w:ilvl="1">
      <w:lvlJc w:val="left"/>
      <w:lvlText w:val="%2."/>
      <w:numFmt w:val="lowerLetter"/>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98" Type="http://schemas.openxmlformats.org/officeDocument/2006/relationships/image" Target="media/image70.png"/><Relationship Id="rId101" Type="http://schemas.openxmlformats.org/officeDocument/2006/relationships/image" Target="media/image71.png"/><Relationship Id="rId102" Type="http://schemas.openxmlformats.org/officeDocument/2006/relationships/image" Target="media/image72.png"/><Relationship Id="rId103" Type="http://schemas.openxmlformats.org/officeDocument/2006/relationships/image" Target="media/image73.png"/><Relationship Id="rId104" Type="http://schemas.openxmlformats.org/officeDocument/2006/relationships/image" Target="media/image74.png"/><Relationship Id="rId105" Type="http://schemas.openxmlformats.org/officeDocument/2006/relationships/image" Target="media/image75.png"/><Relationship Id="rId106" Type="http://schemas.openxmlformats.org/officeDocument/2006/relationships/image" Target="media/image76.png"/><Relationship Id="rId107" Type="http://schemas.openxmlformats.org/officeDocument/2006/relationships/image" Target="media/image77.png"/><Relationship Id="rId108" Type="http://schemas.openxmlformats.org/officeDocument/2006/relationships/image" Target="media/image78.png"/><Relationship Id="rId109" Type="http://schemas.openxmlformats.org/officeDocument/2006/relationships/image" Target="media/image79.png"/><Relationship Id="rId110" Type="http://schemas.openxmlformats.org/officeDocument/2006/relationships/image" Target="media/image80.png"/><Relationship Id="rId111" Type="http://schemas.openxmlformats.org/officeDocument/2006/relationships/image" Target="media/image81.png"/><Relationship Id="rId112" Type="http://schemas.openxmlformats.org/officeDocument/2006/relationships/image" Target="media/image82.png"/><Relationship Id="rId113" Type="http://schemas.openxmlformats.org/officeDocument/2006/relationships/image" Target="media/image83.png"/><Relationship Id="rId114" Type="http://schemas.openxmlformats.org/officeDocument/2006/relationships/image" Target="media/image84.png"/><Relationship Id="rId115" Type="http://schemas.openxmlformats.org/officeDocument/2006/relationships/image" Target="media/image85.png"/><Relationship Id="rId116" Type="http://schemas.openxmlformats.org/officeDocument/2006/relationships/image" Target="media/image86.png"/><Relationship Id="rId117" Type="http://schemas.openxmlformats.org/officeDocument/2006/relationships/image" Target="media/image87.png"/><Relationship Id="rId118" Type="http://schemas.openxmlformats.org/officeDocument/2006/relationships/image" Target="media/image88.png"/><Relationship Id="rId119" Type="http://schemas.openxmlformats.org/officeDocument/2006/relationships/image" Target="media/image89.png"/><Relationship Id="rId120" Type="http://schemas.openxmlformats.org/officeDocument/2006/relationships/image" Target="media/image90.png"/><Relationship Id="rId121" Type="http://schemas.openxmlformats.org/officeDocument/2006/relationships/image" Target="media/image91.png"/><Relationship Id="rId77" Type="http://schemas.openxmlformats.org/officeDocument/2006/relationships/hyperlink" Target="http://www.sec.gov/Archives/edgar/data/1123494/000114420413059290/v359438_ex2-1.htm" TargetMode="External"/><Relationship Id="rId78" Type="http://schemas.openxmlformats.org/officeDocument/2006/relationships/hyperlink" Target="http://www.sec.gov/Archives/edgar/data/1123494/000091205700047957/a2029062zex-3_2.txt" TargetMode="External"/><Relationship Id="rId79" Type="http://schemas.openxmlformats.org/officeDocument/2006/relationships/hyperlink" Target="http://www.sec.gov/Archives/edgar/data/1123494/000091205700047957/a2029062zex-3_3.txt" TargetMode="External"/><Relationship Id="rId80" Type="http://schemas.openxmlformats.org/officeDocument/2006/relationships/hyperlink" Target="http://www.sec.gov/Archives/edgar/data/1123494/000119312507232564/dex31.htm" TargetMode="External"/><Relationship Id="rId81" Type="http://schemas.openxmlformats.org/officeDocument/2006/relationships/hyperlink" Target="http://www.sec.gov/Archives/edgar/data/1123494/000091205700047957/a2029062zex-4_1.txt" TargetMode="External"/><Relationship Id="rId82" Type="http://schemas.openxmlformats.org/officeDocument/2006/relationships/hyperlink" Target="http://www.sec.gov/Archives/edgar/data/0001123494/000117184320001755/exh_42.htm" TargetMode="External"/><Relationship Id="rId83" Type="http://schemas.openxmlformats.org/officeDocument/2006/relationships/hyperlink" Target="http://www.sec.gov/Archives/edgar/data/0001123494/000117184320005789/ex_196561.htm" TargetMode="External"/><Relationship Id="rId84" Type="http://schemas.openxmlformats.org/officeDocument/2006/relationships/hyperlink" Target="http://www.sec.gov/Archives/edgar/data/1123494/000117184319002260/def14a_040519.htm" TargetMode="External"/><Relationship Id="rId85" Type="http://schemas.openxmlformats.org/officeDocument/2006/relationships/hyperlink" Target="http://www.sec.gov/Archives/edgar/data/0001123494/000117184320003556/exh_102.htm" TargetMode="External"/><Relationship Id="rId86" Type="http://schemas.openxmlformats.org/officeDocument/2006/relationships/hyperlink" Target="http://www.sec.gov/Archives/edgar/data/1123494/000110465903010306/j0607_ex10d1.htm" TargetMode="External"/><Relationship Id="rId87" Type="http://schemas.openxmlformats.org/officeDocument/2006/relationships/hyperlink" Target="http://www.sec.gov/Archives/edgar/data/1123494/000110465906017303/a06-2607_1ex10d27.htm" TargetMode="External"/><Relationship Id="rId88" Type="http://schemas.openxmlformats.org/officeDocument/2006/relationships/hyperlink" Target="http://www.sec.gov/Archives/edgar/data/1123494/000110465906017303/a06-2607_1ex10d28.htm" TargetMode="External"/><Relationship Id="rId89" Type="http://schemas.openxmlformats.org/officeDocument/2006/relationships/hyperlink" Target="http://www.sec.gov/Archives/edgar/data/1123494/000110465906017303/a06-2607_1ex10d29.htm" TargetMode="External"/><Relationship Id="rId90" Type="http://schemas.openxmlformats.org/officeDocument/2006/relationships/hyperlink" Target="http://www.sec.gov/Archives/edgar/data/1123494/000119312511068577/dex1026.htm" TargetMode="External"/><Relationship Id="rId91" Type="http://schemas.openxmlformats.org/officeDocument/2006/relationships/hyperlink" Target="http://www.sec.gov/Archives/edgar/data/0001123494/000117184320001755/exh_1012.htm" TargetMode="External"/><Relationship Id="rId92" Type="http://schemas.openxmlformats.org/officeDocument/2006/relationships/hyperlink" Target="http://www.sec.gov/Archives/edgar/data/1123494/000117184319004441/exh_101.htm" TargetMode="External"/><Relationship Id="rId93" Type="http://schemas.openxmlformats.org/officeDocument/2006/relationships/hyperlink" Target="http://www.sec.gov/Archives/edgar/data/1123494/000117184319004677/exh_101.htm" TargetMode="External"/><Relationship Id="rId94" Type="http://schemas.openxmlformats.org/officeDocument/2006/relationships/hyperlink" Target="http://www.sec.gov/Archives/edgar/data/1123494/000117184320001543/exh_101.htm" TargetMode="External"/><Relationship Id="rId95" Type="http://schemas.openxmlformats.org/officeDocument/2006/relationships/hyperlink" Target="http://www.sec.gov/Archives/edgar/data/1123494/000117184320008774/exh_101.htm" TargetMode="External"/><Relationship Id="rId96" Type="http://schemas.openxmlformats.org/officeDocument/2006/relationships/hyperlink" Target="http://www.sec.gov/Archives/edgar/data/1123494/000117184320008774/exh_102.htm" TargetMode="External"/><Relationship Id="rId97" Type="http://schemas.openxmlformats.org/officeDocument/2006/relationships/hyperlink" Target="http://www.sec.gov/Archives/edgar/data/0001123494/000117184320008774/exh_103.htm" TargetMode="External"/><Relationship Id="rId99" Type="http://schemas.openxmlformats.org/officeDocument/2006/relationships/hyperlink" Target="http://www.sec.gov/Archives/edgar/data/1123494/000117184321003642/exh_101.htm" TargetMode="External"/><Relationship Id="rId100" Type="http://schemas.openxmlformats.org/officeDocument/2006/relationships/hyperlink" Target="http://www.sec.gov/Archives/edgar/data/1123494/000119380522000124/e621242_ex10-1.htm"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2022-03-11T15:47:48Z</dcterms:created>
  <dcterms:modified xsi:type="dcterms:W3CDTF">2022-03-11T15:47:48Z</dcterms:modified>
</cp:coreProperties>
</file>