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7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37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600" w:type="dxa"/>
            <w:vAlign w:val="bottom"/>
            <w:tcBorders>
              <w:bottom w:val="single" w:sz="8" w:color="auto"/>
            </w:tcBorders>
          </w:tcPr>
          <w:p>
            <w:pPr>
              <w:spacing w:after="0"/>
              <w:rPr>
                <w:sz w:val="17"/>
                <w:szCs w:val="17"/>
                <w:color w:val="auto"/>
              </w:rPr>
            </w:pPr>
          </w:p>
        </w:tc>
      </w:tr>
      <w:tr>
        <w:trPr>
          <w:trHeight w:val="453"/>
        </w:trPr>
        <w:tc>
          <w:tcPr>
            <w:tcW w:w="378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tc>
      </w:tr>
    </w:tbl>
    <w:p>
      <w:pPr>
        <w:spacing w:after="0" w:line="1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2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8"/>
              </w:rPr>
              <w:t>04-3306140</w:t>
            </w:r>
          </w:p>
        </w:tc>
      </w:tr>
      <w:tr>
        <w:trPr>
          <w:trHeight w:val="216"/>
        </w:trPr>
        <w:tc>
          <w:tcPr>
            <w:tcW w:w="412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2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84 October Hill Road, Holliston, Massachusetts 01746</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080"/>
          </w:cols>
          <w:pgMar w:left="320" w:top="927" w:right="49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4225" cy="302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pacing w:after="0" w:line="150" w:lineRule="exact"/>
        <w:rPr>
          <w:sz w:val="24"/>
          <w:szCs w:val="24"/>
          <w:color w:val="auto"/>
        </w:rPr>
      </w:pPr>
    </w:p>
    <w:tbl>
      <w:tblPr>
        <w:tblLayout w:type="fixed"/>
        <w:tblInd w:w="10" w:type="dxa"/>
        <w:tblCellMar>
          <w:top w:w="0" w:type="dxa"/>
          <w:left w:w="0" w:type="dxa"/>
          <w:bottom w:w="0" w:type="dxa"/>
          <w:right w:w="0" w:type="dxa"/>
        </w:tblCellMar>
      </w:tblPr>
      <w:tr>
        <w:trPr>
          <w:trHeight w:val="231"/>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0" w:type="dxa"/>
            <w:vAlign w:val="bottom"/>
          </w:tcPr>
          <w:p>
            <w:pPr>
              <w:spacing w:after="0"/>
              <w:rPr>
                <w:sz w:val="1"/>
                <w:szCs w:val="1"/>
                <w:color w:val="auto"/>
              </w:rPr>
            </w:pPr>
          </w:p>
        </w:tc>
      </w:tr>
      <w:tr>
        <w:trPr>
          <w:trHeight w:val="20"/>
        </w:trPr>
        <w:tc>
          <w:tcPr>
            <w:tcW w:w="4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HBIO</w:t>
            </w:r>
          </w:p>
        </w:tc>
        <w:tc>
          <w:tcPr>
            <w:tcW w:w="0" w:type="dxa"/>
            <w:vAlign w:val="bottom"/>
          </w:tcPr>
          <w:p>
            <w:pPr>
              <w:spacing w:after="0" w:line="20" w:lineRule="exact"/>
              <w:rPr>
                <w:sz w:val="1"/>
                <w:szCs w:val="1"/>
                <w:color w:val="auto"/>
              </w:rPr>
            </w:pPr>
          </w:p>
        </w:tc>
      </w:tr>
      <w:tr>
        <w:trPr>
          <w:trHeight w:val="205"/>
        </w:trPr>
        <w:tc>
          <w:tcPr>
            <w:tcW w:w="4520" w:type="dxa"/>
            <w:vAlign w:val="bottom"/>
            <w:tcBorders>
              <w:left w:val="single" w:sz="8" w:color="auto"/>
              <w:right w:val="single" w:sz="8" w:color="auto"/>
            </w:tcBorders>
            <w:vMerge w:val="continue"/>
          </w:tcPr>
          <w:p>
            <w:pPr>
              <w:spacing w:after="0"/>
              <w:rPr>
                <w:sz w:val="17"/>
                <w:szCs w:val="17"/>
                <w:color w:val="auto"/>
              </w:rPr>
            </w:pPr>
          </w:p>
        </w:tc>
        <w:tc>
          <w:tcPr>
            <w:tcW w:w="22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The Nasdaq Global Market</w:t>
      </w:r>
    </w:p>
    <w:p>
      <w:pPr>
        <w:spacing w:after="0" w:line="234" w:lineRule="exact"/>
        <w:rPr>
          <w:sz w:val="24"/>
          <w:szCs w:val="24"/>
          <w:color w:val="auto"/>
        </w:rPr>
      </w:pPr>
    </w:p>
    <w:p>
      <w:pPr>
        <w:sectPr>
          <w:pgSz w:w="11900" w:h="16838" w:orient="portrait"/>
          <w:cols w:equalWidth="0" w:num="2">
            <w:col w:w="6780" w:space="620"/>
            <w:col w:w="3680"/>
          </w:cols>
          <w:pgMar w:left="320" w:top="927" w:right="499" w:bottom="1440" w:gutter="0" w:footer="0" w:header="0"/>
          <w:type w:val="continuous"/>
        </w:sectPr>
      </w:pPr>
    </w:p>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p>
      <w:pPr>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51" w:lineRule="exact"/>
        <w:rPr>
          <w:sz w:val="24"/>
          <w:szCs w:val="24"/>
          <w:color w:val="auto"/>
        </w:rPr>
      </w:pPr>
    </w:p>
    <w:p>
      <w:pPr>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ind w:left="56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30, 2020, there were 38,975,510 shares of the registrant’s common stock issued and outstanding.</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27"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340" w:type="dxa"/>
            <w:vAlign w:val="bottom"/>
            <w:gridSpan w:val="3"/>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900" w:type="dxa"/>
            <w:vAlign w:val="bottom"/>
          </w:tcPr>
          <w:p>
            <w:pPr>
              <w:spacing w:after="0"/>
              <w:rPr>
                <w:sz w:val="20"/>
                <w:szCs w:val="20"/>
                <w:color w:val="auto"/>
              </w:rPr>
            </w:pPr>
          </w:p>
        </w:tc>
      </w:tr>
      <w:tr>
        <w:trPr>
          <w:trHeight w:val="918"/>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9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00" w:type="dxa"/>
            <w:vAlign w:val="bottom"/>
          </w:tcPr>
          <w:p>
            <w:pPr>
              <w:spacing w:after="0"/>
              <w:rPr>
                <w:sz w:val="24"/>
                <w:szCs w:val="24"/>
                <w:color w:val="auto"/>
              </w:rPr>
            </w:pPr>
          </w:p>
        </w:tc>
      </w:tr>
      <w:tr>
        <w:trPr>
          <w:trHeight w:val="648"/>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648"/>
        </w:trPr>
        <w:tc>
          <w:tcPr>
            <w:tcW w:w="10340" w:type="dxa"/>
            <w:vAlign w:val="bottom"/>
            <w:gridSpan w:val="3"/>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PART I - FINANCIAL INFORMATION</w:t>
              </w:r>
            </w:hyperlink>
          </w:p>
        </w:tc>
        <w:tc>
          <w:tcPr>
            <w:tcW w:w="900" w:type="dxa"/>
            <w:vAlign w:val="bottom"/>
          </w:tcPr>
          <w:p>
            <w:pPr>
              <w:spacing w:after="0"/>
              <w:rPr>
                <w:sz w:val="24"/>
                <w:szCs w:val="24"/>
                <w:color w:val="auto"/>
              </w:rPr>
            </w:pPr>
          </w:p>
        </w:tc>
      </w:tr>
      <w:tr>
        <w:trPr>
          <w:trHeight w:val="432"/>
        </w:trPr>
        <w:tc>
          <w:tcPr>
            <w:tcW w:w="68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Item 1.</w:t>
              </w:r>
            </w:hyperlink>
          </w:p>
        </w:tc>
        <w:tc>
          <w:tcPr>
            <w:tcW w:w="9660" w:type="dxa"/>
            <w:vAlign w:val="bottom"/>
            <w:gridSpan w:val="2"/>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Financial Statements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3</w:t>
              </w:r>
            </w:hyperlink>
          </w:p>
        </w:tc>
      </w:tr>
      <w:tr>
        <w:trPr>
          <w:trHeight w:val="432"/>
        </w:trPr>
        <w:tc>
          <w:tcPr>
            <w:tcW w:w="680" w:type="dxa"/>
            <w:vAlign w:val="bottom"/>
          </w:tcPr>
          <w:p>
            <w:pPr>
              <w:spacing w:after="0"/>
              <w:rPr>
                <w:sz w:val="24"/>
                <w:szCs w:val="24"/>
                <w:color w:val="auto"/>
              </w:rPr>
            </w:pPr>
          </w:p>
        </w:tc>
        <w:tc>
          <w:tcPr>
            <w:tcW w:w="9660" w:type="dxa"/>
            <w:vAlign w:val="bottom"/>
            <w:gridSpan w:val="2"/>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Consolidated Balance Sheets as of September 30, 2020 and December 31, 2019 (unaudited)</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3</w:t>
              </w:r>
            </w:hyperlink>
          </w:p>
        </w:tc>
      </w:tr>
      <w:tr>
        <w:trPr>
          <w:trHeight w:val="391"/>
        </w:trPr>
        <w:tc>
          <w:tcPr>
            <w:tcW w:w="680" w:type="dxa"/>
            <w:vAlign w:val="bottom"/>
          </w:tcPr>
          <w:p>
            <w:pPr>
              <w:spacing w:after="0"/>
              <w:rPr>
                <w:sz w:val="24"/>
                <w:szCs w:val="24"/>
                <w:color w:val="auto"/>
              </w:rPr>
            </w:pPr>
          </w:p>
        </w:tc>
        <w:tc>
          <w:tcPr>
            <w:tcW w:w="96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Statements of Operations and Comprehensive Loss for the Three and Nine Months Ended September 30, 2020 and 2019</w:t>
              </w:r>
            </w:hyperlink>
          </w:p>
        </w:tc>
        <w:tc>
          <w:tcPr>
            <w:tcW w:w="9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(unaudited)</w:t>
              </w:r>
            </w:hyperlink>
          </w:p>
        </w:tc>
        <w:tc>
          <w:tcPr>
            <w:tcW w:w="8820" w:type="dxa"/>
            <w:vAlign w:val="bottom"/>
          </w:tcPr>
          <w:p>
            <w:pPr>
              <w:spacing w:after="0"/>
              <w:rPr>
                <w:sz w:val="17"/>
                <w:szCs w:val="17"/>
                <w:color w:val="auto"/>
              </w:rPr>
            </w:pPr>
          </w:p>
        </w:tc>
        <w:tc>
          <w:tcPr>
            <w:tcW w:w="90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4</w:t>
              </w:r>
            </w:hyperlink>
          </w:p>
        </w:tc>
      </w:tr>
      <w:tr>
        <w:trPr>
          <w:trHeight w:val="453"/>
        </w:trPr>
        <w:tc>
          <w:tcPr>
            <w:tcW w:w="680" w:type="dxa"/>
            <w:vAlign w:val="bottom"/>
          </w:tcPr>
          <w:p>
            <w:pPr>
              <w:spacing w:after="0"/>
              <w:rPr>
                <w:sz w:val="24"/>
                <w:szCs w:val="24"/>
                <w:color w:val="auto"/>
              </w:rPr>
            </w:pPr>
          </w:p>
        </w:tc>
        <w:tc>
          <w:tcPr>
            <w:tcW w:w="9660" w:type="dxa"/>
            <w:vAlign w:val="bottom"/>
            <w:gridSpan w:val="2"/>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Statements of Stockholders' Equity for the Three and Nine Months Ended September 30, 2020 and 2019 (unaudited)</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5</w:t>
              </w:r>
            </w:hyperlink>
          </w:p>
        </w:tc>
      </w:tr>
      <w:tr>
        <w:trPr>
          <w:trHeight w:val="432"/>
        </w:trPr>
        <w:tc>
          <w:tcPr>
            <w:tcW w:w="680" w:type="dxa"/>
            <w:vAlign w:val="bottom"/>
          </w:tcPr>
          <w:p>
            <w:pPr>
              <w:spacing w:after="0"/>
              <w:rPr>
                <w:sz w:val="24"/>
                <w:szCs w:val="24"/>
                <w:color w:val="auto"/>
              </w:rPr>
            </w:pPr>
          </w:p>
        </w:tc>
        <w:tc>
          <w:tcPr>
            <w:tcW w:w="9660" w:type="dxa"/>
            <w:vAlign w:val="bottom"/>
            <w:gridSpan w:val="2"/>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Statements of Cash Flows for the Nine Months Ended September 30, 2020 and 2019 (unaudited)</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6</w:t>
              </w:r>
            </w:hyperlink>
          </w:p>
        </w:tc>
      </w:tr>
      <w:tr>
        <w:trPr>
          <w:trHeight w:val="432"/>
        </w:trPr>
        <w:tc>
          <w:tcPr>
            <w:tcW w:w="680" w:type="dxa"/>
            <w:vAlign w:val="bottom"/>
          </w:tcPr>
          <w:p>
            <w:pPr>
              <w:spacing w:after="0"/>
              <w:rPr>
                <w:sz w:val="24"/>
                <w:szCs w:val="24"/>
                <w:color w:val="auto"/>
              </w:rPr>
            </w:pPr>
          </w:p>
        </w:tc>
        <w:tc>
          <w:tcPr>
            <w:tcW w:w="9660" w:type="dxa"/>
            <w:vAlign w:val="bottom"/>
            <w:gridSpan w:val="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Notes to Unaudited Consolidated Financial Statements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7</w:t>
              </w:r>
            </w:hyperlink>
          </w:p>
        </w:tc>
      </w:tr>
      <w:tr>
        <w:trPr>
          <w:trHeight w:val="432"/>
        </w:trPr>
        <w:tc>
          <w:tcPr>
            <w:tcW w:w="10340" w:type="dxa"/>
            <w:vAlign w:val="bottom"/>
            <w:gridSpan w:val="3"/>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22</w:t>
              </w:r>
            </w:hyperlink>
          </w:p>
        </w:tc>
      </w:tr>
      <w:tr>
        <w:trPr>
          <w:trHeight w:val="432"/>
        </w:trPr>
        <w:tc>
          <w:tcPr>
            <w:tcW w:w="10340" w:type="dxa"/>
            <w:vAlign w:val="bottom"/>
            <w:gridSpan w:val="3"/>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28</w:t>
              </w:r>
            </w:hyperlink>
          </w:p>
        </w:tc>
      </w:tr>
      <w:tr>
        <w:trPr>
          <w:trHeight w:val="432"/>
        </w:trPr>
        <w:tc>
          <w:tcPr>
            <w:tcW w:w="10340" w:type="dxa"/>
            <w:vAlign w:val="bottom"/>
            <w:gridSpan w:val="3"/>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Item 4.  Controls and Procedures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29</w:t>
              </w:r>
            </w:hyperlink>
          </w:p>
        </w:tc>
      </w:tr>
      <w:tr>
        <w:trPr>
          <w:trHeight w:val="432"/>
        </w:trPr>
        <w:tc>
          <w:tcPr>
            <w:tcW w:w="10340" w:type="dxa"/>
            <w:vAlign w:val="bottom"/>
            <w:gridSpan w:val="3"/>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PART II - OTHER INFORMATION</w:t>
              </w:r>
            </w:hyperlink>
          </w:p>
        </w:tc>
        <w:tc>
          <w:tcPr>
            <w:tcW w:w="900" w:type="dxa"/>
            <w:vAlign w:val="bottom"/>
          </w:tcPr>
          <w:p>
            <w:pPr>
              <w:spacing w:after="0"/>
              <w:rPr>
                <w:sz w:val="24"/>
                <w:szCs w:val="24"/>
                <w:color w:val="auto"/>
              </w:rPr>
            </w:pPr>
          </w:p>
        </w:tc>
      </w:tr>
      <w:tr>
        <w:trPr>
          <w:trHeight w:val="432"/>
        </w:trPr>
        <w:tc>
          <w:tcPr>
            <w:tcW w:w="680" w:type="dxa"/>
            <w:vAlign w:val="bottom"/>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Item 1.</w:t>
              </w:r>
            </w:hyperlink>
          </w:p>
        </w:tc>
        <w:tc>
          <w:tcPr>
            <w:tcW w:w="9660" w:type="dxa"/>
            <w:vAlign w:val="bottom"/>
            <w:gridSpan w:val="2"/>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Legal Proceedings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30</w:t>
              </w:r>
            </w:hyperlink>
          </w:p>
        </w:tc>
      </w:tr>
      <w:tr>
        <w:trPr>
          <w:trHeight w:val="432"/>
        </w:trPr>
        <w:tc>
          <w:tcPr>
            <w:tcW w:w="10340" w:type="dxa"/>
            <w:vAlign w:val="bottom"/>
            <w:gridSpan w:val="3"/>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Risk Factors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30</w:t>
              </w:r>
            </w:hyperlink>
          </w:p>
        </w:tc>
      </w:tr>
      <w:tr>
        <w:trPr>
          <w:trHeight w:val="432"/>
        </w:trPr>
        <w:tc>
          <w:tcPr>
            <w:tcW w:w="10340" w:type="dxa"/>
            <w:vAlign w:val="bottom"/>
            <w:gridSpan w:val="3"/>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u w:val="single" w:color="auto"/>
                  <w:color w:val="0000EE"/>
                </w:rPr>
                <w:t>Item 2.  Unregistered Sales of Equity Securities and Use of Proceeds</w:t>
              </w:r>
              <w:r>
                <w:rPr>
                  <w:rFonts w:ascii="Times New Roman" w:cs="Times New Roman" w:eastAsia="Times New Roman" w:hAnsi="Times New Roman"/>
                  <w:sz w:val="18"/>
                  <w:szCs w:val="18"/>
                  <w:color w:val="0000EE"/>
                </w:rPr>
                <w:t>.</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30</w:t>
              </w:r>
            </w:hyperlink>
          </w:p>
        </w:tc>
      </w:tr>
      <w:tr>
        <w:trPr>
          <w:trHeight w:val="432"/>
        </w:trPr>
        <w:tc>
          <w:tcPr>
            <w:tcW w:w="10340" w:type="dxa"/>
            <w:vAlign w:val="bottom"/>
            <w:gridSpan w:val="3"/>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Item 3.  Default Upon Senior Securities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30</w:t>
              </w:r>
            </w:hyperlink>
          </w:p>
        </w:tc>
      </w:tr>
      <w:tr>
        <w:trPr>
          <w:trHeight w:val="432"/>
        </w:trPr>
        <w:tc>
          <w:tcPr>
            <w:tcW w:w="10340" w:type="dxa"/>
            <w:vAlign w:val="bottom"/>
            <w:gridSpan w:val="3"/>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Item 4.  Mine Safety Disclosures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30</w:t>
              </w:r>
            </w:hyperlink>
          </w:p>
        </w:tc>
      </w:tr>
      <w:tr>
        <w:trPr>
          <w:trHeight w:val="432"/>
        </w:trPr>
        <w:tc>
          <w:tcPr>
            <w:tcW w:w="68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5.</w:t>
              </w:r>
            </w:hyperlink>
          </w:p>
        </w:tc>
        <w:tc>
          <w:tcPr>
            <w:tcW w:w="9660" w:type="dxa"/>
            <w:vAlign w:val="bottom"/>
            <w:gridSpan w:val="2"/>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Other Information</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30</w:t>
              </w:r>
            </w:hyperlink>
          </w:p>
        </w:tc>
      </w:tr>
      <w:tr>
        <w:trPr>
          <w:trHeight w:val="432"/>
        </w:trPr>
        <w:tc>
          <w:tcPr>
            <w:tcW w:w="68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6.</w:t>
              </w:r>
            </w:hyperlink>
          </w:p>
        </w:tc>
        <w:tc>
          <w:tcPr>
            <w:tcW w:w="9660" w:type="dxa"/>
            <w:vAlign w:val="bottom"/>
            <w:gridSpan w:val="2"/>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Exhibits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30</w:t>
              </w:r>
            </w:hyperlink>
          </w:p>
        </w:tc>
      </w:tr>
      <w:tr>
        <w:trPr>
          <w:trHeight w:val="432"/>
        </w:trPr>
        <w:tc>
          <w:tcPr>
            <w:tcW w:w="10340" w:type="dxa"/>
            <w:vAlign w:val="bottom"/>
            <w:gridSpan w:val="3"/>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SIGNATURES</w:t>
              </w:r>
            </w:hyperlink>
          </w:p>
        </w:tc>
        <w:tc>
          <w:tcPr>
            <w:tcW w:w="900" w:type="dxa"/>
            <w:vAlign w:val="bottom"/>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31</w:t>
              </w:r>
            </w:hyperlink>
          </w:p>
        </w:tc>
      </w:tr>
      <w:tr>
        <w:trPr>
          <w:trHeight w:val="432"/>
        </w:trPr>
        <w:tc>
          <w:tcPr>
            <w:tcW w:w="680" w:type="dxa"/>
            <w:vAlign w:val="bottom"/>
          </w:tcPr>
          <w:p>
            <w:pPr>
              <w:spacing w:after="0"/>
              <w:rPr>
                <w:sz w:val="24"/>
                <w:szCs w:val="24"/>
                <w:color w:val="auto"/>
              </w:rPr>
            </w:pPr>
          </w:p>
        </w:tc>
        <w:tc>
          <w:tcPr>
            <w:tcW w:w="9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2</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0"/>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data)</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69"/>
        </w:trPr>
        <w:tc>
          <w:tcPr>
            <w:tcW w:w="7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2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8,335</w:t>
            </w:r>
          </w:p>
        </w:tc>
      </w:tr>
      <w:tr>
        <w:trPr>
          <w:trHeight w:val="216"/>
        </w:trPr>
        <w:tc>
          <w:tcPr>
            <w:tcW w:w="2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20,704</w:t>
            </w:r>
          </w:p>
        </w:tc>
      </w:tr>
      <w:tr>
        <w:trPr>
          <w:trHeight w:val="216"/>
        </w:trPr>
        <w:tc>
          <w:tcPr>
            <w:tcW w:w="2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22,061</w:t>
            </w:r>
          </w:p>
        </w:tc>
      </w:tr>
      <w:tr>
        <w:trPr>
          <w:trHeight w:val="216"/>
        </w:trPr>
        <w:tc>
          <w:tcPr>
            <w:tcW w:w="2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2,472</w:t>
            </w:r>
          </w:p>
        </w:tc>
      </w:tr>
      <w:tr>
        <w:trPr>
          <w:trHeight w:val="209"/>
        </w:trPr>
        <w:tc>
          <w:tcPr>
            <w:tcW w:w="29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4,776</w:t>
            </w: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8,463</w:t>
            </w: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57,647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57,381</w:t>
            </w: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34,315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38,405</w:t>
            </w:r>
          </w:p>
        </w:tc>
      </w:tr>
      <w:tr>
        <w:trPr>
          <w:trHeight w:val="216"/>
        </w:trPr>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2,273</w:t>
            </w:r>
          </w:p>
        </w:tc>
      </w:tr>
      <w:tr>
        <w:trPr>
          <w:trHeight w:val="21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149,614</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164,870</w:t>
            </w:r>
          </w:p>
        </w:tc>
      </w:tr>
      <w:tr>
        <w:trPr>
          <w:trHeight w:val="20"/>
        </w:trPr>
        <w:tc>
          <w:tcPr>
            <w:tcW w:w="2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278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76"/>
        </w:trPr>
        <w:tc>
          <w:tcPr>
            <w:tcW w:w="7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
        </w:trPr>
        <w:tc>
          <w:tcPr>
            <w:tcW w:w="278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6,900</w:t>
            </w:r>
          </w:p>
        </w:tc>
      </w:tr>
      <w:tr>
        <w:trPr>
          <w:trHeight w:val="216"/>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2,424</w:t>
            </w: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5,339</w:t>
            </w:r>
          </w:p>
        </w:tc>
      </w:tr>
      <w:tr>
        <w:trPr>
          <w:trHeight w:val="216"/>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3,949</w:t>
            </w: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6,091</w:t>
            </w:r>
          </w:p>
        </w:tc>
      </w:tr>
      <w:tr>
        <w:trPr>
          <w:trHeight w:val="209"/>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21,248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25,312</w:t>
            </w:r>
          </w:p>
        </w:tc>
      </w:tr>
      <w:tr>
        <w:trPr>
          <w:trHeight w:val="216"/>
        </w:trPr>
        <w:tc>
          <w:tcPr>
            <w:tcW w:w="278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40,669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46,917</w:t>
            </w: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1,974</w:t>
            </w: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7,692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8,224</w:t>
            </w:r>
          </w:p>
        </w:tc>
      </w:tr>
      <w:tr>
        <w:trPr>
          <w:trHeight w:val="216"/>
        </w:trPr>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r>
      <w:tr>
        <w:trPr>
          <w:trHeight w:val="21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72,447</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83,176</w:t>
            </w:r>
          </w:p>
        </w:tc>
      </w:tr>
      <w:tr>
        <w:trPr>
          <w:trHeight w:val="209"/>
        </w:trPr>
        <w:tc>
          <w:tcPr>
            <w:tcW w:w="278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 Note 15</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80,000,000 shares authorized; 46,719,632 and 45,933,715</w:t>
            </w: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issued and 38,974,125 and 38,188,208 shares outstanding, respectively</w:t>
            </w:r>
          </w:p>
        </w:tc>
        <w:tc>
          <w:tcPr>
            <w:tcW w:w="4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231,142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229,189</w:t>
            </w: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(124,576)</w:t>
            </w:r>
          </w:p>
        </w:tc>
      </w:tr>
      <w:tr>
        <w:trPr>
          <w:trHeight w:val="216"/>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 7,745,507 common shares</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(10,668)</w:t>
            </w:r>
          </w:p>
        </w:tc>
      </w:tr>
      <w:tr>
        <w:trPr>
          <w:trHeight w:val="209"/>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77,167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81,694</w:t>
            </w:r>
          </w:p>
        </w:tc>
      </w:tr>
      <w:tr>
        <w:trPr>
          <w:trHeight w:val="21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149,614</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164,870</w:t>
            </w:r>
          </w:p>
        </w:tc>
      </w:tr>
      <w:tr>
        <w:trPr>
          <w:trHeight w:val="20"/>
        </w:trPr>
        <w:tc>
          <w:tcPr>
            <w:tcW w:w="2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8"/>
        </w:trPr>
        <w:tc>
          <w:tcPr>
            <w:tcW w:w="4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1080" w:type="dxa"/>
            <w:vAlign w:val="bottom"/>
            <w:tcBorders>
              <w:bottom w:val="single" w:sz="8" w:color="auto"/>
            </w:tcBorders>
          </w:tcPr>
          <w:p>
            <w:pPr>
              <w:spacing w:after="0"/>
              <w:rPr>
                <w:sz w:val="20"/>
                <w:szCs w:val="20"/>
                <w:color w:val="auto"/>
              </w:rPr>
            </w:pPr>
          </w:p>
        </w:tc>
      </w:tr>
      <w:tr>
        <w:trPr>
          <w:trHeight w:val="210"/>
        </w:trPr>
        <w:tc>
          <w:tcPr>
            <w:tcW w:w="4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4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71,116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85,204</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10,542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12,439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30,783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38,116</w:t>
            </w:r>
          </w:p>
        </w:tc>
      </w:tr>
      <w:tr>
        <w:trPr>
          <w:trHeight w:val="210"/>
        </w:trPr>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40,333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47,088</w:t>
            </w:r>
          </w:p>
        </w:tc>
      </w:tr>
      <w:tr>
        <w:trPr>
          <w:trHeight w:val="209"/>
        </w:trPr>
        <w:tc>
          <w:tcPr>
            <w:tcW w:w="4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17,370</w:t>
            </w: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17,215</w:t>
            </w: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8,070</w:t>
            </w: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4,289</w:t>
            </w: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1,401</w:t>
            </w:r>
          </w:p>
        </w:tc>
      </w:tr>
      <w:tr>
        <w:trPr>
          <w:trHeight w:val="209"/>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42,868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48,345</w:t>
            </w:r>
          </w:p>
        </w:tc>
      </w:tr>
      <w:tr>
        <w:trPr>
          <w:trHeight w:val="210"/>
        </w:trPr>
        <w:tc>
          <w:tcPr>
            <w:tcW w:w="4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10"/>
        </w:trPr>
        <w:tc>
          <w:tcPr>
            <w:tcW w:w="4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r>
      <w:tr>
        <w:trPr>
          <w:trHeight w:val="216"/>
        </w:trPr>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w:t>
            </w:r>
          </w:p>
        </w:tc>
      </w:tr>
      <w:tr>
        <w:trPr>
          <w:trHeight w:val="209"/>
        </w:trPr>
        <w:tc>
          <w:tcPr>
            <w:tcW w:w="4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r>
      <w:tr>
        <w:trPr>
          <w:trHeight w:val="216"/>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r>
      <w:tr>
        <w:trPr>
          <w:trHeight w:val="20"/>
        </w:trPr>
        <w:tc>
          <w:tcPr>
            <w:tcW w:w="4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bl>
    <w:p>
      <w:pPr>
        <w:sectPr>
          <w:pgSz w:w="11900" w:h="16838" w:orient="portrait"/>
          <w:cols w:equalWidth="0" w:num="1">
            <w:col w:w="11240"/>
          </w:cols>
          <w:pgMar w:left="320" w:top="140"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38,036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38,540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Derivatives qualifying as hedges, net of tax:</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Gain (loss) on derivative instruments designated and qualifying as cash</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flow hedges</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198"/>
        </w:trPr>
        <w:tc>
          <w:tcPr>
            <w:tcW w:w="56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 to net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1"/>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Derivatives qualifying as hedges, net of tax</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410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2020</w:t>
            </w:r>
          </w:p>
        </w:tc>
        <w:tc>
          <w:tcPr>
            <w:tcW w:w="100" w:type="dxa"/>
            <w:vAlign w:val="bottom"/>
          </w:tcPr>
          <w:p>
            <w:pPr>
              <w:spacing w:after="0"/>
              <w:rPr>
                <w:sz w:val="18"/>
                <w:szCs w:val="18"/>
                <w:color w:val="auto"/>
              </w:rPr>
            </w:pPr>
          </w:p>
        </w:tc>
        <w:tc>
          <w:tcPr>
            <w:tcW w:w="130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8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230,675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(130,673)</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76,068</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231,142</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(131,771)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77,167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500" w:type="dxa"/>
            <w:vAlign w:val="bottom"/>
          </w:tcPr>
          <w:p>
            <w:pPr>
              <w:spacing w:after="0"/>
              <w:rPr>
                <w:sz w:val="24"/>
                <w:szCs w:val="24"/>
                <w:color w:val="auto"/>
              </w:rPr>
            </w:pPr>
          </w:p>
        </w:tc>
        <w:tc>
          <w:tcPr>
            <w:tcW w:w="410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2019</w:t>
            </w:r>
          </w:p>
        </w:tc>
        <w:tc>
          <w:tcPr>
            <w:tcW w:w="100" w:type="dxa"/>
            <w:vAlign w:val="bottom"/>
          </w:tcPr>
          <w:p>
            <w:pPr>
              <w:spacing w:after="0"/>
              <w:rPr>
                <w:sz w:val="24"/>
                <w:szCs w:val="24"/>
                <w:color w:val="auto"/>
              </w:rPr>
            </w:pPr>
          </w:p>
        </w:tc>
        <w:tc>
          <w:tcPr>
            <w:tcW w:w="130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8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227,249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(122,506)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80,330</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45,810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228,177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(125,125)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77,103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gridSpan w:val="1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100" w:type="dxa"/>
            <w:vAlign w:val="bottom"/>
          </w:tcPr>
          <w:p>
            <w:pPr>
              <w:spacing w:after="0"/>
              <w:rPr>
                <w:sz w:val="24"/>
                <w:szCs w:val="24"/>
                <w:color w:val="auto"/>
              </w:rPr>
            </w:pPr>
          </w:p>
        </w:tc>
        <w:tc>
          <w:tcPr>
            <w:tcW w:w="130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8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229,189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(124,576)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81,694</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05"/>
        </w:trPr>
        <w:tc>
          <w:tcPr>
            <w:tcW w:w="35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September 30, 2020</w:t>
            </w:r>
          </w:p>
        </w:tc>
        <w:tc>
          <w:tcPr>
            <w:tcW w:w="860" w:type="dxa"/>
            <w:vAlign w:val="bottom"/>
            <w:gridSpan w:val="3"/>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46,720</w:t>
            </w:r>
          </w:p>
        </w:tc>
        <w:tc>
          <w:tcPr>
            <w:tcW w:w="24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438</w:t>
            </w:r>
          </w:p>
        </w:tc>
        <w:tc>
          <w:tcPr>
            <w:tcW w:w="220" w:type="dxa"/>
            <w:vAlign w:val="bottom"/>
            <w:gridSpan w:val="2"/>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231,142</w:t>
            </w:r>
          </w:p>
        </w:tc>
        <w:tc>
          <w:tcPr>
            <w:tcW w:w="280" w:type="dxa"/>
            <w:vAlign w:val="bottom"/>
            <w:gridSpan w:val="2"/>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(131,771)</w:t>
            </w:r>
          </w:p>
        </w:tc>
        <w:tc>
          <w:tcPr>
            <w:tcW w:w="340" w:type="dxa"/>
            <w:vAlign w:val="bottom"/>
            <w:gridSpan w:val="2"/>
            <w:shd w:val="clear" w:color="auto" w:fill="CCEEFF"/>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(11,974)</w:t>
            </w:r>
          </w:p>
        </w:tc>
        <w:tc>
          <w:tcPr>
            <w:tcW w:w="24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77,167</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4" w:name="page5"/>
    <w:bookmarkEnd w:id="4"/>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80" w:type="dxa"/>
            <w:vAlign w:val="bottom"/>
            <w:gridSpan w:val="11"/>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2019</w:t>
            </w:r>
          </w:p>
        </w:tc>
        <w:tc>
          <w:tcPr>
            <w:tcW w:w="100" w:type="dxa"/>
            <w:vAlign w:val="bottom"/>
          </w:tcPr>
          <w:p>
            <w:pPr>
              <w:spacing w:after="0"/>
              <w:rPr>
                <w:sz w:val="17"/>
                <w:szCs w:val="17"/>
                <w:color w:val="auto"/>
              </w:rPr>
            </w:pPr>
          </w:p>
        </w:tc>
        <w:tc>
          <w:tcPr>
            <w:tcW w:w="130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8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226,377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(119,889)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82,724</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228,177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(125,125)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77,103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1,497</w:t>
            </w:r>
          </w:p>
        </w:tc>
      </w:tr>
      <w:tr>
        <w:trPr>
          <w:trHeight w:val="216"/>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charges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1,401</w:t>
            </w:r>
          </w:p>
        </w:tc>
      </w:tr>
      <w:tr>
        <w:trPr>
          <w:trHeight w:val="216"/>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4,289</w:t>
            </w:r>
          </w:p>
        </w:tc>
      </w:tr>
      <w:tr>
        <w:trPr>
          <w:trHeight w:val="216"/>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2,193</w:t>
            </w:r>
          </w:p>
        </w:tc>
      </w:tr>
      <w:tr>
        <w:trPr>
          <w:trHeight w:val="216"/>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allowance for doubtful accounts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3,805</w:t>
            </w:r>
          </w:p>
        </w:tc>
      </w:tr>
      <w:tr>
        <w:trPr>
          <w:trHeight w:val="216"/>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16"/>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income taxes</w:t>
            </w: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74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0"/>
        </w:trPr>
        <w:tc>
          <w:tcPr>
            <w:tcW w:w="7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5,825</w:t>
            </w:r>
          </w:p>
        </w:tc>
      </w:tr>
      <w:tr>
        <w:trPr>
          <w:trHeight w:val="209"/>
        </w:trPr>
        <w:tc>
          <w:tcPr>
            <w:tcW w:w="7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Disposition of business</w:t>
            </w: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r>
      <w:tr>
        <w:trPr>
          <w:trHeight w:val="210"/>
        </w:trPr>
        <w:tc>
          <w:tcPr>
            <w:tcW w:w="7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4,300</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w:t>
            </w:r>
          </w:p>
        </w:tc>
      </w:tr>
      <w:tr>
        <w:trPr>
          <w:trHeight w:val="216"/>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for net share settlement of equity awards</w:t>
            </w:r>
          </w:p>
        </w:tc>
        <w:tc>
          <w:tcPr>
            <w:tcW w:w="10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09"/>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10"/>
        </w:trPr>
        <w:tc>
          <w:tcPr>
            <w:tcW w:w="7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8,173</w:t>
            </w:r>
          </w:p>
        </w:tc>
      </w:tr>
      <w:tr>
        <w:trPr>
          <w:trHeight w:val="24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2,806</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6,845</w:t>
            </w:r>
          </w:p>
        </w:tc>
      </w:tr>
      <w:tr>
        <w:trPr>
          <w:trHeight w:val="197"/>
        </w:trPr>
        <w:tc>
          <w:tcPr>
            <w:tcW w:w="748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4,226</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64" w:orient="portrait"/>
          <w:cols w:equalWidth="0" w:num="1">
            <w:col w:w="11240"/>
          </w:cols>
          <w:pgMar w:left="320" w:top="351" w:right="339" w:bottom="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right="3560" w:hanging="332"/>
        <w:spacing w:after="0" w:line="503" w:lineRule="auto"/>
        <w:tabs>
          <w:tab w:leader="none" w:pos="35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Risks and Uncertainties,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of Harvard Bioscience, Inc. and its wholly-owned subsidiaries (collectively, Harvard Bioscience or the Company) as of September 30, 2020 and for the three and nine months ended September 30, 2020 and 2019,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2019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2019, which was filed with the SEC on March 16, 2020.</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normal recurring adjustments necessary to present a fair statement of financial position as of September 30, 2020, results of operations and comprehensive income (loss) for the three and nine months ended September 30, 2020 and 2019 and cash flows for the nine months ended September 30, 2020 and 2019, as applicable, have been made. The results of operations for the three and nine months ended September 30, 2020 are not necessarily indicative of the operating results for the full fiscal year or any future periods.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a novel coronavirus (COVID-19) as a pandemic. The COVID-19 pandemic has had a negative impact on the Company’s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negatively impacted, and will continue to, negatively impact our sales. Additionally, to ensure business continuity while maintaining a safe environment for employees aligned with guidance from government and health organizations, the Company transitioned the majority of its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the Company has maintained operations under these conditions, these measures represent disruptions which can impact productivity including sales and marketing activities. Accordingly, these conditions in addition to the overall impact on the global economy have negatively impacted our results of operations and cash flows.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these market and economic conditions, in accordance with the guidelines set forth in ASC 350 and ASC 360, the Company performed an analysis for potential interim impairment indicators of its intangible and other long-lived assets. As of September 30, 2020, the Company concluded there were no impairments of goodwill, other indefinite-lived intangibles, or long-lived assets that resulted from triggering events due to the COVID-19 pandemic.</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2019, which was filed with the SEC on March 16, 2020. There have been no material changes in the Company’s significant accounting policies during the three and nine months ended September 30, 2020.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right="7440" w:hanging="332"/>
        <w:spacing w:after="0" w:line="531" w:lineRule="auto"/>
        <w:tabs>
          <w:tab w:leader="none" w:pos="3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Issued Accounting Pronouncements </w:t>
      </w:r>
      <w:r>
        <w:rPr>
          <w:rFonts w:ascii="Times New Roman" w:cs="Times New Roman" w:eastAsia="Times New Roman" w:hAnsi="Times New Roman"/>
          <w:sz w:val="17"/>
          <w:szCs w:val="17"/>
          <w:i w:val="1"/>
          <w:iCs w:val="1"/>
          <w:color w:val="auto"/>
        </w:rPr>
        <w:t>Accounting Pronouncements to be Adopted</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Instruments—Credit Losses (Topic 326): Measurement of Credit Losses on Financial Instruments (ASU 2016-13), </w:t>
      </w:r>
      <w:r>
        <w:rPr>
          <w:rFonts w:ascii="Times New Roman" w:cs="Times New Roman" w:eastAsia="Times New Roman" w:hAnsi="Times New Roman"/>
          <w:sz w:val="18"/>
          <w:szCs w:val="18"/>
          <w:color w:val="auto"/>
        </w:rPr>
        <w:t>which amends the impairment model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requiring entities to use a forward-looking approach based on expected 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that adopting ASU 2016-13 and related amendments will have on its consolidated financial position, results of operations and cash flows.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Disclosure Framework—Changes to the Disclosure Requirements for Defined Benefit Plans</w:t>
      </w:r>
      <w:r>
        <w:rPr>
          <w:rFonts w:ascii="Times New Roman" w:cs="Times New Roman" w:eastAsia="Times New Roman" w:hAnsi="Times New Roman"/>
          <w:sz w:val="18"/>
          <w:szCs w:val="18"/>
          <w:color w:val="auto"/>
        </w:rPr>
        <w:t xml:space="preserve"> (ASU 2018-14), which amends ASC 715 to add, remove and clarify disclosure requirements related to defined benefit pension and other postretirement plans. The ASU is effective for public entities for fiscal years ending after December 15, 2020, with early adoption permitted. The Company is evaluating the effect of adopting this new accounting guidance but does not expect adoption will have a material impact on the disclosure in the Company’s Consolidated Financial Statements.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which enhances and simplifies various aspects of the income tax accounting guidance related to intra-period tax allocation, interim period accounting for enacted changes in tax law, and the year-to-date loss limitation in interim period tax accounting. ASU 2019-12 also amends other aspects of the guidance to reduce complexity in certain areas. ASU 2019-12 is effective for the Company on January 1, 2021. Early adoption is permitted. The Company is evaluating the effect of adopting this new accounting guidance but does not expect adoption will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loss, net of tax, for the nine months ended September 30,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qualifying as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AOCI into income</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tab/>
        <w:t>Goodwill and Intangible Assets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the carrying amount of goodwill for the nine months ended September 30, 2020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December 31, 2019</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57,381</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9"/>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September 30, 2020</w:t>
            </w: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4"/>
                <w:szCs w:val="24"/>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ind w:right="390"/>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Life*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(in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agreements/customer relationships</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18,130</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10,730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17,891</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Existing technology</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68,358</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34,071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67,023</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37,270</w:t>
            </w: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8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720" w:type="dxa"/>
            <w:vAlign w:val="bottom"/>
            <w:tcBorders>
              <w:top w:val="single" w:sz="8" w:color="CCEEFF"/>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700" w:type="dxa"/>
            <w:vAlign w:val="bottom"/>
            <w:tcBorders>
              <w:top w:val="single" w:sz="8" w:color="CCEEFF"/>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38,405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Weighted average life as of September 30, 2020.</w:t>
      </w:r>
    </w:p>
    <w:p>
      <w:pPr>
        <w:spacing w:after="0" w:line="2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January 1, 2020, the Company determined that $0.9 million of tradenames previously classified as indefinite-lived should be classified as amortizing due to anticipated changes in worldwide marketing programs and estimated an economic life of 4 years for this intangible asset.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 amortization expense was $1.4 million for each of the three months ended September 30, 2020 and 2019, respectively and was $4.3 million for each of the nine months ended September 30, 2020 and 2019,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Estimated amortization expense of existing amortizable intangible assets for each of the five succeeding years and thereafter as of September 30, 2020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38"/>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09"/>
        </w:trPr>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(remainder of year)</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34,071</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provide details of selected balance sheet items as of the periods indicated: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in 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payroll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related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Restructuring and Other Exit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040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6291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2915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60" w:type="dxa"/>
            <w:vAlign w:val="bottom"/>
          </w:tcPr>
          <w:p>
            <w:pPr>
              <w:spacing w:after="0"/>
              <w:rPr>
                <w:sz w:val="17"/>
                <w:szCs w:val="17"/>
                <w:color w:val="auto"/>
              </w:rPr>
            </w:pPr>
          </w:p>
        </w:tc>
        <w:tc>
          <w:tcPr>
            <w:tcW w:w="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34"/>
        </w:trPr>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w:t>
            </w:r>
          </w:p>
        </w:tc>
      </w:tr>
      <w:tr>
        <w:trPr>
          <w:trHeight w:val="209"/>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22,689</w:t>
            </w:r>
          </w:p>
        </w:tc>
        <w:tc>
          <w:tcPr>
            <w:tcW w:w="60" w:type="dxa"/>
            <w:vAlign w:val="bottom"/>
          </w:tcPr>
          <w:p>
            <w:pPr>
              <w:spacing w:after="0"/>
              <w:rPr>
                <w:sz w:val="18"/>
                <w:szCs w:val="18"/>
                <w:color w:val="auto"/>
              </w:rPr>
            </w:pPr>
          </w:p>
        </w:tc>
        <w:tc>
          <w:tcPr>
            <w:tcW w:w="1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22"/>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91"/>
        </w:trPr>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6"/>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4"/>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10"/>
        </w:trPr>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-2133600</wp:posOffset>
            </wp:positionV>
            <wp:extent cx="462915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2915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-993775</wp:posOffset>
            </wp:positionV>
            <wp:extent cx="46291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2915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-719455</wp:posOffset>
            </wp:positionV>
            <wp:extent cx="46291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2915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-445135</wp:posOffset>
            </wp:positionV>
            <wp:extent cx="46291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2915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-162560</wp:posOffset>
            </wp:positionV>
            <wp:extent cx="462915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29150" cy="163195"/>
                    </a:xfrm>
                    <a:prstGeom prst="rect">
                      <a:avLst/>
                    </a:prstGeom>
                    <a:noFill/>
                  </pic:spPr>
                </pic:pic>
              </a:graphicData>
            </a:graphic>
          </wp:anchor>
        </w:drawing>
      </w:r>
    </w:p>
    <w:p>
      <w:pPr>
        <w:spacing w:after="0" w:line="1048" w:lineRule="exact"/>
        <w:rPr>
          <w:sz w:val="20"/>
          <w:szCs w:val="20"/>
          <w:color w:val="auto"/>
        </w:rPr>
      </w:pPr>
    </w:p>
    <w:p>
      <w:pPr>
        <w:sectPr>
          <w:pgSz w:w="11900" w:h="16838" w:orient="portrait"/>
          <w:cols w:equalWidth="0" w:num="2">
            <w:col w:w="3360" w:space="720"/>
            <w:col w:w="7160"/>
          </w:cols>
          <w:pgMar w:left="320" w:top="121" w:right="339" w:bottom="1440" w:gutter="0" w:footer="0" w:header="0"/>
        </w:sectPr>
      </w:pPr>
    </w:p>
    <w:p>
      <w:pPr>
        <w:spacing w:after="0" w:line="41" w:lineRule="exact"/>
        <w:rPr>
          <w:sz w:val="20"/>
          <w:szCs w:val="20"/>
          <w:color w:val="auto"/>
        </w:rPr>
      </w:pPr>
    </w:p>
    <w:p>
      <w:pPr>
        <w:jc w:val="both"/>
        <w:ind w:firstLine="401"/>
        <w:spacing w:after="0" w:line="266"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 to time to transform its business.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restructuring and other exit charges for the periods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exit costs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changes in the restructuring liabilities for the nine months ended September 30, 2020:</w:t>
      </w:r>
    </w:p>
    <w:p>
      <w:pPr>
        <w:sectPr>
          <w:pgSz w:w="11900" w:h="16838" w:orient="portrait"/>
          <w:cols w:equalWidth="0" w:num="1">
            <w:col w:w="11240"/>
          </w:cols>
          <w:pgMar w:left="320" w:top="121" w:right="33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Balance at December 31, 2019 Restructuring and other exit costs Non-cash charges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2020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364</w:t>
            </w:r>
          </w:p>
        </w:tc>
        <w:tc>
          <w:tcPr>
            <w:tcW w:w="6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368</w:t>
            </w:r>
          </w:p>
        </w:tc>
      </w:tr>
      <w:tr>
        <w:trPr>
          <w:trHeight w:val="216"/>
        </w:trPr>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4"/>
        </w:trPr>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1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-993775</wp:posOffset>
            </wp:positionV>
            <wp:extent cx="46291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2915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-719455</wp:posOffset>
            </wp:positionV>
            <wp:extent cx="46291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2915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-436880</wp:posOffset>
            </wp:positionV>
            <wp:extent cx="462915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29150" cy="16319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68580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480" w:space="720"/>
            <w:col w:w="8040"/>
          </w:cols>
          <w:pgMar w:left="320" w:top="121" w:right="3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incurred impairment charges of $1.4 million consisting of pre-restructuring plan charges of $0.9 million to write-off certain in-process research and development intangible assets, and restructuring plan charges of $0.5 million to write-off certain intangible assets as a result of a decision to discontinue a product line and cease operations in its facility in North Carolina.</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had a restructuring liability of $0.6 million which is payable within the next twelve months and has been included in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2014 acquisitions of Multi Channel Systems MCS GmbH (“MCS”) and Triangle BioSystems, Inc. (“TBSI”), the Company entered into facility lease agreements with the former principal owners of these companies and both became employees of the Company. The TBSI agreement expired on September 30, 2019, and the MCS agreement expires on December 31, 2024. Pursuant to these lease agreements, the Company made rent payments of approximately $0.1 million and $0.2 million for the three and nine months ended September 30, 2020, respectively, and $0.1 million and $0.3 million for the three and nine months ended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noncancelable operating leases for offices, manufacturing facilities, warehouse space, automobiles and equipment expiring at various dates through 2024 and thereafter.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 for the three and nine months ended September 30, 2020 and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5980" w:type="dxa"/>
            <w:vAlign w:val="bottom"/>
          </w:tcPr>
          <w:p>
            <w:pPr>
              <w:spacing w:after="0"/>
              <w:rPr>
                <w:sz w:val="16"/>
                <w:szCs w:val="16"/>
                <w:color w:val="auto"/>
              </w:rPr>
            </w:pPr>
          </w:p>
        </w:tc>
        <w:tc>
          <w:tcPr>
            <w:tcW w:w="12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c>
          <w:tcPr>
            <w:tcW w:w="12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2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2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565</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1,647</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585</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60" w:type="dxa"/>
            <w:vAlign w:val="bottom"/>
            <w:tcBorders>
              <w:bottom w:val="single" w:sz="8" w:color="auto"/>
            </w:tcBorders>
          </w:tcPr>
          <w:p>
            <w:pPr>
              <w:spacing w:after="0"/>
              <w:rPr>
                <w:sz w:val="20"/>
                <w:szCs w:val="20"/>
                <w:color w:val="auto"/>
              </w:rPr>
            </w:pPr>
          </w:p>
        </w:tc>
      </w:tr>
      <w:tr>
        <w:trPr>
          <w:trHeight w:val="209"/>
        </w:trPr>
        <w:tc>
          <w:tcPr>
            <w:tcW w:w="498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80" w:type="dxa"/>
            <w:vAlign w:val="bottom"/>
          </w:tcPr>
          <w:p>
            <w:pPr>
              <w:spacing w:after="0"/>
              <w:rPr>
                <w:sz w:val="18"/>
                <w:szCs w:val="18"/>
                <w:color w:val="auto"/>
              </w:rPr>
            </w:pPr>
          </w:p>
        </w:tc>
        <w:tc>
          <w:tcPr>
            <w:tcW w:w="17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10"/>
        </w:trPr>
        <w:tc>
          <w:tcPr>
            <w:tcW w:w="4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50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80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gridSpan w:val="4"/>
          </w:tcPr>
          <w:p>
            <w:pPr>
              <w:jc w:val="right"/>
              <w:ind w:right="1450"/>
              <w:spacing w:after="0"/>
              <w:rPr>
                <w:sz w:val="20"/>
                <w:szCs w:val="20"/>
                <w:color w:val="auto"/>
              </w:rPr>
            </w:pPr>
            <w:r>
              <w:rPr>
                <w:rFonts w:ascii="Times New Roman" w:cs="Times New Roman" w:eastAsia="Times New Roman" w:hAnsi="Times New Roman"/>
                <w:sz w:val="18"/>
                <w:szCs w:val="18"/>
                <w:color w:val="auto"/>
              </w:rPr>
              <w:t>(in thousands)</w:t>
            </w:r>
          </w:p>
        </w:tc>
        <w:tc>
          <w:tcPr>
            <w:tcW w:w="2800" w:type="dxa"/>
            <w:vAlign w:val="bottom"/>
          </w:tcPr>
          <w:p>
            <w:pPr>
              <w:spacing w:after="0"/>
              <w:rPr>
                <w:sz w:val="18"/>
                <w:szCs w:val="18"/>
                <w:color w:val="auto"/>
              </w:rPr>
            </w:pPr>
          </w:p>
        </w:tc>
      </w:tr>
      <w:tr>
        <w:trPr>
          <w:trHeight w:val="25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 use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7,927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8,463</w:t>
            </w:r>
          </w:p>
        </w:tc>
        <w:tc>
          <w:tcPr>
            <w:tcW w:w="2800" w:type="dxa"/>
            <w:vAlign w:val="bottom"/>
          </w:tcPr>
          <w:p>
            <w:pPr>
              <w:spacing w:after="0"/>
              <w:rPr>
                <w:sz w:val="22"/>
                <w:szCs w:val="22"/>
                <w:color w:val="auto"/>
              </w:rPr>
            </w:pPr>
          </w:p>
        </w:tc>
      </w:tr>
      <w:tr>
        <w:trPr>
          <w:trHeight w:val="197"/>
        </w:trPr>
        <w:tc>
          <w:tcPr>
            <w:tcW w:w="45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800" w:type="dxa"/>
            <w:vAlign w:val="bottom"/>
          </w:tcPr>
          <w:p>
            <w:pPr>
              <w:spacing w:after="0"/>
              <w:rPr>
                <w:sz w:val="17"/>
                <w:szCs w:val="17"/>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2,190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2,424</w:t>
            </w:r>
          </w:p>
        </w:tc>
        <w:tc>
          <w:tcPr>
            <w:tcW w:w="280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7,692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8,224</w:t>
            </w:r>
          </w:p>
        </w:tc>
        <w:tc>
          <w:tcPr>
            <w:tcW w:w="2800" w:type="dxa"/>
            <w:vAlign w:val="bottom"/>
          </w:tcPr>
          <w:p>
            <w:pPr>
              <w:spacing w:after="0"/>
              <w:rPr>
                <w:sz w:val="18"/>
                <w:szCs w:val="18"/>
                <w:color w:val="auto"/>
              </w:rPr>
            </w:pP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9,882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10,648</w:t>
            </w:r>
          </w:p>
        </w:tc>
        <w:tc>
          <w:tcPr>
            <w:tcW w:w="2800" w:type="dxa"/>
            <w:vAlign w:val="bottom"/>
          </w:tcPr>
          <w:p>
            <w:pPr>
              <w:spacing w:after="0"/>
              <w:rPr>
                <w:sz w:val="21"/>
                <w:szCs w:val="21"/>
                <w:color w:val="auto"/>
              </w:rPr>
            </w:pPr>
          </w:p>
        </w:tc>
      </w:tr>
      <w:tr>
        <w:trPr>
          <w:trHeight w:val="197"/>
        </w:trPr>
        <w:tc>
          <w:tcPr>
            <w:tcW w:w="45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800" w:type="dxa"/>
            <w:vAlign w:val="bottom"/>
          </w:tcPr>
          <w:p>
            <w:pPr>
              <w:spacing w:after="0"/>
              <w:rPr>
                <w:sz w:val="17"/>
                <w:szCs w:val="17"/>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280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0" w:type="dxa"/>
            <w:vAlign w:val="bottom"/>
          </w:tcPr>
          <w:p>
            <w:pPr>
              <w:spacing w:after="0"/>
              <w:rPr>
                <w:sz w:val="20"/>
                <w:szCs w:val="20"/>
                <w:color w:val="auto"/>
              </w:rPr>
            </w:pPr>
          </w:p>
        </w:tc>
      </w:tr>
      <w:tr>
        <w:trPr>
          <w:trHeight w:val="414"/>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or remaining terms in excess of one year at September 30,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09"/>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49"/>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and Stock-Based Compensation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Fourth Amended and Restated 2000 Stock Option and Incentive Plan</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11, 2020, the stockholders of the Company approved the Fourth Amended and Restated 2000 Stock Option and Incentive Plan (the “Fourth A&amp;R Plan”), which plan authorizes the grant of stock options and stock-based awards to officers, employees, non-employee directors and other key persons of the Company and its subsidiaries. The Fourth A&amp;R Plan modified the Company’s Third Amended and Restated 2000 Stock Option and Incentive Plan to, among other things, increase the aggregate number of shares authorized for issuance by 3,700,000 shares and reduce the fungible share ratio for deferred stock awards from 1.79 to 1.49. As of September 30, 2020, there were 3,288,084 shares available for issuance under the Fourth A&amp;R Plan. Under the terms of the Fourth A&amp;R Plan, each restricted stock unit or other deferred stock award that is granted decreases the shares available for grant by 1.49 shares and each restricted stock unit that is cancelled or forfeited increases the shares available for grant by 1.49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Stock-Based Payment Awards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 and restricted stock unit activity for the nine months ended September 30, 2020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0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Market Condition RSUs</w:t>
            </w: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2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0" w:type="dxa"/>
            <w:vAlign w:val="bottom"/>
          </w:tcPr>
          <w:p>
            <w:pPr>
              <w:spacing w:after="0"/>
              <w:rPr>
                <w:sz w:val="16"/>
                <w:szCs w:val="16"/>
                <w:color w:val="auto"/>
              </w:rPr>
            </w:pPr>
          </w:p>
        </w:tc>
        <w:tc>
          <w:tcPr>
            <w:tcW w:w="12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Condition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2,266,122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1,590,450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529,491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894,154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1,001,113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332,622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 (RSUs)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(748,096)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Market Condition RSU - Performance</w:t>
            </w:r>
          </w:p>
        </w:tc>
        <w:tc>
          <w:tcPr>
            <w:tcW w:w="1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233,055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Factor Adjustment</w:t>
            </w: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2,896,863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1,753,603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822,826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36"/>
        <w:spacing w:after="0" w:line="282" w:lineRule="auto"/>
        <w:rPr>
          <w:sz w:val="20"/>
          <w:szCs w:val="20"/>
          <w:color w:val="auto"/>
        </w:rPr>
      </w:pPr>
      <w:r>
        <w:rPr>
          <w:rFonts w:ascii="Times New Roman" w:cs="Times New Roman" w:eastAsia="Times New Roman" w:hAnsi="Times New Roman"/>
          <w:sz w:val="18"/>
          <w:szCs w:val="18"/>
          <w:color w:val="auto"/>
        </w:rPr>
        <w:t>As of September 30, 2020, the total compensation costs related to unvested awards not yet recognized is $5.4 million and the weighted average period over which it is expected to be recognized is approximately 2.4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Stock-based compensation expense for the three and nine months ended September 30, 2020 and 2019 was allocated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stock-based compensation expenses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91"/>
        </w:trPr>
        <w:tc>
          <w:tcPr>
            <w:tcW w:w="240" w:type="dxa"/>
            <w:vAlign w:val="bottom"/>
          </w:tcPr>
          <w:p>
            <w:pPr>
              <w:spacing w:after="0"/>
              <w:rPr>
                <w:sz w:val="16"/>
                <w:szCs w:val="16"/>
                <w:color w:val="auto"/>
              </w:rPr>
            </w:pPr>
          </w:p>
        </w:tc>
        <w:tc>
          <w:tcPr>
            <w:tcW w:w="2380" w:type="dxa"/>
            <w:vAlign w:val="bottom"/>
            <w:gridSpan w:val="5"/>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1,975</w:t>
            </w:r>
          </w:p>
        </w:tc>
      </w:tr>
      <w:tr>
        <w:trPr>
          <w:trHeight w:val="234"/>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1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color w:val="auto"/>
        </w:rPr>
        <w:t>The Company did not capitalize any stock-based compensation.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estimated fair value per share of stock options granted during the nine months ended September 30, 2020 and 2019 was $1.21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options granted during the nine months ended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holding period (in years)</w:t>
            </w:r>
          </w:p>
        </w:tc>
        <w:tc>
          <w:tcPr>
            <w:tcW w:w="1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estimated fair value of the Market Condition RSUs that were granted during the nine months ended September 30, 2020 was $2.98. The following assumptions were used to estimate the fair value of the Market Condition RSUs granted during the nine months ended September 30, 2020, using a Monte-Carlo valuation simulation: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Correlation coefficient</w:t>
            </w:r>
          </w:p>
        </w:tc>
        <w:tc>
          <w:tcPr>
            <w:tcW w:w="2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calculated by dividing net income (loss) by the number of weighted average shares of common stock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7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580" w:type="dxa"/>
            <w:vAlign w:val="bottom"/>
          </w:tcPr>
          <w:p>
            <w:pPr>
              <w:spacing w:after="0"/>
              <w:rPr>
                <w:sz w:val="16"/>
                <w:szCs w:val="16"/>
                <w:color w:val="auto"/>
              </w:rPr>
            </w:pPr>
          </w:p>
        </w:tc>
        <w:tc>
          <w:tcPr>
            <w:tcW w:w="13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c>
          <w:tcPr>
            <w:tcW w:w="13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30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3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580" w:type="dxa"/>
            <w:vAlign w:val="bottom"/>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38,920,041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38,036,261</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38,539,703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37,764,489</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38,920,041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38,036,261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38,539,703</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37,764,489</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shares used in calculating the diluted earnings per share of common stock in the above table exclude options, restricted stock units and Market Condition RSUs of approximately 5,473,292 and 4,055,076 as of September 30, 2020 and 2019, respectively, as the impact of these shares would be anti-dilutive.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 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and December 31, 2019, the Company’s borrowings were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Pr>
          <w:p>
            <w:pPr>
              <w:spacing w:after="0"/>
              <w:rPr>
                <w:sz w:val="20"/>
                <w:szCs w:val="20"/>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10"/>
        </w:trPr>
        <w:tc>
          <w:tcPr>
            <w:tcW w:w="6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43,911</w:t>
            </w:r>
          </w:p>
        </w:tc>
        <w:tc>
          <w:tcPr>
            <w:tcW w:w="8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54,997</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Revolver</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43,476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53,817</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current installments</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excess cash flow sweep</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unamortized deferred financing costs</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40,669</w:t>
            </w:r>
          </w:p>
        </w:tc>
        <w:tc>
          <w:tcPr>
            <w:tcW w:w="8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46,917</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On January 31, 2018, the Company entered into a financing agreement by and among the Company and certain subsidiaries of the Company as borrowers (collectively, the “Borrower”), certain subsidiaries of the Company as guarantors, various lenders from time to time (the “Lenders”), and Cerberus Business Finance, LLC, as collateral agent and administrative agent for the Lenders (the “Financing Agreement”).</w:t>
      </w:r>
    </w:p>
    <w:p>
      <w:pPr>
        <w:spacing w:after="0" w:line="176"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color w:val="auto"/>
        </w:rPr>
        <w:t>The Financing Agreement provides for senior secured credit facilities comprised of a $64.0 million term loan and up to a $25.0 million revolving line of credit subject to available borrowing base. The revolving facility is available for use by the Company and its subsidiaries for general corporate and working capital needs, and other purposes to the extent permitted by the Financing Agreement. Borrowings available under the revolving line of credit are limited to a borrowing base derived from the Company’s eligible accounts receivable and inventory, as defined in the Financing Agreement. As of September 30, 2020, borrowings available under the revolving facility were $7.3 million.</w:t>
      </w:r>
    </w:p>
    <w:p>
      <w:pPr>
        <w:spacing w:after="0" w:line="183" w:lineRule="exact"/>
        <w:rPr>
          <w:sz w:val="20"/>
          <w:szCs w:val="20"/>
          <w:color w:val="auto"/>
        </w:rPr>
      </w:pPr>
    </w:p>
    <w:p>
      <w:pPr>
        <w:ind w:right="60" w:firstLine="454"/>
        <w:spacing w:after="0" w:line="255" w:lineRule="auto"/>
        <w:rPr>
          <w:sz w:val="20"/>
          <w:szCs w:val="20"/>
          <w:color w:val="auto"/>
        </w:rPr>
      </w:pPr>
      <w:r>
        <w:rPr>
          <w:rFonts w:ascii="Times New Roman" w:cs="Times New Roman" w:eastAsia="Times New Roman" w:hAnsi="Times New Roman"/>
          <w:sz w:val="18"/>
          <w:szCs w:val="18"/>
          <w:color w:val="auto"/>
        </w:rPr>
        <w:t>The Financing Agreement contains certain restrictive covenants, including a requirement to maintain a maximum leverage ratio among other financial and non-financial covenants, as defined in the Financing Agreement. The Company was compliant with all covenants under the Financing Agreement as of September 30, 2020. The maximum permitted leverage is the ratio of total debt to consolidated EBITDA, as defined in the Financing Agreement with a maximum ratio of 3.25 as of June 30, 2020 and for all quarters thereafter until the maturity of the Financing Agreement in 2023. Due to the negative impact of the COVID-19 pandemic on the Company’s revenue and consolidated EBITDA, the gap between the leverage ratio and maximum permitted leverage has reduced. During the nine months ended September 30, 2020, the Company made an additional principal payment of $4.7 million on its term loan.</w:t>
      </w:r>
    </w:p>
    <w:p>
      <w:pPr>
        <w:spacing w:after="0" w:line="189" w:lineRule="exact"/>
        <w:rPr>
          <w:sz w:val="20"/>
          <w:szCs w:val="20"/>
          <w:color w:val="auto"/>
        </w:rPr>
      </w:pPr>
    </w:p>
    <w:p>
      <w:pPr>
        <w:jc w:val="both"/>
        <w:ind w:firstLine="454"/>
        <w:spacing w:after="0" w:line="254" w:lineRule="auto"/>
        <w:rPr>
          <w:sz w:val="20"/>
          <w:szCs w:val="20"/>
          <w:color w:val="auto"/>
        </w:rPr>
      </w:pPr>
      <w:r>
        <w:rPr>
          <w:rFonts w:ascii="Times New Roman" w:cs="Times New Roman" w:eastAsia="Times New Roman" w:hAnsi="Times New Roman"/>
          <w:sz w:val="18"/>
          <w:szCs w:val="18"/>
          <w:color w:val="auto"/>
        </w:rPr>
        <w:t>Based on the Company’s current operating plans, including actions taken to mitigate the negative impact of the COVID-19 pandemic on the Company’s business and financial condition, it expects that available cash, cash generated from current operations and debt capacity will be sufficient to finance current operations, any costs associated with restructuring activities and capital expenditures. This assessment includes consideration of the Company’s best estimates of the impact of the COVID-19 pandemic on its financial results. If the negative impact of the COVID-19 pandemic is more significant than anticipated, it may impact the Company’s ability to comply with financial covenants in the future, which would require the Company to seek an amendment or waivers from its lenders, limit access to or require accelerated repayment of the existing credit facilities, or require the Company to pursue alternative financing. There are no assurances that any such alternative financing, if required, could be obtained at terms acceptable to the Company, or at all.</w:t>
      </w:r>
    </w:p>
    <w:p>
      <w:pPr>
        <w:spacing w:after="0" w:line="192"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As of September 30, 2020, the weighted average interest rate, net of the impact of the Company’s interest rate swap, on its borrowings was 8.9%. The carrying value of the debt approximates fair value because the interest rate under the obligation approximates market rates of interest available to the Company for similar instruments.</w:t>
      </w:r>
    </w:p>
    <w:p>
      <w:pPr>
        <w:spacing w:after="0" w:line="17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On April 18, 2020, the Company entered into a promissory note with PNC Bank, National Association, which provided for a loan in the amount of $6.1 million (the “PPP Loan”) pursuant to the Paycheck Protection Program (the “PPP”) of the Coronavirus Aid, Relief, and Economic Security Act (the “CARES Act”) administered by the U.S. Small Business Administration (the “SBA”). On April 23, 2020, the SBA, in consultation with the U.S. Department of the Treasury issued guidance regarding consideration of alternate available sources of liquidity and its impact on qualification for PPP loans. The Company reassessed its business plans and liquidity available under its existing credit facility and elected to repay all PPP funds. The PPP Loan was repaid in full on May 4, 2020.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76"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8"/>
          <w:szCs w:val="18"/>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62"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and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3"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As disclosed in Note 10, on January 31, 2018, the Company entered into the Financing Agreement with the Lenders, comprised of a $64.0 million term loan and up to a $25.0 million revolving line of credit. Shortly after entering into the Financing Agreement, the Company entered into an interest rate swap contract with PNC Bank with a notional amount of $36.0 million and a termination date of January 1, 2023 in order to hedge the risk of changes in the effective benchmark interest rate (LIBOR) associated with the Company’s term loan. The swap contract converted specific variable-rate debt into fixed-rate debt and fixed the LIBOR rate associated with a portion of the term loan under the Financing Agreement at 2.72%. The interest rate swap was designated as a cash flow hedge instrument in accordance with ASC 815 “Derivatives and Hedging”.</w:t>
      </w:r>
    </w:p>
    <w:p>
      <w:pPr>
        <w:spacing w:after="0" w:line="187"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the Company’s derivative instruments as of September 30, 2020 and December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0" w:type="dxa"/>
            <w:vAlign w:val="bottom"/>
          </w:tcPr>
          <w:p>
            <w:pPr>
              <w:spacing w:after="0"/>
              <w:rPr>
                <w:sz w:val="1"/>
                <w:szCs w:val="1"/>
                <w:color w:val="auto"/>
              </w:rPr>
            </w:pPr>
          </w:p>
        </w:tc>
      </w:tr>
      <w:tr>
        <w:trPr>
          <w:trHeight w:val="210"/>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352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Notional 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 (a)</w:t>
            </w:r>
          </w:p>
        </w:tc>
        <w:tc>
          <w:tcPr>
            <w:tcW w:w="0" w:type="dxa"/>
            <w:vAlign w:val="bottom"/>
          </w:tcPr>
          <w:p>
            <w:pPr>
              <w:spacing w:after="0"/>
              <w:rPr>
                <w:sz w:val="1"/>
                <w:szCs w:val="1"/>
                <w:color w:val="auto"/>
              </w:rPr>
            </w:pPr>
          </w:p>
        </w:tc>
      </w:tr>
      <w:tr>
        <w:trPr>
          <w:trHeight w:val="209"/>
        </w:trPr>
        <w:tc>
          <w:tcPr>
            <w:tcW w:w="2620" w:type="dxa"/>
            <w:vAlign w:val="bottom"/>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5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09"/>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352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Notional 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 (a)</w:t>
            </w: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5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28,821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228"/>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for the fair value measurements related to these financial instruments.</w:t>
      </w:r>
    </w:p>
    <w:p>
      <w:pPr>
        <w:spacing w:after="0" w:line="2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color w:val="auto"/>
        </w:rPr>
        <w:t>All of the Company’s derivative instruments are designated as hedging instruments. The Company has structured its interest rate swap agreements to be fully effective in accordance with ASC 815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derivatives designated as cash flow hedging instruments and their classification within comprehensive loss for the three and nine months ended September 30, 2020 and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in Hedging</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1880" w:type="dxa"/>
            <w:vAlign w:val="bottom"/>
          </w:tcPr>
          <w:p>
            <w:pPr>
              <w:spacing w:after="0"/>
              <w:rPr>
                <w:sz w:val="18"/>
                <w:szCs w:val="18"/>
                <w:color w:val="auto"/>
              </w:rPr>
            </w:pPr>
          </w:p>
        </w:tc>
        <w:tc>
          <w:tcPr>
            <w:tcW w:w="572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Amount of gain (loss) recognized in OCI on derivative (effective portion)</w:t>
            </w:r>
          </w:p>
        </w:tc>
      </w:tr>
      <w:tr>
        <w:trPr>
          <w:trHeight w:val="238"/>
        </w:trPr>
        <w:tc>
          <w:tcPr>
            <w:tcW w:w="3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80" w:type="dxa"/>
            <w:vAlign w:val="bottom"/>
            <w:tcBorders>
              <w:bottom w:val="single" w:sz="8" w:color="auto"/>
            </w:tcBorders>
          </w:tcPr>
          <w:p>
            <w:pPr>
              <w:spacing w:after="0"/>
              <w:rPr>
                <w:sz w:val="20"/>
                <w:szCs w:val="20"/>
                <w:color w:val="auto"/>
              </w:rPr>
            </w:pPr>
          </w:p>
        </w:tc>
      </w:tr>
      <w:tr>
        <w:trPr>
          <w:trHeight w:val="187"/>
        </w:trPr>
        <w:tc>
          <w:tcPr>
            <w:tcW w:w="3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8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c>
          <w:tcPr>
            <w:tcW w:w="13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13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13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3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Borders>
              <w:bottom w:val="single" w:sz="8" w:color="auto"/>
            </w:tcBorders>
          </w:tcPr>
          <w:p>
            <w:pPr>
              <w:spacing w:after="0"/>
              <w:rPr>
                <w:sz w:val="20"/>
                <w:szCs w:val="20"/>
                <w:color w:val="auto"/>
              </w:rPr>
            </w:pPr>
          </w:p>
        </w:tc>
      </w:tr>
      <w:tr>
        <w:trPr>
          <w:trHeight w:val="209"/>
        </w:trPr>
        <w:tc>
          <w:tcPr>
            <w:tcW w:w="3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16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9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bl>
    <w:p>
      <w:pPr>
        <w:spacing w:after="0" w:line="198" w:lineRule="exact"/>
        <w:rPr>
          <w:sz w:val="20"/>
          <w:szCs w:val="20"/>
          <w:color w:val="auto"/>
        </w:rPr>
      </w:pPr>
    </w:p>
    <w:p>
      <w:pPr>
        <w:jc w:val="both"/>
        <w:ind w:right="20" w:firstLine="45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reclassifications out of accumulated other comprehensive loss for the three and nine months ended September 30, 2020 and 2019:</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Details about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AOCI Components</w:t>
            </w:r>
          </w:p>
        </w:tc>
        <w:tc>
          <w:tcPr>
            <w:tcW w:w="240" w:type="dxa"/>
            <w:vAlign w:val="bottom"/>
          </w:tcPr>
          <w:p>
            <w:pPr>
              <w:spacing w:after="0"/>
              <w:rPr>
                <w:sz w:val="18"/>
                <w:szCs w:val="18"/>
                <w:color w:val="auto"/>
              </w:rPr>
            </w:pPr>
          </w:p>
        </w:tc>
        <w:tc>
          <w:tcPr>
            <w:tcW w:w="508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reclassified from AOCI into income (effective portion)</w:t>
            </w:r>
          </w:p>
        </w:tc>
        <w:tc>
          <w:tcPr>
            <w:tcW w:w="400" w:type="dxa"/>
            <w:vAlign w:val="bottom"/>
          </w:tcPr>
          <w:p>
            <w:pPr>
              <w:spacing w:after="0"/>
              <w:rPr>
                <w:sz w:val="18"/>
                <w:szCs w:val="18"/>
                <w:color w:val="auto"/>
              </w:rPr>
            </w:pPr>
          </w:p>
        </w:tc>
      </w:tr>
      <w:tr>
        <w:trPr>
          <w:trHeight w:val="238"/>
        </w:trPr>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Borders>
              <w:bottom w:val="single" w:sz="8" w:color="auto"/>
            </w:tcBorders>
          </w:tcPr>
          <w:p>
            <w:pPr>
              <w:spacing w:after="0"/>
              <w:rPr>
                <w:sz w:val="20"/>
                <w:szCs w:val="20"/>
                <w:color w:val="auto"/>
              </w:rPr>
            </w:pPr>
          </w:p>
        </w:tc>
      </w:tr>
      <w:tr>
        <w:trPr>
          <w:trHeight w:val="187"/>
        </w:trPr>
        <w:tc>
          <w:tcPr>
            <w:tcW w:w="2000" w:type="dxa"/>
            <w:vAlign w:val="bottom"/>
          </w:tcPr>
          <w:p>
            <w:pPr>
              <w:spacing w:after="0"/>
              <w:rPr>
                <w:sz w:val="16"/>
                <w:szCs w:val="16"/>
                <w:color w:val="auto"/>
              </w:rPr>
            </w:pPr>
          </w:p>
        </w:tc>
        <w:tc>
          <w:tcPr>
            <w:tcW w:w="138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c>
          <w:tcPr>
            <w:tcW w:w="132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c>
          <w:tcPr>
            <w:tcW w:w="13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13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r>
      <w:tr>
        <w:trPr>
          <w:trHeight w:val="191"/>
        </w:trPr>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9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Location of amount reclassified from AOCI</w:t>
      </w: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into income (effective portion)</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25" w:lineRule="exact"/>
        <w:rPr>
          <w:sz w:val="20"/>
          <w:szCs w:val="20"/>
          <w:color w:val="auto"/>
        </w:rPr>
      </w:pPr>
    </w:p>
    <w:p>
      <w:pPr>
        <w:sectPr>
          <w:pgSz w:w="11900" w:h="16838" w:orient="portrait"/>
          <w:cols w:equalWidth="0" w:num="2">
            <w:col w:w="7720" w:space="80"/>
            <w:col w:w="3440"/>
          </w:cols>
          <w:pgMar w:left="320" w:top="121" w:right="339" w:bottom="1440" w:gutter="0" w:footer="0" w:header="0"/>
          <w:type w:val="continuous"/>
        </w:sect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As of September 30, 2020, $0.3 million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trade accounts receivable and trade accounts payable and short-term debt approximate their fair values because of the short maturities of those instruments. The fair value of the Company’s long-term debt approximates its carrying value and is based on the amount of future cash flows associated with the debt discounted using current borrowing rates for similar debt instruments of comparable maturity.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2—Inputs, other than the quoted prices in active markets, that are observable either directly or indirectly.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3—Unobservable inputs based on the Company’s own assumptions.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or liabilities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 as of September 30, 2020</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7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Fair Value as of December 31, 2019</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68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7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financial liabilities. The Company’s financial assets and liabilities carried at fair value include derivative instruments used to hedge the Company’s interest rate risks. The fair value of the Company’s interest rate swap agreements was based on LIBOR yield curves at the reporting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Revenue originating from the following geographic areas for the three and nine months ended September 30, 2020 and 2019 consist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United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United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Rest of the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States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Kingdom</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world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21,851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2,186</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24,037</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United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United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Rest of the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States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Kingdom</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world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27,418</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United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United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Rest of the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States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Kingdom</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world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66,857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4,259</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71,116</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United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United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Rest of the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States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Kingdom</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world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58,979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81,424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61,853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85,204</w:t>
            </w:r>
          </w:p>
        </w:tc>
      </w:tr>
      <w:tr>
        <w:trPr>
          <w:trHeight w:val="413"/>
        </w:trPr>
        <w:tc>
          <w:tcPr>
            <w:tcW w:w="46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had deferred revenue from service contracts and advance payments from customers of approximately $3.6 million and $3.6 million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 respectively. Changes in deferred revenue from service contracts and advance payments from customers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Deferral of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Recognition of deferred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Effect of foreign currency translation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2020</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Customer</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3,652</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3,559</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2019</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Deferral of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Recognition of deferred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Effect of foreign currency translation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2019</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Customer</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1,593</w:t>
            </w:r>
          </w:p>
        </w:tc>
        <w:tc>
          <w:tcPr>
            <w:tcW w:w="120" w:type="dxa"/>
            <w:vAlign w:val="bottom"/>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3,532</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3,550</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2019</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Deferral of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Recognition of deferred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Effect of foreign currency translation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2020</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Customer</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1,587</w:t>
            </w:r>
          </w:p>
        </w:tc>
        <w:tc>
          <w:tcPr>
            <w:tcW w:w="120" w:type="dxa"/>
            <w:vAlign w:val="bottom"/>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3,949</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2,498</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3,559</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-161925</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2018</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Deferral of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Recognition of deferred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Effect of foreign currency translation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2019</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Service</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Customer</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3,820</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2,158</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3,550</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-719455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-445135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-162560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40" w:space="720"/>
            <w:col w:w="488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Allowance for doubtful accounts is based on the Company’s assessment of the collectability of accounts receivable. A rollforward of the allowance for doubtful accounts for the nine months ended September 30, 2020 and 2019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4660" w:type="dxa"/>
            <w:vAlign w:val="bottom"/>
          </w:tcPr>
          <w:p>
            <w:pPr>
              <w:spacing w:after="0"/>
              <w:rPr>
                <w:sz w:val="18"/>
                <w:szCs w:val="18"/>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10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 and other recoveries</w:t>
            </w:r>
          </w:p>
        </w:tc>
        <w:tc>
          <w:tcPr>
            <w:tcW w:w="10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the revenues for the three and nine months ended September 30, 2020, and 2019. At September 30, 2020, and December 31, 2019, no customer accounted for more than 10% of net accounts receivable.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benefit was approximately $(0.3) million for the three months ended September 30, 2020 and income tax benefit was $(0.1) million for the three months September 30, 2019. The effective tax rate was 22.4% for the three months ended September 30, 2020 compared with 2.0% for the same period in 2019.</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was approximately $0.5 million for the nine months ended September 30, 2020 and income tax benefit was $(0.4) million for the nine months ended September 30, 2019. The effective tax rate was (6.7)% for the nine months ended September 30, 2020 compared with 6.5% for the same period in 2019.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difference between the Company’s effective tax rates in 2020 and 2019 compared to the U.S. statutory tax rate of 21% is primarily due to the mix of 2020 forecasted income or losses in the U.S. and foreign tax jurisdictions, the impact of different tax rates in certain foreign jurisdictions, changes to uncertain tax positions, and the impact of the inclusion of foreign income in U.S. taxable income under the GILTI (Global Intangible Low-Taxed Income) tax rules. The effective tax rate in 2020 was also impacted by increases to valuation allowances and changes made by the CARES Act to the limitation on interest expense deductions, including a retroactive change to the calendar year 2019 deduction.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14, 2017, representatives for the estate of an individual plaintiff filed a wrongful death complaint with the Suffolk Superior Court, in the County of Suffolk, Massachusetts, against the Company and other defendants, including Biostage, Inc. (f/k/a Harvard Apparatus Regenerative Technology, Inc.), the Company’s former subsidiary that was spun off in 2013,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Company intends to vigorously defend this case and has contacted the liability insurance carrier for Biostage, Inc. to request defense and indemnification of any losses incurred in connection with this lawsuit. The Company has been informed by such insurance provider that the case has been accepted as an insurable claim under Biostage, Inc.’s product liability insurance policy and that the Company is a named insured under the policy. While the Company believes that such claim is without merit, the Company is unable to predict the ultimate outcome of this litigation.</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other claims and legal proceedings arising in the ordinary course of business. Based on the consultation with the Company’s legal counsel, the ultimate disposition of such proceedings is not likely to have a material adverse effect on the Company’s business, financial condition, results of operations or cash flows. The Company has not accrued for loss contingencies relating to any such matters because the Company believes that, although unfavorable outcomes in the proceedings are possible, they are not considered by management to be probable and reasonably estimable. If one or more of these matters are resolved in a manner adverse to the Company, the impact on its business, financial condition, results of operations and cash flows could be material.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 “potential,”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the duration and severity of the COVID-19 pandemic and its impact on our business; reductions in customers’ research budgets or government funding; domestic and global economic conditions; economic, political and other risks associated with international revenues and operations; recently enacted U.S. government tax reform; currency exchange rate fluctuations; economic and political conditions generally and those affecting pharmaceutical and biotechnology industries; the seasonal nature of purchasing in Europe; our failure to expand into foreign countries and international markets; our inability to manage our growth; competition from our competitors; our substantial debt and our ability to meet the financial covenants contained in our credit facility; failure or inadequacy of the our information technology structure; impact of difficulties implementing our enterprise resource planning systems; information security incidents or cybersecurity breaches;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our current and any future restructuring initiatives; failure of any banking institution in which we deposit our funds or its failure to provide services; our failure to raise or generate capital necessary to implement our acquisition and expansion strategy;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exit from the European Union; plus other factors described under the heading “Item 1A. Risk Factors” in our Annual Report on Form 10-K for year ended December 31, 2019, and our Quarterly Report on Form 10-Q for the quarter ended March 31, 2020,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203"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“we,” “us” and “our” refer to Harvard Bioscience, Inc., and its subsidiaries.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Harvard Bioscience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a novel coronavirus (COVID-19) as a pandemic. The COVID-19 pandemic has had a negative impact on our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negatively impacted, and will continue to, negatively impact our sales. Additionally, to ensure business continuity while maintaining a safe environment for employees aligned with guidance from government and health organizations, we transitioned the majority of our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we have maintained operations under these conditions, these measures represent disruptions which can impact productivity including sales and marketing activities. Accordingly, these conditions in addition to the overall impact on the global economy has negatively impacted our results of operations and cash flows.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market and economic conditions, in accordance with the guidelines set forth in ASC 350 and ASC 360, we performed an analysis for potential interim impairment indicators of our intangible and other long-lived assets. As of September 30, 2020, we concluded there were no impairments of goodwill, other indefinite-lived intangibles, or long-lived assets that resulted from triggering events due to COVID-19.</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for the nine months ending September 30, 2020 was negatively impacted due to the conditions noted, and is likely to continue to be negatively impacted by delayed or partial reopening of academic research institutions. In April 2020, we implemented a COVID-19 mitigation plan designed to reduce expenses. Actions taken to date include work hour and salary reductions, reductions-in-force and a realignment of our organizational structure to reduce management layers. During the three months ended September 30, 2020 a portion of employees returned to regular work hours in areas</w:t>
      </w:r>
    </w:p>
    <w:p>
      <w:pPr>
        <w:sectPr>
          <w:pgSz w:w="11900" w:h="16838" w:orient="portrait"/>
          <w:cols w:equalWidth="0" w:num="1">
            <w:col w:w="11240"/>
          </w:cols>
          <w:pgMar w:left="320" w:top="121" w:right="339" w:bottom="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of the business based on sequential improvements in revenue from the three months ended June 30, 2020. These cost reductions are in addition to the significant restructuring actions we initiated in the fourth quarter of 2019 as discussed below. If business interruptions resulting from COVID-19 were to be prolonged or expanded in scope, our business, financial condition, results of operations and cash flows would be negatively impacted. We will continue to actively monitor this situation and will implement actions necessary to maintain business continuity.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2019, we announced the appointment by the Board of Directors of James Green as President and Chief Executive Officer and the appointment of Michael Rossi as Chief Financial Officer. Immediately thereafter we began a process to identify opportunities to improve profitability, increase cash flow and enhance internal capabilities to position the business for organic growth. As a result of this assessment, in September 2019 we announced a strategic action plan for 2020 and 2021. Key elements of this plan include:</w:t>
      </w:r>
    </w:p>
    <w:p>
      <w:pPr>
        <w:spacing w:after="0" w:line="180" w:lineRule="exact"/>
        <w:rPr>
          <w:sz w:val="20"/>
          <w:szCs w:val="20"/>
          <w:color w:val="auto"/>
        </w:rPr>
      </w:pPr>
    </w:p>
    <w:p>
      <w:pPr>
        <w:ind w:left="580" w:hanging="343"/>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Capitalizing on the strong existing Harvard Bioscience and Data Science franchises and products;</w:t>
      </w:r>
    </w:p>
    <w:p>
      <w:pPr>
        <w:spacing w:after="0" w:line="225" w:lineRule="exact"/>
        <w:rPr>
          <w:rFonts w:ascii="Times New Roman" w:cs="Times New Roman" w:eastAsia="Times New Roman" w:hAnsi="Times New Roman"/>
          <w:sz w:val="18"/>
          <w:szCs w:val="18"/>
          <w:color w:val="auto"/>
        </w:rPr>
      </w:pPr>
    </w:p>
    <w:p>
      <w:pPr>
        <w:ind w:left="580" w:hanging="343"/>
        <w:spacing w:after="0" w:line="282" w:lineRule="auto"/>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senior leadership with significant experience with turnarounds and driving growth and operational improvements within global, middle market life science manufacturing businesses;</w:t>
      </w:r>
    </w:p>
    <w:p>
      <w:pPr>
        <w:spacing w:after="0" w:line="161"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sub-scale operations and integration of existing functions and processes to drive scale and reduce fixed costs;</w:t>
      </w:r>
    </w:p>
    <w:p>
      <w:pPr>
        <w:spacing w:after="0" w:line="225"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effectiveness of sales and product management to deliver organic sales growth; and</w:t>
      </w:r>
    </w:p>
    <w:p>
      <w:pPr>
        <w:spacing w:after="0" w:line="225"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cash flow and reducing debt.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2019, the Board of Directors approved a restructuring program (the “2019 Restructuring Plan”) to support delivery of the strategic action plan. The 2019 Restructuring Plan includes consolidation of our Connecticut manufacturing plant to our existing Massachusetts site, downsizing of operations in the United Kingdom and a reduction in force across the business equal to approximately 10% of our prior headcount. The 2019 Restructuring Plan is expected to deliver annualized run-rate savings of $4.0 million to $5.0 million. A portion of the savings generated is expected to be reinvested to drive profitable growth.</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continued to execute the 2019 Restructuring Plan during the COVID-19 pandemic and expanded the scope of the restructuring by realigning our organizational structure to reduce management layers and accelerated our efforts to move to a leaner organization and operation. As a result of this expanded scope, we eliminated additional headcount, which is expected to generate additional annualized cost savings of approximately $1.0 million.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actions taken under the 2019 Restructuring Plan and incremental cost reduction actions taken to date in 2020, we expect to incur costs associated with headcount reductions, program management and other transition costs required to effect the site consolidations and other business improvements totaling $5.0 million to $6.0 million, substantially all of which is expected to result in cash outlays. Through the nine months ended September 30, 2020, approximately $4.4 million of cash payments were made related to these restructuring activities.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these strategic actions will improve our profitability and position the business for improved organic revenue growth.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compared to three months ended September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280" w:type="dxa"/>
            <w:vAlign w:val="bottom"/>
            <w:tcBorders>
              <w:bottom w:val="single" w:sz="8" w:color="auto"/>
            </w:tcBorders>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09"/>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(dollars in thousands)</w:t>
            </w:r>
          </w:p>
        </w:tc>
        <w:tc>
          <w:tcPr>
            <w:tcW w:w="12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1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27,418</w:t>
            </w:r>
          </w:p>
        </w:tc>
        <w:tc>
          <w:tcPr>
            <w:tcW w:w="12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43.9%</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12,439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19.1%</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5,294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22.5%</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6,604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2,564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September 30, 2020 were $24.0 million, a decrease of approximately $3.4 million, or 12.3%, compared to revenues of $27.4 million for the three months ended September 30, 2019. The decrease in revenue was primarily due to the impact of the COVID-19 pandemic on our business, and in particular, lower sales to academic labs and other institutions that were temporarily closed or operating at reduced levels as a result of the pandemic.</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revenues were $10.5 million for the three months ended September 30, 2020, a decrease of $1.9 million, or 15.3%, compared with $12.4 million for the three months ended September 30, 2019. Gross margin as a percentage of revenues increased to 56.1% for the three months ended September 30, 2020 compared with 54.6% for the three months ended September 30, 2019. The increase in gross margin was primarily due to product mix and cost reductions initiatives partially offset by lower volumes.</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p>
      <w:pPr>
        <w:sectPr>
          <w:pgSz w:w="11900" w:h="16838" w:orient="portrait"/>
          <w:cols w:equalWidth="0" w:num="1">
            <w:col w:w="11240"/>
          </w:cols>
          <w:pgMar w:left="320" w:top="121" w:right="339" w:bottom="0" w:gutter="0" w:footer="0" w:header="0"/>
          <w:type w:val="continuous"/>
        </w:sectPr>
      </w:pPr>
    </w:p>
    <w:bookmarkStart w:id="22" w:name="page23"/>
    <w:bookmarkEnd w:id="2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$0.7 million, or 13.3%, to $4.6 million for the three months ended September 30, 2020 compared to $5.3 million during the same period in 2019. This decrease was primarily due to ongoing restructuring and cost reduction initiatives, as well as lower travel costs and variable sales costs due to the revenue reductions noted.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$5.4 million for the three months ended September 30, 2020, a decrease of $1.2 million, or 18.2%, compared with $6.6 million for the three months ended September 30, 2019. The decrease was primarily due to lower employee severance and other restructuring costs compared to the prior period as well as reduced costs due to ongoing cost reduction initiatives.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$1.9 million for the three months ended September 30, 2020, a decrease of $0.6 million, or 24.0%, compared with $2.6 million for the three months ended September 30, 2019. The decrease was primarily due to lower employee compensation including part-time work programs, and related costs due to ongoing restructuring and cost reduction initiatives.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intangible asset expenses was $1.4 million for the three months ended September 30, 2020 and did not change materially as compared to the three months ended September 30,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$1.2 million for the three months ended September 30, 2020, a decrease of $0.1 million, or 10.6%, compared with $1.3 million for the three months ended September 30, 2019. The decrease was primarily due to reduced borrowings under our financing agreement.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Income tax benefit was approximately $(0.3) million for the three months ended September 30, 2020 compared to approximately $(0.1) million for the three months ended September 30, 2019. The effective tax rate was 22.4% for the three months ended September 30, 2020 compared with 2.0% for the same period in 2019. The difference between our effective tax rates in 2020 and 2019 compared to the U.S. statutory tax rate of 21% is primarily due to the mix of 2020 forecasted income or losses in the U.S. and foreign tax jurisdictions, the impact of different tax rates in certain foreign jurisdictions, changes to uncertain tax positions, and the impact of the inclusion of foreign income in U.S. taxable income under the Global Intangible Low-Taxed Income (“GILTI”) tax rules. The effective tax rate in 2020 was also impacted by increases to valuation allowances and changes made by the Coronavirus Aid, Relief, and Economic Security Act (the “CARES Act”) to the limitation on interest expense deductions, including a retroactive change to our calendar year 2019 deduction.</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to nine months ended September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00" w:type="dxa"/>
            <w:vAlign w:val="bottom"/>
            <w:tcBorders>
              <w:bottom w:val="single" w:sz="8" w:color="auto"/>
            </w:tcBorders>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(dollars in thousands)</w:t>
            </w:r>
          </w:p>
        </w:tc>
        <w:tc>
          <w:tcPr>
            <w:tcW w:w="13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71,116</w:t>
            </w:r>
          </w:p>
        </w:tc>
        <w:tc>
          <w:tcPr>
            <w:tcW w:w="1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85,204</w:t>
            </w:r>
          </w:p>
        </w:tc>
        <w:tc>
          <w:tcPr>
            <w:tcW w:w="13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30,783</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43.3%</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38,116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1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20.3%</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17,370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25.1%</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17,215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8.9%</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8,070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4,289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0.0%</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4,129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0.6%</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for the nine months ended September 30, 2020 were $71.1 million, a decrease of approximately $14.1 million, or 16.5%, compared to revenues of $85.2 million for the nine months ended September 30, 2019. The decrease in revenue was primarily due to the impact of the COVID-19 pandemic and in particular, lower sales to academic labs and other institutions that are temporarily closed as a result of the pandemic.</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revenues were $30.8 million for the nine months ended September 30, 2020, a decrease of $7.3 million, or 19.2%, compared with $38.1 million for the nine months ended September 30, 2019. Gross margin as a percentage of revenues increased to 56.7% for the nine months ended September 30, 2020 compared with 55.3% for the nine months ended September 30, 2019. The increase in gross margin was primarily due to improved product mix with and cost reductions initiatives partially offset by lower volumes.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$2.9 million, or 16.8%, to $14.4 million for the nine months ended September 30, 2020 compared to $17.4 million during the same period in 2019. The decrease in these expenses was primarily due to ongoing restructuring and cost reduction initiatives, as well as lower travel costs and variable sales costs due to the revenue reductions noted.</w:t>
      </w:r>
    </w:p>
    <w:p>
      <w:pPr>
        <w:sectPr>
          <w:pgSz w:w="11900" w:h="16838" w:orient="portrait"/>
          <w:cols w:equalWidth="0" w:num="1">
            <w:col w:w="11240"/>
          </w:cols>
          <w:pgMar w:left="320" w:top="337" w:right="339" w:bottom="0" w:gutter="0" w:footer="0" w:header="0"/>
        </w:sectPr>
      </w:pPr>
    </w:p>
    <w:bookmarkStart w:id="23" w:name="page24"/>
    <w:bookmarkEnd w:id="23"/>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$17.8 million for the nine months ended September 30, 2020, an increase of $0.6 million, or 3.6%, compared with $17.2 million for the nine months ended September 30, 2019. The increase was primarily due to higher employee severance, other restructuring costs and stock-based compensation. Excluding these costs, general and administrative costs declined due to ongoing restructuring and cost reduction initiatives.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$6.3 million for the nine months ended September 30, 2020, a decrease of $1.7 million, or 21.5%, compared with $8.1 million for the nine months ended September 30, 2019. The decrease was primarily due to lower employee compensation including part-time work programs, and related costs due to ongoing restructuring and cost reduction initiatives.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of intangible asset expenses was $4.3 million and did not change materially as compared to the nine months ended September 30, 2019.</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$3.7 million for the nine months ended September 30, 2020, a decrease of $0.4 million, or 9.5%, compared with $4.1 million for the nine months ended September 30, 2019. The decrease was primarily due to reduced borrowings under our financing agreement.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 expense was $0.5 million for the nine months ended September 30, 2020 and income tax benefit was $(0.4) million for the nine months ended September 30, 2019. The effective tax rate was (6.7)% for the nine months ended September 30, 2020 compared with 6.5% for the same period in 2019. The difference between our effective tax rates in 2020 and 2019 compared to the U.S. statutory tax rate of 21% is primarily due to the mix of 2020 forecasted income or losses in the U.S. and foreign tax jurisdictions, the impact of different tax rates in certain foreign jurisdictions, changes to uncertain tax positions, and the impact of the inclusion of foreign income in U.S. taxable income under the GILTI tax rules. The effective tax rate in 2020 was also impacted by increases to valuation allowances and changes made by the CARES Act to the limitation on interest expense deductions, including a retroactive change to our calendar year 2019 deduction.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revolving credit facility. Our expected cash outlays relate primarily to cash payments due under our financing agreement described below as well as capital expenditures, severance and other payments associated with ongoing restructuring and cost reduction initiatives.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31, 2018, we and certain of our subsidiaries entered into a financing agreement with Cerberus Business Finance, LLC, as collateral agent and administrative agent for the lenders under the agreement (the “Financing Agreement”), which is comprised of a $64.0 million term loan that was used in connection with the acquisition of Data Sciences International in 2018 and a line of credit of up to $25.0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we held cash and cash equivalents of $2.8 million, compared with $8.3 million at December 31, 2019. As of September 30, 2020, and December 31, 2019, we had $44.4 million and $55.0 million of borrowings outstanding under our financing agreement, respectively. Total debt, net of cash and cash equivalents, was $41.6 million at September 30, 2020, compared to $46.7 million at December 31,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Cash provided by operations was $6.8 million and $5.8 million for the nine months ended September 30, 2020 and 2019, respectively. The increase in net cash flow from operations was primarily due to reductions in working capital as a result of lower revenue volume due to the COVID-19 pandemic, as well as improved working capital management.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$1.1 million for the nine months ended September 30, 2020 consisting of capital expenditures, including payments associated with ongoing site consolidations and integrations. Our investing activities provided cash of $0.2 million for the nine months ended September 30, 2019 consisting of $0.8 million used for capital expenditures and the receipt of $1.0 million in connection with the release of an escrow amount associated with the sale of substantially all of the assets of our wholly-owned subsidiary, Denville Scientific, Inc. (the “Denville Transaction”).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$11.3 million and $7.2 million for the nine months ended September 30, 2020 and 2019, respectively. During the nine months ended September 30, 2020 we made payments of $11.1 million to reduce our term loan borrowings, including $2.4 million in installment payments, an excess cash flow payment of $4.0 million, and an additional payment of $4.7 million. Net borrowings under our revolving facility were $0.5 million during the nine months ended September 30, 2020.</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18, 2020, we entered into a promissory note with PNC Bank, National Association that provided for a loan in the amount of $6.1 million (the “PPP Loan”) pursuant to the Paycheck Protection Program (the PPP) of the CARES Act administered by the U.S. Small Business Administration (the “SBA”). On April 23, 2020, the SBA, in consultation with the U.S. Department of the Treasury, issued guidance regarding consideration of alternate available sources of liquidity and its impact on qualification for PPP loans. We reassessed our business plans and liquidity available under our existing credit facility and elected to repay all PPP funds. The PPP Loan was repaid in full on May 4, 2020.</w:t>
      </w:r>
    </w:p>
    <w:p>
      <w:pPr>
        <w:spacing w:after="0" w:line="183" w:lineRule="exact"/>
        <w:rPr>
          <w:sz w:val="20"/>
          <w:szCs w:val="20"/>
          <w:color w:val="auto"/>
        </w:rPr>
      </w:pPr>
    </w:p>
    <w:p>
      <w:pPr>
        <w:jc w:val="both"/>
        <w:ind w:firstLine="467"/>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we made payments of $6.8 million of term loan borrowings, including $1.8 million in installment payments, an excess cash flow payment of $4.0 million and a payment of $1.0 million in connection with the release of an escrow amount associated with</w:t>
      </w:r>
    </w:p>
    <w:p>
      <w:pPr>
        <w:sectPr>
          <w:pgSz w:w="11900" w:h="16846" w:orient="portrait"/>
          <w:cols w:equalWidth="0" w:num="1">
            <w:col w:w="11240"/>
          </w:cols>
          <w:pgMar w:left="320" w:top="121" w:right="339"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Denville Transaction as required by the Financing Agreement.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Borrowing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to the consolidated financial statements for a detailed discussion regarding our Financing Agreement and credit facilities.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we had borrowings of $44.4 million, and as of December 31, 2019, we had borrowings of $55.0 million. We had available borrowing capacity under the revolving line of credit of $7.3 million as of September 30, 2020. As of September 30, 2020, the weighted effective interest rate on our borrowings, net of the impact of our interest rate swap, was 8.9%.</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were compliant with all covenants under the Financing Agreement as of September 30, 2020.</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covenants under the Financing Agreement include a requirement to maintain a maximum leverage ratio among other financial and non-financial covenants, as defined in the Financing Agreement. The maximum permitted leverage is the ratio of total debt to consolidated EBITDA, as defined in the Financing Agreement, with a maximum ratio of 3.25 as of June 30, 2020 and for all quarters thereafter until the maturity of the Financing Agreement in 2023. Due to the negative impact of the COVID-19 pandemic on our revenue and consolidated EBITDA, the gap between the leverage ratio and maximum permitted leverage has reduced. During the nine months ended September 30, 2020, we made an additional payment of $4.7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our current operating plans, including actions taken to mitigate the impact of COVID-19,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on our financial results described above. If the negative impact of the COVID-19 pandemic is more significant than anticipated, it may impact our ability to comply with financial covenants in the future, which would require us to seek an amendment or waivers from our lenders, limit access to or require accelerated repayment of the existing credit facilities, or require us to pursue alternative financing. There are no assurances that any such alternative financing, if required, could be obtained at terms acceptable to us, or at all.</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critical accounting policies underlying the accompanying unaudited consolidated financial statements are those set forth in Part II, Item 7 included in our Annual Report on Form 10-K for the fiscal year ended December 31, 2019, which was filed with the SEC on March 16, 2020.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2020, changes in foreign currency exchange rates resulted in a favorable translation effect on our consolidated revenues of approximately $0.4 million and an unfavorable effect on expenses of approximately $(0.3) million. During the nine months ended September 30, 2020, changes in foreign currency exchange rates resulted in a negligible translation effect on our consolidated revenues and an unfavorable effect on expenses of approximately $(0.7) million.</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gain associated with the translation of foreign equity into U.S. dollars included as a component of comprehensive income (loss) during the three months ended September 30, 2020 was approximately $1.6 million, compared to a loss of $(1.5) million for the three months ended September 30, 2019. The gain associated with the translation of foreign equity into U.S. dollars included as a component of comprehensive income (loss) during the nine months ended September 30, 2020 was approximately $0.7 million, compared to a loss of $(1.7) million for the nine months ended September 30, 2019.</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currency exchange rate fluctuations included as a component of net income resulted in currency gains (losses) of approximately $(0.3) million and $0.1 million during the three months ended September 30, 2020 and 2019, respectively, and $(0.2) million and $0.1 million during the nine months ended September 30, 2020 and 2019,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“Note 2 - Recent Accounting Pronouncements" to our Condensed Consolidated Financial Statements.</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Most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 In addition, we are subject to the broad market risk that is created by the global market disruptions and uncertainties resulting from the COVID-19 pandemic.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ectPr>
          <w:pgSz w:w="11900" w:h="16838" w:orient="portrait"/>
          <w:cols w:equalWidth="0" w:num="1">
            <w:col w:w="11240"/>
          </w:cols>
          <w:pgMar w:left="320" w:top="121" w:right="339" w:bottom="0" w:gutter="0" w:footer="0" w:header="0"/>
        </w:sectPr>
      </w:pPr>
    </w:p>
    <w:bookmarkStart w:id="25" w:name="page26"/>
    <w:bookmarkEnd w:id="2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primarily through our financing activities. As of September 30, 2020, we had $44.4 million outstanding under our Financing Agreement. We entered into an interest rate swap contract with PNC Bank with an initial notional amount of $36.0 million and a termination date of January 31, 2023 in order to hedge a portion of the risk of changes in the effective benchmark interest rate (LIBOR) associated with the Financing Agreement. The notional value of the interest rate swap contract as of September 30, 2020 was $24.1 million. The swap contract converted specific variable-rate debt into fixed-rate debt and fixed the LIBOR rate associated with a portion of the term loan under the Financing Agreement at 2.72%.</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the weighted effective interest rate, net of the impact of our interest rate swaps, on our term loan under the Financing Agreement was 8.9%. Assuming no other changes which would affect the margin of the interest rate, the estimated effect of interest rate fluctuations on outstanding borrowings under our Financing Agreement for the nine months ended September 30, 2020 is quantified and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Approximate Interest</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compared to the rate as of September 30, 2020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expense increase</w:t>
            </w:r>
          </w:p>
        </w:tc>
      </w:tr>
      <w:tr>
        <w:trPr>
          <w:trHeight w:val="210"/>
        </w:trPr>
        <w:tc>
          <w:tcPr>
            <w:tcW w:w="7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rates increase by 1%</w:t>
            </w:r>
          </w:p>
        </w:tc>
        <w:tc>
          <w:tcPr>
            <w:tcW w:w="1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$ 0.1 million</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rates increase by 2%</w:t>
            </w:r>
          </w:p>
        </w:tc>
        <w:tc>
          <w:tcPr>
            <w:tcW w:w="1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$ 0.2 million</w:t>
            </w:r>
          </w:p>
        </w:tc>
      </w:tr>
      <w:tr>
        <w:trPr>
          <w:trHeight w:val="630"/>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Controls and Procedures.</w:t>
            </w:r>
          </w:p>
        </w:tc>
        <w:tc>
          <w:tcPr>
            <w:tcW w:w="174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2020,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third quarter of fiscal 2020 that have materially affected, or are reasonably likely to materially affect, our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included in Note 15 to the Condensed Consolidated Financial Statements (Unaudited) included in Part I, Item 1 of this quarterly report is incorporated herein by reference.</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You should carefully consider the factors discussed in Part I, “Item 1A. Risk Factors” in our Annual Report on Form 10-K for the fiscal year ended December 31, 2019, and in Part II, “Item 1A. Risk Factors” in our Quarterly Report on Form 10-Q for the fiscal quarter ended March 31, 2020, which could materially affect our business, financial position, or future results of operations. The risks described in those filings are not the only risks we face. Additional risks and uncertainties not currently known to us or that we currently deem to be immaterial may also materially adversely affect our business, financial position, or future results of operations. To our knowledge, and except to the extent additional factual information disclosed in this Quarterly Report on Form 10-Q relates to such risk factors, there have been no material changes in the risk factors described in our Annual Report on Form 10-K for the fiscal year ended December 31, 2019 and in our Quarterly Report on Form 10-Q for the fiscal quarter ended March 31, 2020.</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r>
        <w:rPr>
          <w:rFonts w:ascii="Times New Roman" w:cs="Times New Roman" w:eastAsia="Times New Roman" w:hAnsi="Times New Roman"/>
          <w:sz w:val="17"/>
          <w:szCs w:val="17"/>
          <w:b w:val="1"/>
          <w:bCs w:val="1"/>
          <w:i w:val="1"/>
          <w:iCs w:val="1"/>
          <w:color w:val="auto"/>
        </w:rPr>
        <w:t>.</w:t>
      </w:r>
    </w:p>
    <w:p>
      <w:pPr>
        <w:sectPr>
          <w:pgSz w:w="11900" w:h="16838" w:orient="portrait"/>
          <w:cols w:equalWidth="0" w:num="1">
            <w:col w:w="11240"/>
          </w:cols>
          <w:pgMar w:left="320" w:top="121" w:right="339" w:bottom="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8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31.1</w:t>
              </w:r>
            </w:hyperlink>
          </w:p>
        </w:tc>
        <w:tc>
          <w:tcPr>
            <w:tcW w:w="340" w:type="dxa"/>
            <w:vAlign w:val="bottom"/>
          </w:tcPr>
          <w:p>
            <w:pPr>
              <w:spacing w:after="0"/>
              <w:rPr>
                <w:sz w:val="24"/>
                <w:szCs w:val="24"/>
                <w:color w:val="auto"/>
              </w:rPr>
            </w:pPr>
          </w:p>
        </w:tc>
        <w:tc>
          <w:tcPr>
            <w:tcW w:w="97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Certification of Chief Financial Officer of Harvard Bioscience, Inc., pursuant to Rules 13a-14(a) and 15d-14(a), as adopted pursuant to</w:t>
              </w:r>
            </w:hyperlink>
          </w:p>
        </w:tc>
        <w:tc>
          <w:tcPr>
            <w:tcW w:w="38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Section 302 of the Sarbanes-Oxley Act of 2002.</w:t>
              </w:r>
            </w:hyperlink>
          </w:p>
        </w:tc>
        <w:tc>
          <w:tcPr>
            <w:tcW w:w="6640" w:type="dxa"/>
            <w:vAlign w:val="bottom"/>
            <w:gridSpan w:val="4"/>
          </w:tcPr>
          <w:p>
            <w:pPr>
              <w:spacing w:after="0"/>
              <w:rPr>
                <w:sz w:val="17"/>
                <w:szCs w:val="17"/>
                <w:color w:val="auto"/>
              </w:rPr>
            </w:pPr>
          </w:p>
        </w:tc>
      </w:tr>
      <w:tr>
        <w:trPr>
          <w:trHeight w:val="196"/>
        </w:trPr>
        <w:tc>
          <w:tcPr>
            <w:tcW w:w="800" w:type="dxa"/>
            <w:vAlign w:val="bottom"/>
          </w:tcPr>
          <w:p>
            <w:pPr>
              <w:spacing w:after="0" w:line="196" w:lineRule="exact"/>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31.2</w:t>
              </w:r>
            </w:hyperlink>
          </w:p>
        </w:tc>
        <w:tc>
          <w:tcPr>
            <w:tcW w:w="340" w:type="dxa"/>
            <w:vAlign w:val="bottom"/>
          </w:tcPr>
          <w:p>
            <w:pPr>
              <w:spacing w:after="0"/>
              <w:rPr>
                <w:sz w:val="17"/>
                <w:szCs w:val="17"/>
                <w:color w:val="auto"/>
              </w:rPr>
            </w:pPr>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Certification of Chief Executive Officer of Harvard Bioscience, Inc., pursuant to Rules 13a-14(a) and 15d-14(a), as adopted pursuant to</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Section 302 of the Sarbanes-Oxley Act of 2002.</w:t>
              </w:r>
            </w:hyperlink>
          </w:p>
        </w:tc>
        <w:tc>
          <w:tcPr>
            <w:tcW w:w="6300" w:type="dxa"/>
            <w:vAlign w:val="bottom"/>
            <w:tcBorders>
              <w:top w:val="single" w:sz="8" w:color="0000EE"/>
            </w:tcBorders>
            <w:gridSpan w:val="2"/>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32.1*</w:t>
              </w:r>
            </w:hyperlink>
          </w:p>
        </w:tc>
        <w:tc>
          <w:tcPr>
            <w:tcW w:w="340" w:type="dxa"/>
            <w:vAlign w:val="bottom"/>
          </w:tcPr>
          <w:p>
            <w:pPr>
              <w:spacing w:after="0"/>
              <w:rPr>
                <w:sz w:val="17"/>
                <w:szCs w:val="17"/>
                <w:color w:val="auto"/>
              </w:rPr>
            </w:pPr>
          </w:p>
        </w:tc>
        <w:tc>
          <w:tcPr>
            <w:tcW w:w="10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Certification of Chief Financial Officer of Harvard Bioscience, Inc., pursuant to 18 U.S.C. Section 1350, as adopted pursuant to Section 906</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of the Sarbanes-Oxley Act of 2002.</w:t>
              </w:r>
            </w:hyperlink>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32.2*</w:t>
              </w:r>
            </w:hyperlink>
          </w:p>
        </w:tc>
        <w:tc>
          <w:tcPr>
            <w:tcW w:w="340" w:type="dxa"/>
            <w:vAlign w:val="bottom"/>
          </w:tcPr>
          <w:p>
            <w:pPr>
              <w:spacing w:after="0"/>
              <w:rPr>
                <w:sz w:val="17"/>
                <w:szCs w:val="17"/>
                <w:color w:val="auto"/>
              </w:rPr>
            </w:pPr>
          </w:p>
        </w:tc>
        <w:tc>
          <w:tcPr>
            <w:tcW w:w="9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Certification of Chief Executive Officer of Harvard Bioscience, Inc., pursuant to 18 U.S.C. Section 1350, as adopted pursuant to Section</w:t>
              </w:r>
            </w:hyperlink>
          </w:p>
        </w:tc>
        <w:tc>
          <w:tcPr>
            <w:tcW w:w="2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906 of the Sarbanes-Oxley Act of 2002.</w:t>
              </w:r>
            </w:hyperlink>
          </w:p>
        </w:tc>
        <w:tc>
          <w:tcPr>
            <w:tcW w:w="7220" w:type="dxa"/>
            <w:vAlign w:val="bottom"/>
            <w:gridSpan w:val="5"/>
          </w:tcPr>
          <w:p>
            <w:pPr>
              <w:spacing w:after="0"/>
              <w:rPr>
                <w:sz w:val="17"/>
                <w:szCs w:val="17"/>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198" w:lineRule="exact"/>
        <w:rPr>
          <w:sz w:val="20"/>
          <w:szCs w:val="20"/>
          <w:color w:val="auto"/>
        </w:rPr>
      </w:pPr>
    </w:p>
    <w:p>
      <w:pPr>
        <w:ind w:left="340" w:right="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40" w:firstLine="47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  JAMES GREEN</w:t>
            </w:r>
          </w:p>
        </w:tc>
      </w:tr>
      <w:tr>
        <w:trPr>
          <w:trHeight w:val="191"/>
        </w:trPr>
        <w:tc>
          <w:tcPr>
            <w:tcW w:w="560" w:type="dxa"/>
            <w:vAlign w:val="bottom"/>
          </w:tcPr>
          <w:p>
            <w:pPr>
              <w:spacing w:after="0"/>
              <w:rPr>
                <w:sz w:val="16"/>
                <w:szCs w:val="16"/>
                <w:color w:val="auto"/>
              </w:rPr>
            </w:pPr>
          </w:p>
        </w:tc>
        <w:tc>
          <w:tcPr>
            <w:tcW w:w="3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James Green</w:t>
            </w:r>
          </w:p>
        </w:tc>
      </w:tr>
      <w:tr>
        <w:trPr>
          <w:trHeight w:val="234"/>
        </w:trPr>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  MICHAEL A. ROSSI</w:t>
            </w:r>
          </w:p>
        </w:tc>
      </w:tr>
      <w:tr>
        <w:trPr>
          <w:trHeight w:val="191"/>
        </w:trPr>
        <w:tc>
          <w:tcPr>
            <w:tcW w:w="560" w:type="dxa"/>
            <w:vAlign w:val="bottom"/>
          </w:tcPr>
          <w:p>
            <w:pPr>
              <w:spacing w:after="0"/>
              <w:rPr>
                <w:sz w:val="16"/>
                <w:szCs w:val="16"/>
                <w:color w:val="auto"/>
              </w:rPr>
            </w:pPr>
          </w:p>
        </w:tc>
        <w:tc>
          <w:tcPr>
            <w:tcW w:w="3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Michael A. Rossi</w:t>
            </w:r>
          </w:p>
        </w:tc>
      </w:tr>
      <w:tr>
        <w:trPr>
          <w:trHeight w:val="234"/>
        </w:trPr>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555"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Rossi,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494"/>
        <w:spacing w:after="0" w:line="266" w:lineRule="auto"/>
        <w:tabs>
          <w:tab w:leader="none" w:pos="6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94"/>
        <w:spacing w:after="0" w:line="266" w:lineRule="auto"/>
        <w:tabs>
          <w:tab w:leader="none" w:pos="7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494"/>
        <w:spacing w:after="0" w:line="282" w:lineRule="auto"/>
        <w:tabs>
          <w:tab w:leader="none" w:pos="7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94"/>
        <w:spacing w:after="0" w:line="266" w:lineRule="auto"/>
        <w:tabs>
          <w:tab w:leader="none" w:pos="68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494"/>
        <w:spacing w:after="0" w:line="282" w:lineRule="auto"/>
        <w:tabs>
          <w:tab w:leader="none" w:pos="66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94"/>
        <w:spacing w:after="0" w:line="282" w:lineRule="auto"/>
        <w:tabs>
          <w:tab w:leader="none" w:pos="6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6, 2020</w:t>
      </w:r>
      <w:r>
        <w:rPr>
          <w:sz w:val="20"/>
          <w:szCs w:val="20"/>
          <w:color w:val="auto"/>
        </w:rPr>
        <w:tab/>
      </w:r>
      <w:r>
        <w:rPr>
          <w:rFonts w:ascii="Times New Roman" w:cs="Times New Roman" w:eastAsia="Times New Roman" w:hAnsi="Times New Roman"/>
          <w:sz w:val="18"/>
          <w:szCs w:val="18"/>
          <w:color w:val="auto"/>
        </w:rPr>
        <w:t>/s/ MICHAEL A. ROSSI</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A. Rossi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60" w:firstLine="494"/>
        <w:spacing w:after="0" w:line="266" w:lineRule="auto"/>
        <w:tabs>
          <w:tab w:leader="none" w:pos="6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66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80" w:firstLine="494"/>
        <w:spacing w:after="0" w:line="282" w:lineRule="auto"/>
        <w:tabs>
          <w:tab w:leader="none" w:pos="6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40" w:firstLine="494"/>
        <w:spacing w:after="0" w:line="266" w:lineRule="auto"/>
        <w:tabs>
          <w:tab w:leader="none" w:pos="66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60" w:firstLine="494"/>
        <w:spacing w:after="0" w:line="282" w:lineRule="auto"/>
        <w:tabs>
          <w:tab w:leader="none" w:pos="6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494"/>
        <w:spacing w:after="0" w:line="282" w:lineRule="auto"/>
        <w:tabs>
          <w:tab w:leader="none" w:pos="66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JAMES GREEN</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James Green</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29" w:name="page30"/>
    <w:bookmarkEnd w:id="29"/>
    <w:p>
      <w:pPr>
        <w:ind w:left="10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0" w:lineRule="exact"/>
        <w:rPr>
          <w:sz w:val="20"/>
          <w:szCs w:val="20"/>
          <w:color w:val="auto"/>
        </w:rPr>
      </w:pPr>
    </w:p>
    <w:p>
      <w:pPr>
        <w:spacing w:after="0" w:line="245"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Quarterly Report on Form 10-Q for the quarterly period ended September 30, 2020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6, 2020</w:t>
      </w:r>
      <w:r>
        <w:rPr>
          <w:sz w:val="20"/>
          <w:szCs w:val="20"/>
          <w:color w:val="auto"/>
        </w:rPr>
        <w:tab/>
      </w:r>
      <w:r>
        <w:rPr>
          <w:rFonts w:ascii="Times New Roman" w:cs="Times New Roman" w:eastAsia="Times New Roman" w:hAnsi="Times New Roman"/>
          <w:sz w:val="18"/>
          <w:szCs w:val="18"/>
          <w:color w:val="auto"/>
        </w:rPr>
        <w:t>/s/ MICHAEL A. ROSSI</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A. Rossi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0" w:lineRule="exact"/>
        <w:rPr>
          <w:sz w:val="20"/>
          <w:szCs w:val="20"/>
          <w:color w:val="auto"/>
        </w:rPr>
      </w:pPr>
    </w:p>
    <w:p>
      <w:pPr>
        <w:spacing w:after="0" w:line="245"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Quarterly Report on Form 10-Q for the quarterly period ended September 30, 2020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6, 2020</w:t>
      </w:r>
      <w:r>
        <w:rPr>
          <w:sz w:val="20"/>
          <w:szCs w:val="20"/>
          <w:color w:val="auto"/>
        </w:rPr>
        <w:tab/>
      </w:r>
      <w:r>
        <w:rPr>
          <w:rFonts w:ascii="Times New Roman" w:cs="Times New Roman" w:eastAsia="Times New Roman" w:hAnsi="Times New Roman"/>
          <w:sz w:val="18"/>
          <w:szCs w:val="18"/>
          <w:color w:val="auto"/>
        </w:rPr>
        <w:t>/s/ JAMES GREEN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Green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decimal"/>
      <w:start w:val="13"/>
    </w:lvl>
  </w:abstractNum>
  <w:abstractNum w:abstractNumId="15">
    <w:nsid w:val="3F2DBA31"/>
    <w:multiLevelType w:val="hybridMultilevel"/>
    <w:lvl w:ilvl="0">
      <w:lvlJc w:val="left"/>
      <w:lvlText w:val="%1."/>
      <w:numFmt w:val="decimal"/>
      <w:start w:val="14"/>
    </w:lvl>
  </w:abstractNum>
  <w:abstractNum w:abstractNumId="16">
    <w:nsid w:val="7C83E458"/>
    <w:multiLevelType w:val="hybridMultilevel"/>
    <w:lvl w:ilvl="0">
      <w:lvlJc w:val="left"/>
      <w:lvlText w:val="%1."/>
      <w:numFmt w:val="decimal"/>
      <w:start w:val="15"/>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2020-11-06T16:15:35Z</dcterms:created>
  <dcterms:modified xsi:type="dcterms:W3CDTF">2020-11-06T16:15:35Z</dcterms:modified>
</cp:coreProperties>
</file>