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205" w:lineRule="exact"/>
        <w:rPr>
          <w:sz w:val="24"/>
          <w:szCs w:val="24"/>
          <w:color w:val="auto"/>
        </w:rPr>
      </w:pPr>
    </w:p>
    <w:p>
      <w:pPr>
        <w:ind w:left="3980" w:right="3960" w:hanging="3972"/>
        <w:spacing w:after="0" w:line="545" w:lineRule="auto"/>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2019</w:t>
      </w:r>
    </w:p>
    <w:p>
      <w:pPr>
        <w:spacing w:after="0" w:line="29"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760" w:type="dxa"/>
            <w:vAlign w:val="bottom"/>
            <w:gridSpan w:val="2"/>
          </w:tcPr>
          <w:p>
            <w:pPr>
              <w:ind w:left="380"/>
              <w:spacing w:after="0"/>
              <w:rPr>
                <w:sz w:val="20"/>
                <w:szCs w:val="20"/>
                <w:color w:val="auto"/>
              </w:rPr>
            </w:pPr>
            <w:r>
              <w:rPr>
                <w:rFonts w:ascii="Arial" w:cs="Arial" w:eastAsia="Arial" w:hAnsi="Arial"/>
                <w:sz w:val="18"/>
                <w:szCs w:val="18"/>
                <w:b w:val="1"/>
                <w:bCs w:val="1"/>
                <w:color w:val="auto"/>
                <w:w w:val="93"/>
              </w:rPr>
              <w:t>For the transition period from</w:t>
            </w:r>
          </w:p>
        </w:tc>
        <w:tc>
          <w:tcPr>
            <w:tcW w:w="5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3840" w:type="dxa"/>
            <w:vAlign w:val="bottom"/>
          </w:tcPr>
          <w:p>
            <w:pPr>
              <w:spacing w:after="0"/>
              <w:rPr>
                <w:sz w:val="17"/>
                <w:szCs w:val="17"/>
                <w:color w:val="auto"/>
              </w:rPr>
            </w:pPr>
          </w:p>
        </w:tc>
      </w:tr>
      <w:tr>
        <w:trPr>
          <w:trHeight w:val="438"/>
        </w:trPr>
        <w:tc>
          <w:tcPr>
            <w:tcW w:w="3460" w:type="dxa"/>
            <w:vAlign w:val="bottom"/>
          </w:tcPr>
          <w:p>
            <w:pPr>
              <w:spacing w:after="0"/>
              <w:rPr>
                <w:sz w:val="24"/>
                <w:szCs w:val="24"/>
                <w:color w:val="auto"/>
              </w:rPr>
            </w:pPr>
          </w:p>
        </w:tc>
        <w:tc>
          <w:tcPr>
            <w:tcW w:w="7960" w:type="dxa"/>
            <w:vAlign w:val="bottom"/>
            <w:gridSpan w:val="7"/>
          </w:tcPr>
          <w:p>
            <w:pPr>
              <w:jc w:val="center"/>
              <w:ind w:right="3350"/>
              <w:spacing w:after="0"/>
              <w:rPr>
                <w:sz w:val="20"/>
                <w:szCs w:val="20"/>
                <w:color w:val="auto"/>
              </w:rPr>
            </w:pPr>
            <w:r>
              <w:rPr>
                <w:rFonts w:ascii="Arial" w:cs="Arial" w:eastAsia="Arial" w:hAnsi="Arial"/>
                <w:sz w:val="18"/>
                <w:szCs w:val="18"/>
                <w:b w:val="1"/>
                <w:bCs w:val="1"/>
                <w:color w:val="auto"/>
                <w:w w:val="90"/>
              </w:rPr>
              <w:t>Commission file number 001-33957</w:t>
            </w:r>
          </w:p>
        </w:tc>
      </w:tr>
      <w:tr>
        <w:trPr>
          <w:trHeight w:val="230"/>
        </w:trPr>
        <w:tc>
          <w:tcPr>
            <w:tcW w:w="3460" w:type="dxa"/>
            <w:vAlign w:val="bottom"/>
          </w:tcPr>
          <w:p>
            <w:pPr>
              <w:spacing w:after="0"/>
              <w:rPr>
                <w:sz w:val="20"/>
                <w:szCs w:val="20"/>
                <w:color w:val="auto"/>
              </w:rPr>
            </w:pPr>
          </w:p>
        </w:tc>
        <w:tc>
          <w:tcPr>
            <w:tcW w:w="3380" w:type="dxa"/>
            <w:vAlign w:val="bottom"/>
            <w:gridSpan w:val="4"/>
          </w:tcPr>
          <w:p>
            <w:pPr>
              <w:jc w:val="center"/>
              <w:ind w:left="1090"/>
              <w:spacing w:after="0"/>
              <w:rPr>
                <w:sz w:val="20"/>
                <w:szCs w:val="20"/>
                <w:color w:val="auto"/>
              </w:rPr>
            </w:pPr>
            <w:r>
              <w:rPr>
                <w:rFonts w:ascii="Arial" w:cs="Arial" w:eastAsia="Arial" w:hAnsi="Arial"/>
                <w:sz w:val="18"/>
                <w:szCs w:val="18"/>
                <w:color w:val="auto"/>
                <w:w w:val="89"/>
              </w:rPr>
              <w:t>________________________</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697"/>
        </w:trPr>
        <w:tc>
          <w:tcPr>
            <w:tcW w:w="11420" w:type="dxa"/>
            <w:vAlign w:val="bottom"/>
            <w:gridSpan w:val="8"/>
          </w:tcPr>
          <w:p>
            <w:pPr>
              <w:jc w:val="center"/>
              <w:spacing w:after="0"/>
              <w:rPr>
                <w:sz w:val="20"/>
                <w:szCs w:val="20"/>
                <w:color w:val="auto"/>
              </w:rPr>
            </w:pPr>
            <w:r>
              <w:rPr>
                <w:rFonts w:ascii="Arial" w:cs="Arial" w:eastAsia="Arial" w:hAnsi="Arial"/>
                <w:sz w:val="43"/>
                <w:szCs w:val="43"/>
                <w:b w:val="1"/>
                <w:bCs w:val="1"/>
                <w:color w:val="auto"/>
              </w:rPr>
              <w:t>HARVARD BIOSCIENCE, INC.</w:t>
            </w:r>
          </w:p>
        </w:tc>
      </w:tr>
      <w:tr>
        <w:trPr>
          <w:trHeight w:val="220"/>
        </w:trPr>
        <w:tc>
          <w:tcPr>
            <w:tcW w:w="3460" w:type="dxa"/>
            <w:vAlign w:val="bottom"/>
          </w:tcPr>
          <w:p>
            <w:pPr>
              <w:spacing w:after="0"/>
              <w:rPr>
                <w:sz w:val="19"/>
                <w:szCs w:val="19"/>
                <w:color w:val="auto"/>
              </w:rPr>
            </w:pPr>
          </w:p>
        </w:tc>
        <w:tc>
          <w:tcPr>
            <w:tcW w:w="7960" w:type="dxa"/>
            <w:vAlign w:val="bottom"/>
            <w:gridSpan w:val="7"/>
          </w:tcPr>
          <w:p>
            <w:pPr>
              <w:jc w:val="center"/>
              <w:ind w:right="335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r>
      <w:tr>
        <w:trPr>
          <w:trHeight w:val="230"/>
        </w:trPr>
        <w:tc>
          <w:tcPr>
            <w:tcW w:w="3460" w:type="dxa"/>
            <w:vAlign w:val="bottom"/>
          </w:tcPr>
          <w:p>
            <w:pPr>
              <w:spacing w:after="0"/>
              <w:rPr>
                <w:sz w:val="20"/>
                <w:szCs w:val="20"/>
                <w:color w:val="auto"/>
              </w:rPr>
            </w:pPr>
          </w:p>
        </w:tc>
        <w:tc>
          <w:tcPr>
            <w:tcW w:w="3340" w:type="dxa"/>
            <w:vAlign w:val="bottom"/>
            <w:gridSpan w:val="3"/>
          </w:tcPr>
          <w:p>
            <w:pPr>
              <w:jc w:val="center"/>
              <w:ind w:left="1090"/>
              <w:spacing w:after="0"/>
              <w:rPr>
                <w:sz w:val="20"/>
                <w:szCs w:val="20"/>
                <w:color w:val="auto"/>
              </w:rPr>
            </w:pPr>
            <w:r>
              <w:rPr>
                <w:rFonts w:ascii="Arial" w:cs="Arial" w:eastAsia="Arial" w:hAnsi="Arial"/>
                <w:sz w:val="18"/>
                <w:szCs w:val="18"/>
                <w:color w:val="auto"/>
                <w:w w:val="89"/>
              </w:rPr>
              <w:t>________________________</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14"/>
        </w:trPr>
        <w:tc>
          <w:tcPr>
            <w:tcW w:w="3460" w:type="dxa"/>
            <w:vAlign w:val="bottom"/>
          </w:tcPr>
          <w:p>
            <w:pPr>
              <w:jc w:val="center"/>
              <w:ind w:left="2156"/>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3"/>
          </w:tcPr>
          <w:p>
            <w:pPr>
              <w:jc w:val="right"/>
              <w:ind w:right="2330"/>
              <w:spacing w:after="0"/>
              <w:rPr>
                <w:sz w:val="20"/>
                <w:szCs w:val="20"/>
                <w:color w:val="auto"/>
              </w:rPr>
            </w:pPr>
            <w:r>
              <w:rPr>
                <w:rFonts w:ascii="Arial" w:cs="Arial" w:eastAsia="Arial" w:hAnsi="Arial"/>
                <w:sz w:val="18"/>
                <w:szCs w:val="18"/>
                <w:b w:val="1"/>
                <w:bCs w:val="1"/>
                <w:color w:val="auto"/>
              </w:rPr>
              <w:t>04-3306140</w:t>
            </w:r>
          </w:p>
        </w:tc>
      </w:tr>
      <w:tr>
        <w:trPr>
          <w:trHeight w:val="216"/>
        </w:trPr>
        <w:tc>
          <w:tcPr>
            <w:tcW w:w="6840" w:type="dxa"/>
            <w:vAlign w:val="bottom"/>
            <w:gridSpan w:val="5"/>
          </w:tcPr>
          <w:p>
            <w:pPr>
              <w:jc w:val="center"/>
              <w:ind w:right="1120"/>
              <w:spacing w:after="0"/>
              <w:rPr>
                <w:sz w:val="20"/>
                <w:szCs w:val="20"/>
                <w:color w:val="auto"/>
              </w:rPr>
            </w:pPr>
            <w:r>
              <w:rPr>
                <w:rFonts w:ascii="Arial" w:cs="Arial" w:eastAsia="Arial" w:hAnsi="Arial"/>
                <w:sz w:val="18"/>
                <w:szCs w:val="18"/>
                <w:b w:val="1"/>
                <w:bCs w:val="1"/>
                <w:color w:val="auto"/>
                <w:w w:val="90"/>
              </w:rPr>
              <w:t>(State or Other Jurisdiction of</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840" w:type="dxa"/>
            <w:vAlign w:val="bottom"/>
            <w:gridSpan w:val="5"/>
          </w:tcPr>
          <w:p>
            <w:pPr>
              <w:jc w:val="center"/>
              <w:ind w:right="1100"/>
              <w:spacing w:after="0"/>
              <w:rPr>
                <w:sz w:val="20"/>
                <w:szCs w:val="20"/>
                <w:color w:val="auto"/>
              </w:rPr>
            </w:pPr>
            <w:r>
              <w:rPr>
                <w:rFonts w:ascii="Arial" w:cs="Arial" w:eastAsia="Arial" w:hAnsi="Arial"/>
                <w:sz w:val="18"/>
                <w:szCs w:val="18"/>
                <w:b w:val="1"/>
                <w:bCs w:val="1"/>
                <w:color w:val="auto"/>
                <w:w w:val="93"/>
              </w:rPr>
              <w:t>Incorporation or Organization)</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6840" w:type="dxa"/>
            <w:vAlign w:val="bottom"/>
            <w:gridSpan w:val="5"/>
          </w:tcPr>
          <w:p>
            <w:pPr>
              <w:jc w:val="center"/>
              <w:ind w:right="1100"/>
              <w:spacing w:after="0"/>
              <w:rPr>
                <w:sz w:val="20"/>
                <w:szCs w:val="20"/>
                <w:color w:val="auto"/>
              </w:rPr>
            </w:pPr>
            <w:r>
              <w:rPr>
                <w:rFonts w:ascii="Arial" w:cs="Arial" w:eastAsia="Arial" w:hAnsi="Arial"/>
                <w:sz w:val="18"/>
                <w:szCs w:val="18"/>
                <w:b w:val="1"/>
                <w:bCs w:val="1"/>
                <w:color w:val="auto"/>
                <w:w w:val="93"/>
              </w:rPr>
              <w:t>84 October Hill Road, Holliston, MA</w:t>
            </w:r>
          </w:p>
        </w:tc>
        <w:tc>
          <w:tcPr>
            <w:tcW w:w="4580" w:type="dxa"/>
            <w:vAlign w:val="bottom"/>
            <w:gridSpan w:val="3"/>
          </w:tcPr>
          <w:p>
            <w:pPr>
              <w:jc w:val="right"/>
              <w:ind w:right="2530"/>
              <w:spacing w:after="0"/>
              <w:rPr>
                <w:sz w:val="20"/>
                <w:szCs w:val="20"/>
                <w:color w:val="auto"/>
              </w:rPr>
            </w:pPr>
            <w:r>
              <w:rPr>
                <w:rFonts w:ascii="Arial" w:cs="Arial" w:eastAsia="Arial" w:hAnsi="Arial"/>
                <w:sz w:val="18"/>
                <w:szCs w:val="18"/>
                <w:b w:val="1"/>
                <w:bCs w:val="1"/>
                <w:color w:val="auto"/>
              </w:rPr>
              <w:t>01746</w:t>
            </w:r>
          </w:p>
        </w:tc>
      </w:tr>
      <w:tr>
        <w:trPr>
          <w:trHeight w:val="234"/>
        </w:trPr>
        <w:tc>
          <w:tcPr>
            <w:tcW w:w="6840" w:type="dxa"/>
            <w:vAlign w:val="bottom"/>
            <w:gridSpan w:val="5"/>
          </w:tcPr>
          <w:p>
            <w:pPr>
              <w:jc w:val="center"/>
              <w:ind w:right="112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3460" w:type="dxa"/>
            <w:vAlign w:val="bottom"/>
          </w:tcPr>
          <w:p>
            <w:pPr>
              <w:spacing w:after="0"/>
              <w:rPr>
                <w:sz w:val="24"/>
                <w:szCs w:val="24"/>
                <w:color w:val="auto"/>
              </w:rPr>
            </w:pPr>
          </w:p>
        </w:tc>
        <w:tc>
          <w:tcPr>
            <w:tcW w:w="334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0"/>
              </w:rPr>
              <w:t>(508) 893-8999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20"/>
        </w:trPr>
        <w:tc>
          <w:tcPr>
            <w:tcW w:w="3460" w:type="dxa"/>
            <w:vAlign w:val="bottom"/>
          </w:tcPr>
          <w:p>
            <w:pPr>
              <w:spacing w:after="0"/>
              <w:rPr>
                <w:sz w:val="19"/>
                <w:szCs w:val="19"/>
                <w:color w:val="auto"/>
              </w:rPr>
            </w:pPr>
          </w:p>
        </w:tc>
        <w:tc>
          <w:tcPr>
            <w:tcW w:w="7960" w:type="dxa"/>
            <w:vAlign w:val="bottom"/>
            <w:gridSpan w:val="7"/>
          </w:tcPr>
          <w:p>
            <w:pPr>
              <w:jc w:val="center"/>
              <w:ind w:right="337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r>
        <w:trPr>
          <w:trHeight w:val="230"/>
        </w:trPr>
        <w:tc>
          <w:tcPr>
            <w:tcW w:w="3460" w:type="dxa"/>
            <w:vAlign w:val="bottom"/>
          </w:tcPr>
          <w:p>
            <w:pPr>
              <w:spacing w:after="0"/>
              <w:rPr>
                <w:sz w:val="20"/>
                <w:szCs w:val="20"/>
                <w:color w:val="auto"/>
              </w:rPr>
            </w:pPr>
          </w:p>
        </w:tc>
        <w:tc>
          <w:tcPr>
            <w:tcW w:w="3340" w:type="dxa"/>
            <w:vAlign w:val="bottom"/>
            <w:gridSpan w:val="3"/>
          </w:tcPr>
          <w:p>
            <w:pPr>
              <w:jc w:val="center"/>
              <w:ind w:left="1090"/>
              <w:spacing w:after="0"/>
              <w:rPr>
                <w:sz w:val="20"/>
                <w:szCs w:val="20"/>
                <w:color w:val="auto"/>
              </w:rPr>
            </w:pPr>
            <w:r>
              <w:rPr>
                <w:rFonts w:ascii="Arial" w:cs="Arial" w:eastAsia="Arial" w:hAnsi="Arial"/>
                <w:sz w:val="18"/>
                <w:szCs w:val="18"/>
                <w:color w:val="auto"/>
                <w:w w:val="89"/>
              </w:rPr>
              <w:t>________________________</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32"/>
        </w:trPr>
        <w:tc>
          <w:tcPr>
            <w:tcW w:w="6840" w:type="dxa"/>
            <w:vAlign w:val="bottom"/>
            <w:gridSpan w:val="5"/>
          </w:tcPr>
          <w:p>
            <w:pPr>
              <w:ind w:left="440"/>
              <w:spacing w:after="0"/>
              <w:rPr>
                <w:sz w:val="20"/>
                <w:szCs w:val="20"/>
                <w:color w:val="auto"/>
              </w:rPr>
            </w:pPr>
            <w:r>
              <w:rPr>
                <w:rFonts w:ascii="Arial" w:cs="Arial" w:eastAsia="Arial" w:hAnsi="Arial"/>
                <w:sz w:val="18"/>
                <w:szCs w:val="18"/>
                <w:color w:val="auto"/>
              </w:rPr>
              <w:t>Securities registered pursuant to Section 12(b) of the Act: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6"/>
        </w:trPr>
        <w:tc>
          <w:tcPr>
            <w:tcW w:w="34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580" w:type="dxa"/>
            <w:vAlign w:val="bottom"/>
            <w:tcBorders>
              <w:bottom w:val="single" w:sz="8" w:color="auto"/>
              <w:right w:val="single" w:sz="8" w:color="auto"/>
            </w:tcBorders>
            <w:gridSpan w:val="3"/>
          </w:tcPr>
          <w:p>
            <w:pPr>
              <w:jc w:val="center"/>
              <w:ind w:right="1050"/>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HBIO</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380" w:type="dxa"/>
            <w:vAlign w:val="bottom"/>
            <w:tcBorders>
              <w:bottom w:val="single" w:sz="8" w:color="auto"/>
              <w:right w:val="single" w:sz="8" w:color="auto"/>
            </w:tcBorders>
            <w:gridSpan w:val="2"/>
          </w:tcPr>
          <w:p>
            <w:pPr>
              <w:jc w:val="center"/>
              <w:ind w:right="1230"/>
              <w:spacing w:after="0"/>
              <w:rPr>
                <w:sz w:val="20"/>
                <w:szCs w:val="20"/>
                <w:color w:val="auto"/>
              </w:rPr>
            </w:pPr>
            <w:r>
              <w:rPr>
                <w:rFonts w:ascii="Arial" w:cs="Arial" w:eastAsia="Arial" w:hAnsi="Arial"/>
                <w:sz w:val="18"/>
                <w:szCs w:val="18"/>
                <w:color w:val="auto"/>
                <w:w w:val="94"/>
              </w:rPr>
              <w:t>The NASDAQ Stock Market</w:t>
            </w:r>
          </w:p>
        </w:tc>
      </w:tr>
    </w:tbl>
    <w:p>
      <w:pPr>
        <w:spacing w:after="0" w:line="202" w:lineRule="exact"/>
        <w:rPr>
          <w:sz w:val="24"/>
          <w:szCs w:val="24"/>
          <w:color w:val="auto"/>
        </w:rPr>
      </w:pPr>
    </w:p>
    <w:p>
      <w:pPr>
        <w:ind w:right="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00" w:firstLine="441"/>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400" w:val="left"/>
        </w:tabs>
        <w:rPr>
          <w:sz w:val="20"/>
          <w:szCs w:val="20"/>
          <w:color w:val="auto"/>
        </w:rPr>
      </w:pPr>
      <w:r>
        <w:rPr>
          <w:rFonts w:ascii="Arial" w:cs="Arial" w:eastAsia="Arial" w:hAnsi="Arial"/>
          <w:sz w:val="18"/>
          <w:szCs w:val="18"/>
          <w:color w:val="auto"/>
        </w:rPr>
        <w:t>files).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1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517" w:right="239" w:bottom="923"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460"/>
            <w:col w:w="4320" w:space="720"/>
            <w:col w:w="2820" w:space="720"/>
            <w:col w:w="760"/>
          </w:cols>
          <w:pgMar w:left="240" w:top="517" w:right="239" w:bottom="923"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40" w:space="540"/>
            <w:col w:w="4320" w:space="720"/>
            <w:col w:w="2820" w:space="720"/>
            <w:col w:w="760"/>
          </w:cols>
          <w:pgMar w:left="240" w:top="517" w:right="239" w:bottom="923" w:gutter="0" w:footer="0" w:header="0"/>
          <w:type w:val="continuous"/>
        </w:sectPr>
      </w:pPr>
    </w:p>
    <w:p>
      <w:pPr>
        <w:spacing w:after="0" w:line="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August 1, 2019, there were 38,046,001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17" w:right="239" w:bottom="923"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HARVARD BIOSCIENCE,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2019</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ind w:left="120"/>
              <w:spacing w:after="0"/>
              <w:rPr>
                <w:sz w:val="20"/>
                <w:szCs w:val="20"/>
                <w:color w:val="auto"/>
              </w:rPr>
            </w:pPr>
            <w:r>
              <w:rPr>
                <w:rFonts w:ascii="Arial" w:cs="Arial" w:eastAsia="Arial" w:hAnsi="Arial"/>
                <w:sz w:val="18"/>
                <w:szCs w:val="18"/>
                <w:b w:val="1"/>
                <w:bCs w:val="1"/>
                <w:color w:val="auto"/>
                <w:w w:val="78"/>
              </w:rPr>
              <w:t>Page</w:t>
            </w:r>
          </w:p>
        </w:tc>
      </w:tr>
      <w:tr>
        <w:trPr>
          <w:trHeight w:val="392"/>
        </w:trPr>
        <w:tc>
          <w:tcPr>
            <w:tcW w:w="296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 FINANCIAL INFORMATION</w:t>
              </w:r>
            </w:hyperlink>
          </w:p>
        </w:tc>
        <w:tc>
          <w:tcPr>
            <w:tcW w:w="7880" w:type="dxa"/>
            <w:vAlign w:val="bottom"/>
            <w:gridSpan w:val="9"/>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80" w:type="dxa"/>
            <w:vAlign w:val="bottom"/>
            <w:gridSpan w:val="2"/>
          </w:tcPr>
          <w:p>
            <w:pPr>
              <w:spacing w:after="0"/>
              <w:rPr>
                <w:sz w:val="24"/>
                <w:szCs w:val="24"/>
                <w:color w:val="auto"/>
              </w:rPr>
            </w:pP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400" w:type="dxa"/>
            <w:vAlign w:val="bottom"/>
            <w:gridSpan w:val="12"/>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80" w:type="dxa"/>
            <w:vAlign w:val="bottom"/>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30, 2019 and December 31, 2018 (unaudited)</w:t>
              </w:r>
            </w:hyperlink>
          </w:p>
        </w:tc>
        <w:tc>
          <w:tcPr>
            <w:tcW w:w="3740" w:type="dxa"/>
            <w:vAlign w:val="bottom"/>
            <w:gridSpan w:val="6"/>
          </w:tcPr>
          <w:p>
            <w:pPr>
              <w:spacing w:after="0"/>
              <w:rPr>
                <w:sz w:val="24"/>
                <w:szCs w:val="24"/>
                <w:color w:val="auto"/>
              </w:rPr>
            </w:pPr>
          </w:p>
        </w:tc>
        <w:tc>
          <w:tcPr>
            <w:tcW w:w="340" w:type="dxa"/>
            <w:vAlign w:val="bottom"/>
            <w:gridSpan w:val="2"/>
          </w:tcPr>
          <w:p>
            <w:pPr>
              <w:jc w:val="center"/>
              <w:ind w:left="17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and Comprehensive Income (Loss) for the Three and Six Months Ended June 30, 2019 and 2018</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0000EE"/>
            </w:tcBorders>
            <w:gridSpan w:val="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8980" w:type="dxa"/>
            <w:vAlign w:val="bottom"/>
            <w:tcBorders>
              <w:top w:val="single" w:sz="8" w:color="0000EE"/>
            </w:tcBorders>
            <w:gridSpan w:val="13"/>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center"/>
              <w:ind w:left="17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 for the Three Months Ended June 30, 2019 and 2018 (unaudited)</w:t>
              </w:r>
            </w:hyperlink>
          </w:p>
        </w:tc>
        <w:tc>
          <w:tcPr>
            <w:tcW w:w="1740" w:type="dxa"/>
            <w:vAlign w:val="bottom"/>
            <w:gridSpan w:val="2"/>
          </w:tcPr>
          <w:p>
            <w:pPr>
              <w:spacing w:after="0"/>
              <w:rPr>
                <w:sz w:val="24"/>
                <w:szCs w:val="24"/>
                <w:color w:val="auto"/>
              </w:rPr>
            </w:pPr>
          </w:p>
        </w:tc>
        <w:tc>
          <w:tcPr>
            <w:tcW w:w="340" w:type="dxa"/>
            <w:vAlign w:val="bottom"/>
            <w:gridSpan w:val="2"/>
          </w:tcPr>
          <w:p>
            <w:pPr>
              <w:jc w:val="center"/>
              <w:ind w:left="17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Stockholders' Equity for the Six Months Ended June 30, 2019 and 2018 (unaudited)</w:t>
              </w:r>
            </w:hyperlink>
          </w:p>
        </w:tc>
        <w:tc>
          <w:tcPr>
            <w:tcW w:w="18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340" w:type="dxa"/>
            <w:vAlign w:val="bottom"/>
            <w:gridSpan w:val="2"/>
          </w:tcPr>
          <w:p>
            <w:pPr>
              <w:jc w:val="center"/>
              <w:ind w:left="17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20" w:type="dxa"/>
            <w:vAlign w:val="bottom"/>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Six Months Ended June 30, 2019 and 2018 (unaudited)</w:t>
              </w:r>
            </w:hyperlink>
          </w:p>
        </w:tc>
        <w:tc>
          <w:tcPr>
            <w:tcW w:w="580" w:type="dxa"/>
            <w:vAlign w:val="bottom"/>
          </w:tcPr>
          <w:p>
            <w:pPr>
              <w:spacing w:after="0"/>
              <w:rPr>
                <w:sz w:val="24"/>
                <w:szCs w:val="24"/>
                <w:color w:val="auto"/>
              </w:rPr>
            </w:pPr>
          </w:p>
        </w:tc>
        <w:tc>
          <w:tcPr>
            <w:tcW w:w="1920" w:type="dxa"/>
            <w:vAlign w:val="bottom"/>
            <w:gridSpan w:val="3"/>
          </w:tcPr>
          <w:p>
            <w:pPr>
              <w:spacing w:after="0"/>
              <w:rPr>
                <w:sz w:val="24"/>
                <w:szCs w:val="24"/>
                <w:color w:val="auto"/>
              </w:rPr>
            </w:pPr>
          </w:p>
        </w:tc>
        <w:tc>
          <w:tcPr>
            <w:tcW w:w="340" w:type="dxa"/>
            <w:vAlign w:val="bottom"/>
            <w:gridSpan w:val="2"/>
          </w:tcPr>
          <w:p>
            <w:pPr>
              <w:jc w:val="center"/>
              <w:ind w:left="17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9"/>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Unaudited Consolidated Financial Statements</w:t>
              </w:r>
            </w:hyperlink>
          </w:p>
        </w:tc>
        <w:tc>
          <w:tcPr>
            <w:tcW w:w="3460" w:type="dxa"/>
            <w:vAlign w:val="bottom"/>
            <w:gridSpan w:val="4"/>
          </w:tcPr>
          <w:p>
            <w:pPr>
              <w:spacing w:after="0"/>
              <w:rPr>
                <w:sz w:val="24"/>
                <w:szCs w:val="24"/>
                <w:color w:val="auto"/>
              </w:rPr>
            </w:pPr>
          </w:p>
        </w:tc>
        <w:tc>
          <w:tcPr>
            <w:tcW w:w="2500" w:type="dxa"/>
            <w:vAlign w:val="bottom"/>
            <w:gridSpan w:val="4"/>
          </w:tcPr>
          <w:p>
            <w:pPr>
              <w:spacing w:after="0"/>
              <w:rPr>
                <w:sz w:val="24"/>
                <w:szCs w:val="24"/>
                <w:color w:val="auto"/>
              </w:rPr>
            </w:pPr>
          </w:p>
        </w:tc>
        <w:tc>
          <w:tcPr>
            <w:tcW w:w="340" w:type="dxa"/>
            <w:vAlign w:val="bottom"/>
            <w:gridSpan w:val="2"/>
          </w:tcPr>
          <w:p>
            <w:pPr>
              <w:jc w:val="center"/>
              <w:ind w:left="17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280" w:type="dxa"/>
            <w:vAlign w:val="bottom"/>
            <w:gridSpan w:val="2"/>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center"/>
              <w:ind w:left="7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280" w:type="dxa"/>
            <w:vAlign w:val="bottom"/>
            <w:gridSpan w:val="2"/>
          </w:tcPr>
          <w:p>
            <w:pPr>
              <w:spacing w:after="0"/>
              <w:rPr>
                <w:sz w:val="24"/>
                <w:szCs w:val="24"/>
                <w:color w:val="auto"/>
              </w:rPr>
            </w:pP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46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37</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280" w:type="dxa"/>
            <w:vAlign w:val="bottom"/>
            <w:gridSpan w:val="2"/>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8140" w:type="dxa"/>
            <w:vAlign w:val="bottom"/>
            <w:gridSpan w:val="10"/>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37</w:t>
              </w:r>
            </w:hyperlink>
          </w:p>
        </w:tc>
        <w:tc>
          <w:tcPr>
            <w:tcW w:w="140" w:type="dxa"/>
            <w:vAlign w:val="bottom"/>
          </w:tcPr>
          <w:p>
            <w:pPr>
              <w:spacing w:after="0"/>
              <w:rPr>
                <w:sz w:val="24"/>
                <w:szCs w:val="24"/>
                <w:color w:val="auto"/>
              </w:rPr>
            </w:pPr>
          </w:p>
        </w:tc>
      </w:tr>
      <w:tr>
        <w:trPr>
          <w:trHeight w:val="412"/>
        </w:trPr>
        <w:tc>
          <w:tcPr>
            <w:tcW w:w="1084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 OTHER INFORMATION</w:t>
              </w:r>
            </w:hyperlink>
          </w:p>
        </w:tc>
        <w:tc>
          <w:tcPr>
            <w:tcW w:w="340" w:type="dxa"/>
            <w:vAlign w:val="bottom"/>
            <w:gridSpan w:val="2"/>
          </w:tcPr>
          <w:p>
            <w:pPr>
              <w:jc w:val="center"/>
              <w:ind w:left="7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140" w:type="dxa"/>
            <w:vAlign w:val="bottom"/>
          </w:tcPr>
          <w:p>
            <w:pPr>
              <w:spacing w:after="0"/>
              <w:rPr>
                <w:sz w:val="24"/>
                <w:szCs w:val="24"/>
                <w:color w:val="auto"/>
              </w:rPr>
            </w:pPr>
          </w:p>
        </w:tc>
      </w:tr>
      <w:tr>
        <w:trPr>
          <w:trHeight w:val="412"/>
        </w:trPr>
        <w:tc>
          <w:tcPr>
            <w:tcW w:w="1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820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jc w:val="center"/>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38</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9000" w:type="dxa"/>
            <w:vAlign w:val="bottom"/>
            <w:gridSpan w:val="13"/>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jc w:val="center"/>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38</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320" w:type="dxa"/>
            <w:vAlign w:val="bottom"/>
            <w:gridSpan w:val="1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084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340" w:type="dxa"/>
            <w:vAlign w:val="bottom"/>
            <w:gridSpan w:val="2"/>
          </w:tcPr>
          <w:p>
            <w:pPr>
              <w:jc w:val="center"/>
              <w:ind w:left="7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140" w:type="dxa"/>
            <w:vAlign w:val="bottom"/>
          </w:tcPr>
          <w:p>
            <w:pPr>
              <w:spacing w:after="0"/>
              <w:rPr>
                <w:sz w:val="24"/>
                <w:szCs w:val="24"/>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8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5500" w:type="dxa"/>
            <w:vAlign w:val="bottom"/>
          </w:tcPr>
          <w:p>
            <w:pPr>
              <w:jc w:val="center"/>
              <w:ind w:left="270"/>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500" w:type="dxa"/>
            <w:vAlign w:val="bottom"/>
          </w:tcPr>
          <w:p>
            <w:pPr>
              <w:jc w:val="center"/>
              <w:ind w:left="270"/>
              <w:spacing w:after="0"/>
              <w:rPr>
                <w:sz w:val="20"/>
                <w:szCs w:val="20"/>
                <w:color w:val="auto"/>
              </w:rPr>
            </w:pPr>
            <w:r>
              <w:rPr>
                <w:rFonts w:ascii="Arial" w:cs="Arial" w:eastAsia="Arial" w:hAnsi="Arial"/>
                <w:sz w:val="18"/>
                <w:szCs w:val="18"/>
                <w:b w:val="1"/>
                <w:bCs w:val="1"/>
                <w:color w:val="auto"/>
              </w:rPr>
              <w:t>HARVARD BIOSCIENCE, INC.</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50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CONSOLIDATED BALANCE SHEETS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50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(Unaudited, in thousands, except share and per share data)</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55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tcPr>
          <w:p>
            <w:pPr>
              <w:ind w:left="160"/>
              <w:spacing w:after="0"/>
              <w:rPr>
                <w:sz w:val="20"/>
                <w:szCs w:val="20"/>
                <w:color w:val="auto"/>
              </w:rPr>
            </w:pPr>
            <w:r>
              <w:rPr>
                <w:rFonts w:ascii="Arial" w:cs="Arial" w:eastAsia="Arial" w:hAnsi="Arial"/>
                <w:sz w:val="18"/>
                <w:szCs w:val="18"/>
                <w:color w:val="auto"/>
              </w:rPr>
              <w:t>Accounts receivable, net of allowance for doubtful accounts of $370 and $332, respectively</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Other receivables and other assets</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Amortizable intangible assets, net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40,670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Other indefinite lived intangible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166,238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168,613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tcPr>
          <w:p>
            <w:pPr>
              <w:ind w:left="160"/>
              <w:spacing w:after="0"/>
              <w:rPr>
                <w:sz w:val="20"/>
                <w:szCs w:val="20"/>
                <w:color w:val="auto"/>
              </w:rPr>
            </w:pPr>
            <w:r>
              <w:rPr>
                <w:rFonts w:ascii="Arial" w:cs="Arial" w:eastAsia="Arial" w:hAnsi="Arial"/>
                <w:sz w:val="18"/>
                <w:szCs w:val="18"/>
                <w:color w:val="auto"/>
              </w:rPr>
              <w:t>Current portion, long-term debt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Current portion, operating lease liabilities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tcPr>
          <w:p>
            <w:pPr>
              <w:ind w:left="16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Other liabilities - current</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debt, less current installments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 long term liabilities</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85,908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85,889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tcPr>
          <w:p>
            <w:pPr>
              <w:ind w:left="16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par value $0.01 per share, 80,000,000 shares authorized; 45,639,892 and</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45,124,309 shares issued and 37,894,385 and 37,378,802 shares outstanding, respectively</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tcPr>
          <w:p>
            <w:pPr>
              <w:ind w:left="160"/>
              <w:spacing w:after="0"/>
              <w:rPr>
                <w:sz w:val="20"/>
                <w:szCs w:val="20"/>
                <w:color w:val="auto"/>
              </w:rPr>
            </w:pPr>
            <w:r>
              <w:rPr>
                <w:rFonts w:ascii="Arial" w:cs="Arial" w:eastAsia="Arial" w:hAnsi="Arial"/>
                <w:sz w:val="18"/>
                <w:szCs w:val="18"/>
                <w:color w:val="auto"/>
              </w:rPr>
              <w:t>Additional paid-in-capital</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227,249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4"/>
          </w:tcPr>
          <w:p>
            <w:pPr>
              <w:ind w:left="1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Treasury stock at cost, 7,745,507 common shares</w:t>
            </w:r>
          </w:p>
        </w:tc>
        <w:tc>
          <w:tcPr>
            <w:tcW w:w="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166,238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216"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720" w:type="dxa"/>
            <w:vAlign w:val="bottom"/>
            <w:gridSpan w:val="3"/>
          </w:tcPr>
          <w:p>
            <w:pPr>
              <w:jc w:val="center"/>
              <w:ind w:left="3050"/>
              <w:spacing w:after="0"/>
              <w:rPr>
                <w:sz w:val="20"/>
                <w:szCs w:val="20"/>
                <w:color w:val="auto"/>
              </w:rPr>
            </w:pPr>
            <w:r>
              <w:rPr>
                <w:rFonts w:ascii="Arial" w:cs="Arial" w:eastAsia="Arial" w:hAnsi="Arial"/>
                <w:sz w:val="18"/>
                <w:szCs w:val="18"/>
                <w:b w:val="1"/>
                <w:bCs w:val="1"/>
                <w:color w:val="auto"/>
              </w:rPr>
              <w:t>HARVARD BIOSCIENCE, INC.</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80" w:type="dxa"/>
            <w:vAlign w:val="bottom"/>
            <w:gridSpan w:val="9"/>
          </w:tcPr>
          <w:p>
            <w:pPr>
              <w:jc w:val="center"/>
              <w:ind w:left="110"/>
              <w:spacing w:after="0"/>
              <w:rPr>
                <w:sz w:val="20"/>
                <w:szCs w:val="20"/>
                <w:color w:val="auto"/>
              </w:rPr>
            </w:pPr>
            <w:r>
              <w:rPr>
                <w:rFonts w:ascii="Arial" w:cs="Arial" w:eastAsia="Arial" w:hAnsi="Arial"/>
                <w:sz w:val="18"/>
                <w:szCs w:val="18"/>
                <w:b w:val="1"/>
                <w:bCs w:val="1"/>
                <w:color w:val="auto"/>
                <w:w w:val="99"/>
              </w:rPr>
              <w:t>CONSOLIDATED STATEMENTS OF OPERATIONS AND COMPREHENSIVE LOSS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20" w:type="dxa"/>
            <w:vAlign w:val="bottom"/>
            <w:gridSpan w:val="5"/>
          </w:tcPr>
          <w:p>
            <w:pPr>
              <w:jc w:val="center"/>
              <w:ind w:left="247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29,584</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31,522</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57,786</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13,629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15,955</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15,355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32,109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5,770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4,809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15,727</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15,737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32,001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income taxes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Income from discontinued operations before income taxes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earnings per share: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Basic loss per common share from continuing operations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earnings per common share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Basic loss per common share</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Diluted loss per common share from continuing operations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earnings per common share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Diluted loss per common share</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 average common shares: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37,736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37,736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(1,464)</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(2,617)</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Derivatives qualifying as hedges, net of tax:</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(Loss) gain on derivative instruments designated and qualifying as cash</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flow hedges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Amounts reclassified from accumulated other comprehensive loss to net</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loss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216" w:right="239" w:bottom="1029"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029"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7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8"/>
          </w:tcPr>
          <w:p>
            <w:pPr>
              <w:jc w:val="center"/>
              <w:ind w:right="620"/>
              <w:spacing w:after="0"/>
              <w:rPr>
                <w:sz w:val="20"/>
                <w:szCs w:val="20"/>
                <w:color w:val="auto"/>
              </w:rPr>
            </w:pPr>
            <w:r>
              <w:rPr>
                <w:rFonts w:ascii="Arial" w:cs="Arial" w:eastAsia="Arial" w:hAnsi="Arial"/>
                <w:sz w:val="18"/>
                <w:szCs w:val="18"/>
                <w:b w:val="1"/>
                <w:bCs w:val="1"/>
                <w:color w:val="auto"/>
              </w:rPr>
              <w:t>HARVARD BIOSCIENCE, INC.</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60" w:type="dxa"/>
            <w:vAlign w:val="bottom"/>
            <w:gridSpan w:val="16"/>
          </w:tcPr>
          <w:p>
            <w:pPr>
              <w:jc w:val="center"/>
              <w:ind w:right="340"/>
              <w:spacing w:after="0"/>
              <w:rPr>
                <w:sz w:val="20"/>
                <w:szCs w:val="20"/>
                <w:color w:val="auto"/>
              </w:rPr>
            </w:pPr>
            <w:r>
              <w:rPr>
                <w:rFonts w:ascii="Arial" w:cs="Arial" w:eastAsia="Arial" w:hAnsi="Arial"/>
                <w:sz w:val="18"/>
                <w:szCs w:val="18"/>
                <w:b w:val="1"/>
                <w:bCs w:val="1"/>
                <w:color w:val="auto"/>
              </w:rPr>
              <w:t>CONSOLIDATED STATEMENT OF STOCKHOLDERS'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90"/>
              </w:rPr>
              <w:t>(Unaudited, in thousands)</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8"/>
          </w:tcPr>
          <w:p>
            <w:pPr>
              <w:jc w:val="center"/>
              <w:ind w:right="600"/>
              <w:spacing w:after="0"/>
              <w:rPr>
                <w:sz w:val="20"/>
                <w:szCs w:val="20"/>
                <w:color w:val="auto"/>
              </w:rPr>
            </w:pPr>
            <w:r>
              <w:rPr>
                <w:rFonts w:ascii="Arial" w:cs="Arial" w:eastAsia="Arial" w:hAnsi="Arial"/>
                <w:sz w:val="18"/>
                <w:szCs w:val="18"/>
                <w:b w:val="1"/>
                <w:bCs w:val="1"/>
                <w:color w:val="auto"/>
                <w:w w:val="90"/>
              </w:rPr>
              <w:t>Three Months Ended June 30, 2019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9"/>
                <w:szCs w:val="19"/>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9"/>
                <w:szCs w:val="19"/>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w w:val="90"/>
              </w:rPr>
              <w:t>Comprehensive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Issued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226,547</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(122,259)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Stock option exercises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purchase plan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Vesting of restricted stock units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withheld for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Stock compensation expense</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 comprehensive loss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45,640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227,249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(122,506)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(14,181)</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8"/>
          </w:tcPr>
          <w:p>
            <w:pPr>
              <w:jc w:val="center"/>
              <w:ind w:right="600"/>
              <w:spacing w:after="0"/>
              <w:rPr>
                <w:sz w:val="20"/>
                <w:szCs w:val="20"/>
                <w:color w:val="auto"/>
              </w:rPr>
            </w:pPr>
            <w:r>
              <w:rPr>
                <w:rFonts w:ascii="Arial" w:cs="Arial" w:eastAsia="Arial" w:hAnsi="Arial"/>
                <w:sz w:val="18"/>
                <w:szCs w:val="18"/>
                <w:b w:val="1"/>
                <w:bCs w:val="1"/>
                <w:color w:val="auto"/>
                <w:w w:val="90"/>
              </w:rPr>
              <w:t>Three Months Ended June 30, 2018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9"/>
                <w:szCs w:val="19"/>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9"/>
                <w:szCs w:val="19"/>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w w:val="90"/>
              </w:rPr>
              <w:t>Comprehensive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Issued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220,020</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(121,031)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Stock option exercises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purchase plan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Vesting of restricted stock units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withheld for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Stock compensation expense</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 comprehensive loss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44,102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221,910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(122,495)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7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9"/>
          </w:tcPr>
          <w:p>
            <w:pPr>
              <w:jc w:val="center"/>
              <w:ind w:right="460"/>
              <w:spacing w:after="0"/>
              <w:rPr>
                <w:sz w:val="20"/>
                <w:szCs w:val="20"/>
                <w:color w:val="auto"/>
              </w:rPr>
            </w:pPr>
            <w:r>
              <w:rPr>
                <w:rFonts w:ascii="Arial" w:cs="Arial" w:eastAsia="Arial" w:hAnsi="Arial"/>
                <w:sz w:val="18"/>
                <w:szCs w:val="18"/>
                <w:b w:val="1"/>
                <w:bCs w:val="1"/>
                <w:color w:val="auto"/>
              </w:rPr>
              <w:t>HARVARD BIOSCIENCE, INC.</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60" w:type="dxa"/>
            <w:vAlign w:val="bottom"/>
            <w:gridSpan w:val="16"/>
          </w:tcPr>
          <w:p>
            <w:pPr>
              <w:jc w:val="center"/>
              <w:ind w:right="340"/>
              <w:spacing w:after="0"/>
              <w:rPr>
                <w:sz w:val="20"/>
                <w:szCs w:val="20"/>
                <w:color w:val="auto"/>
              </w:rPr>
            </w:pPr>
            <w:r>
              <w:rPr>
                <w:rFonts w:ascii="Arial" w:cs="Arial" w:eastAsia="Arial" w:hAnsi="Arial"/>
                <w:sz w:val="18"/>
                <w:szCs w:val="18"/>
                <w:b w:val="1"/>
                <w:bCs w:val="1"/>
                <w:color w:val="auto"/>
              </w:rPr>
              <w:t>CONSOLIDATED STATEMENT OF STOCKHOLDERS'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w w:val="90"/>
              </w:rPr>
              <w:t>(Unaudited,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9"/>
          </w:tcPr>
          <w:p>
            <w:pPr>
              <w:jc w:val="center"/>
              <w:ind w:right="460"/>
              <w:spacing w:after="0"/>
              <w:rPr>
                <w:sz w:val="20"/>
                <w:szCs w:val="20"/>
                <w:color w:val="auto"/>
              </w:rPr>
            </w:pPr>
            <w:r>
              <w:rPr>
                <w:rFonts w:ascii="Arial" w:cs="Arial" w:eastAsia="Arial" w:hAnsi="Arial"/>
                <w:sz w:val="18"/>
                <w:szCs w:val="18"/>
                <w:b w:val="1"/>
                <w:bCs w:val="1"/>
                <w:color w:val="auto"/>
                <w:w w:val="89"/>
              </w:rPr>
              <w:t>Six Months Ended June 30, 2019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9"/>
                <w:szCs w:val="19"/>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9"/>
                <w:szCs w:val="19"/>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w w:val="90"/>
              </w:rPr>
              <w:t>Comprehensive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Issued</w:t>
            </w:r>
          </w:p>
        </w:tc>
        <w:tc>
          <w:tcPr>
            <w:tcW w:w="160" w:type="dxa"/>
            <w:vAlign w:val="bottom"/>
          </w:tcPr>
          <w:p>
            <w:pPr>
              <w:spacing w:after="0"/>
              <w:rPr>
                <w:sz w:val="20"/>
                <w:szCs w:val="20"/>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226,377</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(119,889)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Stock option exercises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purchase plan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Vesting of restricted stock units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withheld for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Stock compensation expense</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 comprehensive loss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45,640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227,249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(122,506)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(14,181)</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9"/>
          </w:tcPr>
          <w:p>
            <w:pPr>
              <w:jc w:val="center"/>
              <w:ind w:right="460"/>
              <w:spacing w:after="0"/>
              <w:rPr>
                <w:sz w:val="20"/>
                <w:szCs w:val="20"/>
                <w:color w:val="auto"/>
              </w:rPr>
            </w:pPr>
            <w:r>
              <w:rPr>
                <w:rFonts w:ascii="Arial" w:cs="Arial" w:eastAsia="Arial" w:hAnsi="Arial"/>
                <w:sz w:val="18"/>
                <w:szCs w:val="18"/>
                <w:b w:val="1"/>
                <w:bCs w:val="1"/>
                <w:color w:val="auto"/>
                <w:w w:val="89"/>
              </w:rPr>
              <w:t>Six Months Ended June 30, 2018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9"/>
                <w:szCs w:val="19"/>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9"/>
                <w:szCs w:val="19"/>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w w:val="90"/>
              </w:rPr>
              <w:t>Comprehensive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Issued</w:t>
            </w:r>
          </w:p>
        </w:tc>
        <w:tc>
          <w:tcPr>
            <w:tcW w:w="160" w:type="dxa"/>
            <w:vAlign w:val="bottom"/>
          </w:tcPr>
          <w:p>
            <w:pPr>
              <w:spacing w:after="0"/>
              <w:rPr>
                <w:sz w:val="20"/>
                <w:szCs w:val="20"/>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218,792</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(116,967)</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Stock option exercises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purchase plan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Vesting of restricted stock units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withheld for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Stock compensation expense</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 comprehensive loss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44,102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221,910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(122,495)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20" w:type="dxa"/>
            <w:vAlign w:val="bottom"/>
          </w:tcPr>
          <w:p>
            <w:pPr>
              <w:jc w:val="center"/>
              <w:ind w:left="1850"/>
              <w:spacing w:after="0"/>
              <w:rPr>
                <w:sz w:val="20"/>
                <w:szCs w:val="20"/>
                <w:color w:val="auto"/>
              </w:rPr>
            </w:pPr>
            <w:r>
              <w:rPr>
                <w:rFonts w:ascii="Arial" w:cs="Arial" w:eastAsia="Arial" w:hAnsi="Arial"/>
                <w:sz w:val="18"/>
                <w:szCs w:val="18"/>
                <w:b w:val="1"/>
                <w:bCs w:val="1"/>
                <w:color w:val="auto"/>
              </w:rPr>
              <w:t>HARVARD BIOSCIENCE, INC.</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920" w:type="dxa"/>
            <w:vAlign w:val="bottom"/>
          </w:tcPr>
          <w:p>
            <w:pPr>
              <w:jc w:val="center"/>
              <w:ind w:left="18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9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(Unaudited, in thousands)</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(2,617)</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340"/>
              <w:spacing w:after="0"/>
              <w:rPr>
                <w:sz w:val="20"/>
                <w:szCs w:val="20"/>
                <w:color w:val="auto"/>
              </w:rPr>
            </w:pPr>
            <w:r>
              <w:rPr>
                <w:rFonts w:ascii="Arial" w:cs="Arial" w:eastAsia="Arial" w:hAnsi="Arial"/>
                <w:sz w:val="18"/>
                <w:szCs w:val="18"/>
                <w:color w:val="auto"/>
              </w:rPr>
              <w:t>Stock compensation expense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340"/>
              <w:spacing w:after="0"/>
              <w:rPr>
                <w:sz w:val="20"/>
                <w:szCs w:val="20"/>
                <w:color w:val="auto"/>
              </w:rPr>
            </w:pPr>
            <w:r>
              <w:rPr>
                <w:rFonts w:ascii="Arial" w:cs="Arial" w:eastAsia="Arial" w:hAnsi="Arial"/>
                <w:sz w:val="18"/>
                <w:szCs w:val="18"/>
                <w:color w:val="auto"/>
              </w:rPr>
              <w:t>Impairment charges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sale of Denville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340"/>
              <w:spacing w:after="0"/>
              <w:rPr>
                <w:sz w:val="20"/>
                <w:szCs w:val="20"/>
                <w:color w:val="auto"/>
              </w:rPr>
            </w:pPr>
            <w:r>
              <w:rPr>
                <w:rFonts w:ascii="Arial" w:cs="Arial" w:eastAsia="Arial" w:hAnsi="Arial"/>
                <w:sz w:val="18"/>
                <w:szCs w:val="18"/>
                <w:color w:val="auto"/>
              </w:rPr>
              <w:t>Loss on disposal of fixed assets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catalog costs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340"/>
              <w:spacing w:after="0"/>
              <w:rPr>
                <w:sz w:val="20"/>
                <w:szCs w:val="20"/>
                <w:color w:val="auto"/>
              </w:rPr>
            </w:pPr>
            <w:r>
              <w:rPr>
                <w:rFonts w:ascii="Arial" w:cs="Arial" w:eastAsia="Arial" w:hAnsi="Arial"/>
                <w:sz w:val="18"/>
                <w:szCs w:val="18"/>
                <w:color w:val="auto"/>
              </w:rPr>
              <w:t>Provision for allowance for doubtful accounts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Decrease (increase) in accounts receivable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520"/>
              <w:spacing w:after="0"/>
              <w:rPr>
                <w:sz w:val="20"/>
                <w:szCs w:val="20"/>
                <w:color w:val="auto"/>
              </w:rPr>
            </w:pPr>
            <w:r>
              <w:rPr>
                <w:rFonts w:ascii="Arial" w:cs="Arial" w:eastAsia="Arial" w:hAnsi="Arial"/>
                <w:sz w:val="18"/>
                <w:szCs w:val="18"/>
                <w:color w:val="auto"/>
              </w:rPr>
              <w:t>(Increase) decrease in inventories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Decrease in other receivables and other assets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520"/>
              <w:spacing w:after="0"/>
              <w:rPr>
                <w:sz w:val="20"/>
                <w:szCs w:val="20"/>
                <w:color w:val="auto"/>
              </w:rPr>
            </w:pPr>
            <w:r>
              <w:rPr>
                <w:rFonts w:ascii="Arial" w:cs="Arial" w:eastAsia="Arial" w:hAnsi="Arial"/>
                <w:sz w:val="18"/>
                <w:szCs w:val="18"/>
                <w:color w:val="auto"/>
              </w:rPr>
              <w:t>(Decrease) increase in trade accounts payable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Increase in accrued income taxes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520"/>
              <w:spacing w:after="0"/>
              <w:rPr>
                <w:sz w:val="20"/>
                <w:szCs w:val="20"/>
                <w:color w:val="auto"/>
              </w:rPr>
            </w:pPr>
            <w:r>
              <w:rPr>
                <w:rFonts w:ascii="Arial" w:cs="Arial" w:eastAsia="Arial" w:hAnsi="Arial"/>
                <w:sz w:val="18"/>
                <w:szCs w:val="18"/>
                <w:color w:val="auto"/>
              </w:rPr>
              <w:t>Decrease in accrued expenses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(Decrease) increase in deferred revenue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Decrease in other liabilities</w:t>
            </w:r>
          </w:p>
        </w:tc>
        <w:tc>
          <w:tcPr>
            <w:tcW w:w="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 to catalog costs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Acquisition, net of cash acquired</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Disposition, net of cash sold</w:t>
            </w:r>
          </w:p>
        </w:tc>
        <w:tc>
          <w:tcPr>
            <w:tcW w:w="3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Repayments of debt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debt issuance costs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taxes paid for) net proceeds from issuance of common stock</w:t>
            </w:r>
          </w:p>
        </w:tc>
        <w:tc>
          <w:tcPr>
            <w:tcW w:w="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50,705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Decrease in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8,173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5,733</w:t>
            </w:r>
          </w:p>
        </w:tc>
      </w:tr>
      <w:tr>
        <w:trPr>
          <w:trHeight w:val="223"/>
        </w:trPr>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5,624</w:t>
            </w: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1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2,861</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2,448</w:t>
            </w: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Cash paid (refunded) for income taxes</w:t>
            </w:r>
          </w:p>
        </w:tc>
        <w:tc>
          <w:tcPr>
            <w:tcW w:w="29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216" w:right="239"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left="1100" w:hanging="1092"/>
        <w:spacing w:after="0"/>
        <w:tabs>
          <w:tab w:leader="none" w:pos="11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unaudited consolidated financial statements of Harvard Bioscience, Inc. and its wholly-owned subsidiaries (collectively, Harvard Bioscience or the Company) as of June 30, 2019 and for the three and six months ended June 30, 2019 and 2018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2018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2018, which was filed with the SEC on March 18, 2019.</w:t>
      </w:r>
    </w:p>
    <w:p>
      <w:pPr>
        <w:spacing w:after="0" w:line="16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June 30, 2019, results of operations and comprehensive income (loss) for the three and six months ended June 30, 2019 and 2018 and cash flows for the six months ended June 30, 2019 and 2018, as applicable, have been made. The results of operations for the three months ended June 30, 2019 are not necessarily indicative of the operating results for the full fiscal year or any future periods.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Prior Period Financial Statement Correction of Immaterial Error</w:t>
      </w:r>
    </w:p>
    <w:p>
      <w:pPr>
        <w:spacing w:after="0" w:line="225" w:lineRule="exact"/>
        <w:rPr>
          <w:sz w:val="20"/>
          <w:szCs w:val="20"/>
          <w:color w:val="auto"/>
        </w:rPr>
      </w:pPr>
    </w:p>
    <w:p>
      <w:pPr>
        <w:ind w:right="160" w:firstLine="486"/>
        <w:spacing w:after="0" w:line="270" w:lineRule="auto"/>
        <w:rPr>
          <w:sz w:val="20"/>
          <w:szCs w:val="20"/>
          <w:color w:val="auto"/>
        </w:rPr>
      </w:pPr>
      <w:r>
        <w:rPr>
          <w:rFonts w:ascii="Arial" w:cs="Arial" w:eastAsia="Arial" w:hAnsi="Arial"/>
          <w:sz w:val="17"/>
          <w:szCs w:val="17"/>
          <w:color w:val="auto"/>
        </w:rPr>
        <w:t xml:space="preserve">During the quarter ended March 31, 2019, the Company identified an immaterial misclassification error in the Company’s consolidated balance sheet as of December 31, 2018. The immaterial misclassification understated current portion, long term debt and overstated long term debt, less current installments. This misclassification, in the amount of approximately $4.0 million, related to the classification of the Company’s excess cash flow payment made to its lenders during the quarter ended March 31, 2019 as long term instead of current on its consolidated balance sheet at December 31, 2018. The misclassification had no impact on total reported debt. Refer to footnote 14 for further details. The Company assessed the materiality of this error on the financial statements for prior periods in accordance with the SEC Staff Accounting Bulletin (SAB) No. 99,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codified in Accounting Standards Codification (ASC) 250,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xml:space="preserve"> and concluded that it was not material to any prior annual or interim periods. The Company recorded an adjustment to decrease long term debt, less current installments and increase current portion, long term debt in the consolidated balance sheet at December 31, 2018 with no impact on total reported debt.</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 xml:space="preserve">As disclosed in Note 5, on January 22, 2018, the Company sold substantially all the assets of its operating subsidiary, Denville Scientific, Inc. (Denville). The sale of Denville represented a strategic shift that had a major effect on the Company’s operations and financial results. As such and pursuant to Accounting Standards Codification (ASC) 205-20 – </w:t>
      </w:r>
      <w:r>
        <w:rPr>
          <w:rFonts w:ascii="Arial" w:cs="Arial" w:eastAsia="Arial" w:hAnsi="Arial"/>
          <w:sz w:val="17"/>
          <w:szCs w:val="17"/>
          <w:i w:val="1"/>
          <w:iCs w:val="1"/>
          <w:color w:val="auto"/>
        </w:rPr>
        <w:t>Presentation of Financial Statements - Discontinued Operations,</w:t>
      </w:r>
      <w:r>
        <w:rPr>
          <w:rFonts w:ascii="Arial" w:cs="Arial" w:eastAsia="Arial" w:hAnsi="Arial"/>
          <w:sz w:val="17"/>
          <w:szCs w:val="17"/>
          <w:color w:val="auto"/>
        </w:rPr>
        <w:t xml:space="preserve"> the operating results of Denville for the three and six months ended June 30, 2018 have been presented in discontinued operations in the consolidated statements of operations. These reclassifications and adjustments had no effect on total amounts within the consolidated balance sheet, consolidated statements of operations and comprehensive income (loss), consolidated statements of cash flows for any of the periods presented.</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accounting policies underlying the accompanying unaudited consolidated financial statements are those set forth in Note 2 to the consolidated financial statements included in the Company’s Annual Report on Form 10-K for the year ended December 31, 2018, which was filed with the SEC on March 18, 2019. Except for the accounting for leases as noted below there have been no material changes in the company’s significant accounting policies during the six months ended June 30, 2019.</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 xml:space="preserve">The Company accounts for its leases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The Company leases office space, manufacturing facilities, automobiles and equipment. The Company concludes on whether an arrangement is a lease at inception. This determination as to whether an arrangement contains a lease is based on an assessment as to whether a contract conveys the right to the Company to control the use of identified property, plant or equipment for period of time in exchange for consideration. Leases with an initial term of 12 months or less are not recorded on the balance sheet. The Company recognizes these lease expenses on a straight line basis over the lease term.</w:t>
      </w:r>
    </w:p>
    <w:p>
      <w:pPr>
        <w:spacing w:after="0" w:line="188"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As of June 30, 2019, the Company has assessed its contracts and concluded that its leases consist of operating leases. Operating leases are included in operating lease right-of-use (ROU) assets, current portion of operating lease liabilities, and operating lease liabilities in the Company’s consolidated balance sheets.</w:t>
      </w:r>
    </w:p>
    <w:p>
      <w:pPr>
        <w:spacing w:after="0" w:line="18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determines an incremental borrowing rate based on the information available at commencement date in determining the present value of lease payments. The incremental borrowing rate represents a significant judgment that is based on an analysis of the Company’s credit rating, country risk, treasury and corporate bond yields, as well as comparison to the Company’s borrowing rate on its most recent loan. The Company uses the implicit rate when readily determinable. The operating lease ROU asset also includes any lease payments made and excludes lease incentives. Lease expense for lease payments is recognized on a straight-line basis over the lease term.</w:t>
      </w:r>
    </w:p>
    <w:p>
      <w:pPr>
        <w:spacing w:after="0" w:line="16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Company has lease agreements with lease and non-lease components, which are generally accounted for separately. Additionally, for its leases, the Company applies a portfolio approach to effectively account for the operating lease ROU assets and liabilities.</w:t>
      </w:r>
    </w:p>
    <w:p>
      <w:pPr>
        <w:spacing w:after="0" w:line="166" w:lineRule="exact"/>
        <w:rPr>
          <w:sz w:val="20"/>
          <w:szCs w:val="20"/>
          <w:color w:val="auto"/>
        </w:rPr>
      </w:pPr>
    </w:p>
    <w:p>
      <w:pPr>
        <w:ind w:left="1100" w:hanging="1092"/>
        <w:spacing w:after="0"/>
        <w:tabs>
          <w:tab w:leader="none" w:pos="11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amends the impairment model by requiring entities to use a forward-looking approach based on expected losses rather than incurred losses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In May 2019, the FASB issued ASU No. 2019-05, </w:t>
      </w:r>
      <w:r>
        <w:rPr>
          <w:rFonts w:ascii="Arial" w:cs="Arial" w:eastAsia="Arial" w:hAnsi="Arial"/>
          <w:sz w:val="17"/>
          <w:szCs w:val="17"/>
          <w:i w:val="1"/>
          <w:iCs w:val="1"/>
          <w:color w:val="auto"/>
        </w:rPr>
        <w:t>Financial Instruments – Credit Losses (Topic 326): Targeted Transition Relief</w:t>
      </w:r>
      <w:r>
        <w:rPr>
          <w:rFonts w:ascii="Arial" w:cs="Arial" w:eastAsia="Arial" w:hAnsi="Arial"/>
          <w:sz w:val="17"/>
          <w:szCs w:val="17"/>
          <w:color w:val="auto"/>
        </w:rPr>
        <w:t>, which provided additional implementation guidance on the previously issued ASU. Management has not yet completed its assessment of the impact of the new standard on the Company’s Consolidated Financial Statements. Currently, the Company believes that the most notable impact of this ASU will relate to its processes around the assessment of the adequacy of its allowance for doubtful accounts on trade accounts receivable and the recognition of credit losses.</w:t>
      </w:r>
    </w:p>
    <w:p>
      <w:pPr>
        <w:spacing w:after="0" w:line="179" w:lineRule="exact"/>
        <w:rPr>
          <w:sz w:val="20"/>
          <w:szCs w:val="20"/>
          <w:color w:val="auto"/>
        </w:rPr>
      </w:pPr>
    </w:p>
    <w:p>
      <w:pPr>
        <w:ind w:right="340" w:firstLine="441"/>
        <w:spacing w:after="0" w:line="279"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Disclosure Framework—Changes to the Disclosure Requirements for Defined Benefit Plans</w:t>
      </w:r>
      <w:r>
        <w:rPr>
          <w:rFonts w:ascii="Arial" w:cs="Arial" w:eastAsia="Arial" w:hAnsi="Arial"/>
          <w:sz w:val="17"/>
          <w:szCs w:val="17"/>
          <w:color w:val="auto"/>
        </w:rPr>
        <w:t>, which amends ASC 715 to add, remove and clarify disclosure requirements related to defined benefit pension and other postretirement plans. The ASU is effective for public entities for fiscal years beginning after December 15, 2020, with early adoption permitted. Management has not yet completed its assessment of the impact of the new standard on the Company’s Consolidated Financial Statements.</w:t>
      </w:r>
    </w:p>
    <w:p>
      <w:pPr>
        <w:spacing w:after="0" w:line="171"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 xml:space="preserve">In April 2019, the FASB issued ASU No. 2019-04, Codification Improvements to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which updates certain guidance previously issued in ASU No. 2017-12,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The ASU is effective as of January 1, 2020, which is the beginning of the first annual period beginning after the issuance of the ASU for public entities that have adopted ASU No. 2017-12. Entities may elect either to retrospectively apply all amendments in the ASU or to prospectively apply all amendments as of the date of adoption of the ASU. Management has not yet completed its assessment of the impact of the new standard on the Company’s Consolidated Financial Statements.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 xml:space="preserve"> which amends the hedge accounting recognition and presentation requirements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The Company adopted this guidance as of January 1, 2019, and it did not have a material impact on its consolidated financial position, results of operations and cash flows.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firstLine="441"/>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is intended to improve financial reporting about leasing transactions. The update requires a lessee to record on its balance sheet the assets and liabilities for the rights and obligations created by lease terms of more than 12 months. The update is effective for fiscal years beginning after December 15, 2018. A modified retrospective transition approach is required for leases existing at, or entered into after, the beginning of the earliest comparative period presented in the financial statements, with certain practical expedients available. The Company elected to utilize a practical expedient in its method of adoption of the standard and adopted the guidance as of January 1, 2019. Under this expedient, which is a “current-period adjustment method,” the Company applied ASC 842 as of January 2019 and recognized operating lease liabilities of $11.7 million and right of use assets of $9.4 million for all leases with lease terms of more than 12 months. There was no impact to retained earnings as of that date. In addition, the Company adopted the guidance by electing the following practical expedients: (1) the Company did not reassess whether any expired or existing contracts contained leases, (2) the Company did not reassess the lease classification for any expired or existing leases, and (3) the Company excluded variable payments from the lease contract consideration and recorded those as incurred. The Company’s future commitments under lease obligations and additional disclosures are summarized in Note 12.</w:t>
      </w:r>
    </w:p>
    <w:p>
      <w:pPr>
        <w:spacing w:after="0" w:line="179" w:lineRule="exact"/>
        <w:rPr>
          <w:sz w:val="20"/>
          <w:szCs w:val="20"/>
          <w:color w:val="auto"/>
        </w:rPr>
      </w:pPr>
    </w:p>
    <w:p>
      <w:pPr>
        <w:ind w:left="1100" w:hanging="1092"/>
        <w:spacing w:after="0"/>
        <w:tabs>
          <w:tab w:leader="none" w:pos="11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each component of accumulated other comprehensive loss, net of tax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0"/>
              </w:rPr>
              <w:t>Foreign currency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2"/>
              </w:rPr>
              <w:t>Derivatives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vMerge w:val="restart"/>
          </w:tcPr>
          <w:p>
            <w:pPr>
              <w:spacing w:after="0"/>
              <w:rPr>
                <w:sz w:val="20"/>
                <w:szCs w:val="20"/>
                <w:color w:val="auto"/>
              </w:rPr>
            </w:pPr>
            <w:r>
              <w:rPr>
                <w:rFonts w:ascii="Arial" w:cs="Arial" w:eastAsia="Arial" w:hAnsi="Arial"/>
                <w:sz w:val="18"/>
                <w:szCs w:val="18"/>
                <w:color w:val="auto"/>
                <w:w w:val="92"/>
              </w:rPr>
              <w:t>(in thousands)</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1"/>
              </w:rPr>
              <w:t>translation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3"/>
              </w:rPr>
              <w:t>qualifying as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w w:val="90"/>
              </w:rPr>
              <w:t>Defined benefit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Borders>
              <w:bottom w:val="single" w:sz="8" w:color="CCEEFF"/>
            </w:tcBorders>
            <w:vMerge w:val="continue"/>
          </w:tcPr>
          <w:p>
            <w:pPr>
              <w:spacing w:after="0"/>
              <w:rPr>
                <w:sz w:val="20"/>
                <w:szCs w:val="20"/>
                <w:color w:val="auto"/>
              </w:rPr>
            </w:pPr>
          </w:p>
        </w:tc>
        <w:tc>
          <w:tcPr>
            <w:tcW w:w="45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adjustments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4"/>
              </w:rPr>
              <w:t>hedges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pension plans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(14,181)</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45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Acquisition</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80" w:type="dxa"/>
            <w:vAlign w:val="bottom"/>
            <w:vMerge w:val="continue"/>
          </w:tcPr>
          <w:p>
            <w:pPr>
              <w:spacing w:after="0"/>
              <w:rPr>
                <w:sz w:val="24"/>
                <w:szCs w:val="24"/>
                <w:color w:val="auto"/>
              </w:rPr>
            </w:pPr>
          </w:p>
        </w:tc>
        <w:tc>
          <w:tcPr>
            <w:tcW w:w="4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On January 31, 2018, the Company acquired all of the issued and outstanding shares of Data Sciences International, Inc. (DSI), a Delaware corporation, for approximately $71.1 million. The Company funded the acquisition from its existing cash balances, excess proceeds from the Denville Transaction discussed in Note 5, and proceeds from the Financing Agreement discussed in Note 14.</w:t>
      </w:r>
    </w:p>
    <w:p>
      <w:pPr>
        <w:spacing w:after="0" w:line="18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the Company’s customer base into the biopharmaceutical and contract research organization markets.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purchase price for this acquisition was allocated to tangible and intangible net assets acquired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Liabilities assumed</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Trade name</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 amortizable intangible assets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goodwill and intangible assets, net of tax</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purchase price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Tangible assets and liabilities assumed, as referenced above,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acquired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assets, net</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Deferred revenue including customer advances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Liabilities assumed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Company finalized the purchase price allocation for DSI as of December 31, 2018. The weighted-average amortization periods for definite-lived intangible assets acquired was 9.4 years for tradenames, 8.2 years for developed technology, 12.4 years for customer relationships and 7.4 years for in-process research and development assets. The weighted average amortization period for all definite-lived intangible assets acquired was 9.3 years. Goodwill recorded as a result of the acquisition of DSI is not deductible for tax purposes.</w:t>
      </w:r>
    </w:p>
    <w:p>
      <w:pPr>
        <w:spacing w:after="0" w:line="187"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results of operations for DSI have been included in the Company’s consolidated financial statements from the date of acquisition. The revenues of DSI included in the Company’s consolidated statement of operations from the date of acquisition to June 30, 2018 were approximately $18.2 million. The net loss of DSI included in the Company’s consolidated statement of operations for the same period was approximately $1.7 million. Included in the net loss for the six months ended June 30, 2018 was a $3.7 million charge recognized in cost of revenues related to purchase accounting inventory fair value step up amortization. The total inventory fair value step up was valued at $3.8 million and was recognized into cost of revenues over one inventory turn, or approximately five and a half months. Also included in the net loss of DSI for that period was $1.8 million of intangible asset amortization expense.</w:t>
      </w:r>
    </w:p>
    <w:p>
      <w:pPr>
        <w:spacing w:after="0" w:line="16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following consolidated pro forma information is based on the assumption that was used at the time of the acquisition of DSI. Accordingly, the historical results have been adjusted to reflect amortization expense, interest expense and other purchase accounting adjustments that would have been recognized on such a pro forma basis. The pro forma information is presented for comparative purposes only and is not necessarily indicative of the financial position or results of operations which would have been reported had the Company completed the acquisition during these periods or which might be reported in the future.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556"/>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Six Months Ended</w:t>
            </w:r>
          </w:p>
        </w:tc>
      </w:tr>
      <w:tr>
        <w:trPr>
          <w:trHeight w:val="234"/>
        </w:trPr>
        <w:tc>
          <w:tcPr>
            <w:tcW w:w="660" w:type="dxa"/>
            <w:vAlign w:val="bottom"/>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2018</w:t>
            </w:r>
          </w:p>
        </w:tc>
      </w:tr>
      <w:tr>
        <w:trPr>
          <w:trHeight w:val="210"/>
        </w:trPr>
        <w:tc>
          <w:tcPr>
            <w:tcW w:w="66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6"/>
              </w:rPr>
              <w:t>(in thousands)</w:t>
            </w:r>
          </w:p>
        </w:tc>
      </w:tr>
      <w:tr>
        <w:trPr>
          <w:trHeight w:val="216"/>
        </w:trPr>
        <w:tc>
          <w:tcPr>
            <w:tcW w:w="660" w:type="dxa"/>
            <w:vAlign w:val="bottom"/>
          </w:tcPr>
          <w:p>
            <w:pPr>
              <w:spacing w:after="0"/>
              <w:rPr>
                <w:sz w:val="18"/>
                <w:szCs w:val="18"/>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61,671</w:t>
            </w:r>
          </w:p>
        </w:tc>
      </w:tr>
      <w:tr>
        <w:trPr>
          <w:trHeight w:val="216"/>
        </w:trPr>
        <w:tc>
          <w:tcPr>
            <w:tcW w:w="660" w:type="dxa"/>
            <w:vAlign w:val="bottom"/>
          </w:tcPr>
          <w:p>
            <w:pPr>
              <w:spacing w:after="0"/>
              <w:rPr>
                <w:sz w:val="18"/>
                <w:szCs w:val="18"/>
                <w:color w:val="auto"/>
              </w:rPr>
            </w:pPr>
          </w:p>
        </w:tc>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bl>
    <w:p>
      <w:pPr>
        <w:spacing w:after="0" w:line="202"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Direct acquisition costs recorded in other expense, net in the Company’s consolidated statements of operations were $2.6 million for the six months ended June 30, 2018.</w:t>
      </w:r>
    </w:p>
    <w:p>
      <w:pPr>
        <w:spacing w:after="0" w:line="166" w:lineRule="exact"/>
        <w:rPr>
          <w:sz w:val="20"/>
          <w:szCs w:val="20"/>
          <w:color w:val="auto"/>
        </w:rPr>
      </w:pPr>
    </w:p>
    <w:p>
      <w:pPr>
        <w:ind w:left="1100" w:hanging="1092"/>
        <w:spacing w:after="0"/>
        <w:tabs>
          <w:tab w:leader="none" w:pos="11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On January 22, 2018, the Company sold substantially all the assets of its wholly-owned subsidiary, Denville, for approximately $20.0 million, which included a $3.0 million earn-out provision (the Denville Transaction). Upon the closing of the transaction, the Company received $15.7 million. The $3.0 million earn-out provision represented consideration that was contingent on Denville achieving certain performance metrics with respect to 2018 and 2019 (with potential consideration of $2.0 million based on Denville’s performance in 2018, and $1.0 million based on Denville’s performance in 2019). During the three months ended June 30, 2019, it was determined that the first potential earn-out consideration amount of $2.0 million for 2018 was not earned, and therefore the maximum the Company may potentially receive of the original $3.0 million earn-out provision is now $1.0 million, which, as described above, is contingent on Denville achieving certain performance metrics.</w:t>
      </w:r>
    </w:p>
    <w:p>
      <w:pPr>
        <w:spacing w:after="0" w:line="18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following table is a reconciliation of the major line items of income from discontinued operations presented within the Company’s consolidated statements of operations for the three and six months ended June 30, 2018.</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3140" w:type="dxa"/>
            <w:vAlign w:val="bottom"/>
            <w:gridSpan w:val="6"/>
          </w:tcPr>
          <w:p>
            <w:pPr>
              <w:spacing w:after="0"/>
              <w:rPr>
                <w:sz w:val="20"/>
                <w:szCs w:val="20"/>
                <w:color w:val="auto"/>
              </w:rPr>
            </w:pPr>
            <w:r>
              <w:rPr>
                <w:rFonts w:ascii="Arial" w:cs="Arial" w:eastAsia="Arial" w:hAnsi="Arial"/>
                <w:sz w:val="18"/>
                <w:szCs w:val="18"/>
                <w:b w:val="1"/>
                <w:bCs w:val="1"/>
                <w:color w:val="auto"/>
                <w:w w:val="92"/>
              </w:rPr>
              <w:t>Three Months Ended Six Months Ended</w:t>
            </w:r>
          </w:p>
        </w:tc>
      </w:tr>
      <w:tr>
        <w:trPr>
          <w:trHeight w:val="234"/>
        </w:trPr>
        <w:tc>
          <w:tcPr>
            <w:tcW w:w="6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2018</w:t>
            </w:r>
          </w:p>
        </w:tc>
      </w:tr>
      <w:tr>
        <w:trPr>
          <w:trHeight w:val="210"/>
        </w:trPr>
        <w:tc>
          <w:tcPr>
            <w:tcW w:w="6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right"/>
              <w:ind w:right="95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8"/>
                <w:szCs w:val="18"/>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8"/>
                <w:szCs w:val="18"/>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and other expenses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r>
      <w:tr>
        <w:trPr>
          <w:trHeight w:val="230"/>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Gain on disposal of discontinued operations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w:t>
            </w:r>
          </w:p>
        </w:tc>
        <w:tc>
          <w:tcPr>
            <w:tcW w:w="20" w:type="dxa"/>
            <w:vAlign w:val="bottom"/>
          </w:tcPr>
          <w:p>
            <w:pPr>
              <w:spacing w:after="0"/>
              <w:rPr>
                <w:sz w:val="19"/>
                <w:szCs w:val="19"/>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before income taxes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r>
      <w:tr>
        <w:trPr>
          <w:trHeight w:val="230"/>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9"/>
                <w:szCs w:val="19"/>
                <w:color w:val="auto"/>
              </w:rPr>
            </w:pPr>
          </w:p>
        </w:tc>
      </w:tr>
      <w:tr>
        <w:trPr>
          <w:trHeight w:val="223"/>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1,820</w:t>
            </w:r>
          </w:p>
        </w:tc>
        <w:tc>
          <w:tcPr>
            <w:tcW w:w="2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441"/>
        <w:spacing w:after="0" w:line="312" w:lineRule="auto"/>
        <w:rPr>
          <w:sz w:val="20"/>
          <w:szCs w:val="20"/>
          <w:color w:val="auto"/>
        </w:rPr>
      </w:pPr>
      <w:r>
        <w:rPr>
          <w:rFonts w:ascii="Arial" w:cs="Arial" w:eastAsia="Arial" w:hAnsi="Arial"/>
          <w:sz w:val="16"/>
          <w:szCs w:val="16"/>
          <w:color w:val="auto"/>
        </w:rPr>
        <w:t>During the three months ended June 30, 2019, the Company received a release of an escrow amount of $1.0 million related to the Denville Transaction, which is included in the investing cash flows for disposition in the Company’s consolidated statements of cash flows for the six months ended June 30, 2019. Total operating cash flows for Denville in the Company’s consolidated statements of cash flows for the six months ended June 30, 2018, were immaterial.</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1100" w:hanging="1092"/>
        <w:spacing w:after="0"/>
        <w:tabs>
          <w:tab w:leader="none" w:pos="11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Intangible assets consist of the following:</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9"/>
              </w:rPr>
              <w:t>(a)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 2019</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4"/>
          </w:tcPr>
          <w:p>
            <w:pPr>
              <w:jc w:val="right"/>
              <w:ind w:right="630"/>
              <w:spacing w:after="0" w:line="195"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Amortizable intangible assets: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Accumulated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Accumulated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41,205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41,268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(16,215)</w:t>
            </w:r>
          </w:p>
        </w:tc>
        <w:tc>
          <w:tcPr>
            <w:tcW w:w="122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20" w:type="dxa"/>
            <w:vAlign w:val="bottom"/>
            <w:tcBorders>
              <w:top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7,809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(2,861)</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7.2</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Distribution agreements/customer relationships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6.4</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amortizable intangible assets</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72,274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73,351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(28,819)</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57,239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indefinite-lived intangible assets</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goodwill and other indefinite-lived intangible</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58,469</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58,536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gross</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130,743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131,887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(a) Weighted average life as of June 30, 2019.</w:t>
            </w: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carrying amount of goodwill for the six months ended June 30, 2019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(in thousands)</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57,304</w:t>
            </w:r>
          </w:p>
        </w:tc>
      </w:tr>
      <w:tr>
        <w:trPr>
          <w:trHeight w:val="230"/>
        </w:trPr>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change in currency translation</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57,239</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Intangible asset amortization expense from continuing operations was $1.4 million for the three months ended June 30, 2019 and 2018, respectively. Intangible asset amortization expense from continuing operations was $2.9 million and $2.5 million for the six months ended June 30, 2019 and 2018, respectively. Amortization expense of existing amortizable intangible assets is currently estimated to be $5.6 million for the year ending December 31, 2019, $5.6 million for the year ending December 31, 2020, $5.6 million for the year ending December 31, 2021, $5.5 million for the year ending December 31, 2022, $5.4 million for the year ending December 31, 2023, and $5.3 million for the year ending December 31, 2024.</w:t>
      </w:r>
    </w:p>
    <w:p>
      <w:pPr>
        <w:spacing w:after="0" w:line="173" w:lineRule="exact"/>
        <w:rPr>
          <w:sz w:val="20"/>
          <w:szCs w:val="20"/>
          <w:color w:val="auto"/>
        </w:rPr>
      </w:pPr>
    </w:p>
    <w:p>
      <w:pPr>
        <w:jc w:val="both"/>
        <w:ind w:right="620" w:firstLine="441"/>
        <w:spacing w:after="0" w:line="264" w:lineRule="auto"/>
        <w:rPr>
          <w:sz w:val="20"/>
          <w:szCs w:val="20"/>
          <w:color w:val="auto"/>
        </w:rPr>
      </w:pPr>
      <w:r>
        <w:rPr>
          <w:rFonts w:ascii="Arial" w:cs="Arial" w:eastAsia="Arial" w:hAnsi="Arial"/>
          <w:sz w:val="18"/>
          <w:szCs w:val="18"/>
          <w:color w:val="auto"/>
        </w:rPr>
        <w:t>During the three months ended June 30, 2019, the Company recognized an impairment charge of $0.9 million related to certain of its in-process research and development intangible assets as a result of the on-going evaluation of its capitalized research and development activities. There was no impairment charge recognized during the three and six months ended June 30, 2018.</w:t>
      </w:r>
    </w:p>
    <w:p>
      <w:pPr>
        <w:sectPr>
          <w:pgSz w:w="11900" w:h="16838" w:orient="portrait"/>
          <w:cols w:equalWidth="0" w:num="1">
            <w:col w:w="11420"/>
          </w:cols>
          <w:pgMar w:left="240" w:top="233" w:right="239" w:bottom="1440" w:gutter="0" w:footer="0" w:header="0"/>
        </w:sectPr>
      </w:pPr>
    </w:p>
    <w:p>
      <w:pPr>
        <w:spacing w:after="0" w:line="177" w:lineRule="exact"/>
        <w:rPr>
          <w:sz w:val="20"/>
          <w:szCs w:val="20"/>
          <w:color w:val="auto"/>
        </w:rPr>
      </w:pPr>
    </w:p>
    <w:p>
      <w:pPr>
        <w:ind w:left="1100" w:hanging="1092"/>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Finished goods</w:t>
      </w:r>
    </w:p>
    <w:p>
      <w:pPr>
        <w:spacing w:after="0" w:line="3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Work in process</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Raw materials</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195"/>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4"/>
          </w:tcPr>
          <w:p>
            <w:pPr>
              <w:jc w:val="right"/>
              <w:ind w:right="690"/>
              <w:spacing w:after="0" w:line="195" w:lineRule="exact"/>
              <w:rPr>
                <w:sz w:val="20"/>
                <w:szCs w:val="20"/>
                <w:color w:val="auto"/>
              </w:rPr>
            </w:pPr>
            <w:r>
              <w:rPr>
                <w:rFonts w:ascii="Arial" w:cs="Arial" w:eastAsia="Arial" w:hAnsi="Arial"/>
                <w:sz w:val="18"/>
                <w:szCs w:val="18"/>
                <w:color w:val="auto"/>
              </w:rPr>
              <w:t>(in thousands)</w:t>
            </w: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6,729</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6,936</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3,667</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14,458</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14,484</w:t>
            </w: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25,288</w:t>
            </w: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25,087</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-599440</wp:posOffset>
            </wp:positionV>
            <wp:extent cx="434784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-325120</wp:posOffset>
            </wp:positionV>
            <wp:extent cx="434784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60"/>
          </w:cols>
          <w:pgMar w:left="240" w:top="233" w:right="239" w:bottom="1440" w:gutter="0" w:footer="0" w:header="0"/>
          <w:type w:val="continuous"/>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1100" w:hanging="1092"/>
        <w:spacing w:after="0"/>
        <w:tabs>
          <w:tab w:leader="none" w:pos="11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and December 31, 2018, property, plant and equipment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jc w:val="right"/>
              <w:ind w:right="63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buildings and leasehold improvements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3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23,775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23,336</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(18,416)</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w:t>
            </w: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34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Related Party Transactions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20" w:type="dxa"/>
            <w:vAlign w:val="bottom"/>
            <w:vMerge w:val="continue"/>
          </w:tcPr>
          <w:p>
            <w:pPr>
              <w:spacing w:after="0"/>
              <w:rPr>
                <w:sz w:val="24"/>
                <w:szCs w:val="24"/>
                <w:color w:val="auto"/>
              </w:rPr>
            </w:pPr>
          </w:p>
        </w:tc>
        <w:tc>
          <w:tcPr>
            <w:tcW w:w="3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As part of the acquisitions of Multi Channel Systems MCS GmbH (MCS) and Triangle BioSystems, Inc. (TBSI) in 2014, the Company signed lease agreements with the former owners of these acquired companies. The principals of such former owners of MCS and TBSI were employees of the Company as of June 30, 2019 and 2018. Pursuant to these lease agreements, the Company made rent payments of approximately $89 thousand and $81 thousand to these former owners for the three months ended June 30, 2019 and 2018, respectively. The Company made rent payments of approximately $178 thousand and $171 thousand to these former owners for the six months ended June 30, 2019 and 2018, respectively.</w:t>
      </w:r>
    </w:p>
    <w:p>
      <w:pPr>
        <w:spacing w:after="0" w:line="169" w:lineRule="exact"/>
        <w:rPr>
          <w:sz w:val="20"/>
          <w:szCs w:val="20"/>
          <w:color w:val="auto"/>
        </w:rPr>
      </w:pPr>
    </w:p>
    <w:p>
      <w:pPr>
        <w:ind w:left="1100" w:hanging="1092"/>
        <w:spacing w:after="0"/>
        <w:tabs>
          <w:tab w:leader="none" w:pos="11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Warranties are estimated and accrued at the time revenues are recorded. A rollforward of the Company’s product warranty accrual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Beginning</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(Payments)\</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Balance</w:t>
            </w: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Credits</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Additions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Balance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580" w:type="dxa"/>
            <w:vAlign w:val="bottom"/>
            <w:gridSpan w:val="2"/>
          </w:tcPr>
          <w:p>
            <w:pPr>
              <w:jc w:val="right"/>
              <w:ind w:right="69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246</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2019</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391</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100" w:hanging="1092"/>
        <w:spacing w:after="0"/>
        <w:tabs>
          <w:tab w:leader="none" w:pos="11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The Company’s subsidiary in the United Kingdom, Biochrom Limited, maintains contributory, defined benefit pension plans for substantially all of its employees. These defined benefit pension plans have been closed to new employees since 2014, as well as closed to the future accrual of benefits for existing employees. The components of the Company’s defined benefit pension expense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70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21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7"/>
              </w:rPr>
              <w:t>Six Months Ended</w:t>
            </w:r>
          </w:p>
        </w:tc>
        <w:tc>
          <w:tcPr>
            <w:tcW w:w="1140" w:type="dxa"/>
            <w:vAlign w:val="bottom"/>
          </w:tcPr>
          <w:p>
            <w:pPr>
              <w:spacing w:after="0"/>
              <w:rPr>
                <w:sz w:val="19"/>
                <w:szCs w:val="19"/>
                <w:color w:val="auto"/>
              </w:rPr>
            </w:pPr>
          </w:p>
        </w:tc>
      </w:tr>
      <w:tr>
        <w:trPr>
          <w:trHeight w:val="234"/>
        </w:trPr>
        <w:tc>
          <w:tcPr>
            <w:tcW w:w="4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4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spacing w:after="0"/>
              <w:rPr>
                <w:sz w:val="19"/>
                <w:szCs w:val="19"/>
                <w:color w:val="auto"/>
              </w:rPr>
            </w:pPr>
          </w:p>
        </w:tc>
      </w:tr>
      <w:tr>
        <w:trPr>
          <w:trHeight w:val="210"/>
        </w:trPr>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cost</w:t>
            </w:r>
          </w:p>
        </w:tc>
        <w:tc>
          <w:tcPr>
            <w:tcW w:w="18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1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140" w:type="dxa"/>
            <w:vAlign w:val="bottom"/>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amortization loss</w:t>
            </w:r>
          </w:p>
        </w:tc>
        <w:tc>
          <w:tcPr>
            <w:tcW w:w="10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1140" w:type="dxa"/>
            <w:vAlign w:val="bottom"/>
          </w:tcPr>
          <w:p>
            <w:pPr>
              <w:spacing w:after="0"/>
              <w:rPr>
                <w:sz w:val="19"/>
                <w:szCs w:val="19"/>
                <w:color w:val="auto"/>
              </w:rPr>
            </w:pPr>
          </w:p>
        </w:tc>
      </w:tr>
      <w:tr>
        <w:trPr>
          <w:trHeight w:val="223"/>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 (income)</w:t>
            </w:r>
          </w:p>
        </w:tc>
        <w:tc>
          <w:tcPr>
            <w:tcW w:w="10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4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21"/>
        </w:trPr>
        <w:tc>
          <w:tcPr>
            <w:tcW w:w="400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8"/>
        </w:trPr>
        <w:tc>
          <w:tcPr>
            <w:tcW w:w="400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160" w:firstLine="441"/>
        <w:spacing w:after="0" w:line="286" w:lineRule="auto"/>
        <w:rPr>
          <w:sz w:val="20"/>
          <w:szCs w:val="20"/>
          <w:color w:val="auto"/>
        </w:rPr>
      </w:pPr>
      <w:r>
        <w:rPr>
          <w:rFonts w:ascii="Arial" w:cs="Arial" w:eastAsia="Arial" w:hAnsi="Arial"/>
          <w:sz w:val="17"/>
          <w:szCs w:val="17"/>
          <w:color w:val="auto"/>
        </w:rPr>
        <w:t>For the three months ended June 30, 2019 and 2018, the Company contributed $0.2 million, for both periods, to its defined benefit pension plans. For the six months ended June 30, 2019 and 2018, the Company contributed $0.4 million and $0.4 million, respectively to its defined benefit pension plans. The Company expects to contribute approximately $0.3 million to its defined benefit pension plans during the remainder of 2019.</w:t>
      </w:r>
    </w:p>
    <w:p>
      <w:pPr>
        <w:spacing w:after="0" w:line="166"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Company had an underfunded pension liability of approximately $0.9 million as of June 30, 2019 and December 31, 2018 included in the other long term liabilities line item in the consolidated balance sheets.</w:t>
      </w:r>
    </w:p>
    <w:p>
      <w:pPr>
        <w:spacing w:after="0" w:line="166" w:lineRule="exact"/>
        <w:rPr>
          <w:sz w:val="20"/>
          <w:szCs w:val="20"/>
          <w:color w:val="auto"/>
        </w:rPr>
      </w:pPr>
    </w:p>
    <w:p>
      <w:pPr>
        <w:ind w:left="1100" w:hanging="1092"/>
        <w:spacing w:after="0"/>
        <w:tabs>
          <w:tab w:leader="none" w:pos="11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The Company has noncancelable operating leases for office, manufacturing facilities, warehouse space, automobiles and equipment expiring at various dates through 2023 and thereafter. As discussed in Footnote 1, the Company adopted ASC 842 as of January 1, 2019, using a current period adjustment method. In accordance with this method, the Company recognized a right of use asset of $9.4 million and an operating lease liability of $11.7 million as of January 1, 2019. As a result of using the current period adjustment method, the lease expense for six months ended June 30, 2019 and 2018 was recognized under ASC 842, and ASC 840, the previous standard,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lease expense for the three and six months ended June 30, 2019 are as follows: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Short term lease cost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Sublease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10375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 w:lineRule="exact"/>
        <w:rPr>
          <w:sz w:val="20"/>
          <w:szCs w:val="20"/>
          <w:color w:val="auto"/>
        </w:rPr>
      </w:pPr>
    </w:p>
    <w:p>
      <w:pPr>
        <w:ind w:left="1280" w:hanging="1278"/>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515</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-267970</wp:posOffset>
            </wp:positionV>
            <wp:extent cx="434784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-123190</wp:posOffset>
            </wp:positionV>
            <wp:extent cx="434784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7" w:lineRule="exact"/>
        <w:rPr>
          <w:sz w:val="20"/>
          <w:szCs w:val="20"/>
          <w:color w:val="auto"/>
        </w:rPr>
      </w:pPr>
    </w:p>
    <w:p>
      <w:pPr>
        <w:ind w:left="1280" w:hanging="1278"/>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037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1037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4580"/>
        <w:spacing w:after="0"/>
        <w:rPr>
          <w:sz w:val="20"/>
          <w:szCs w:val="20"/>
          <w:color w:val="auto"/>
        </w:rPr>
      </w:pPr>
      <w:r>
        <w:rPr>
          <w:rFonts w:ascii="Arial" w:cs="Arial" w:eastAsia="Arial" w:hAnsi="Arial"/>
          <w:sz w:val="16"/>
          <w:szCs w:val="16"/>
          <w:b w:val="1"/>
          <w:bCs w:val="1"/>
          <w:color w:val="auto"/>
        </w:rPr>
        <w:t>Six Months Ended</w:t>
      </w:r>
    </w:p>
    <w:p>
      <w:pPr>
        <w:spacing w:after="0" w:line="50" w:lineRule="exact"/>
        <w:rPr>
          <w:sz w:val="20"/>
          <w:szCs w:val="20"/>
          <w:color w:val="auto"/>
        </w:rPr>
      </w:pPr>
    </w:p>
    <w:p>
      <w:pPr>
        <w:jc w:val="center"/>
        <w:ind w:right="4580"/>
        <w:spacing w:after="0"/>
        <w:rPr>
          <w:sz w:val="20"/>
          <w:szCs w:val="20"/>
          <w:color w:val="auto"/>
        </w:rPr>
      </w:pPr>
      <w:r>
        <w:rPr>
          <w:rFonts w:ascii="Arial" w:cs="Arial" w:eastAsia="Arial" w:hAnsi="Arial"/>
          <w:sz w:val="18"/>
          <w:szCs w:val="18"/>
          <w:b w:val="1"/>
          <w:bCs w:val="1"/>
          <w:color w:val="auto"/>
        </w:rPr>
        <w:t>June 30, 2019</w:t>
      </w:r>
    </w:p>
    <w:p>
      <w:pPr>
        <w:spacing w:after="0" w:line="23" w:lineRule="exact"/>
        <w:rPr>
          <w:sz w:val="20"/>
          <w:szCs w:val="20"/>
          <w:color w:val="auto"/>
        </w:rPr>
      </w:pPr>
    </w:p>
    <w:p>
      <w:pPr>
        <w:jc w:val="center"/>
        <w:ind w:right="456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909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3" w:lineRule="exact"/>
        <w:rPr>
          <w:sz w:val="20"/>
          <w:szCs w:val="20"/>
          <w:color w:val="auto"/>
        </w:rPr>
      </w:pPr>
    </w:p>
    <w:p>
      <w:pPr>
        <w:ind w:left="940" w:hanging="936"/>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1,038</w:t>
      </w:r>
    </w:p>
    <w:p>
      <w:pPr>
        <w:spacing w:after="0" w:line="9"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127</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909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7" w:lineRule="exact"/>
        <w:rPr>
          <w:sz w:val="20"/>
          <w:szCs w:val="20"/>
          <w:color w:val="auto"/>
        </w:rPr>
      </w:pPr>
    </w:p>
    <w:p>
      <w:pPr>
        <w:ind w:left="1080" w:hanging="107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909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932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31750</wp:posOffset>
            </wp:positionV>
            <wp:extent cx="909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000" w:space="720"/>
            <w:col w:w="1640" w:space="60"/>
            <w:col w:w="6000"/>
          </w:cols>
          <w:pgMar w:left="240" w:top="233" w:right="2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the Company's operating leases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June 30,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the Company's operating leases was as follows:</w:t>
      </w:r>
    </w:p>
    <w:p>
      <w:pPr>
        <w:sectPr>
          <w:pgSz w:w="11900" w:h="16838" w:orient="portrait"/>
          <w:cols w:equalWidth="0" w:num="1">
            <w:col w:w="11420"/>
          </w:cols>
          <w:pgMar w:left="240" w:top="2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34784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Current portion,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434784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liabilities, long 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34784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293"/>
        <w:spacing w:after="0"/>
        <w:rPr>
          <w:sz w:val="20"/>
          <w:szCs w:val="20"/>
          <w:color w:val="auto"/>
        </w:rPr>
      </w:pPr>
      <w:r>
        <w:rPr>
          <w:rFonts w:ascii="Arial" w:cs="Arial" w:eastAsia="Arial" w:hAnsi="Arial"/>
          <w:sz w:val="17"/>
          <w:szCs w:val="17"/>
          <w:b w:val="1"/>
          <w:bCs w:val="1"/>
          <w:color w:val="auto"/>
        </w:rPr>
        <w:t>June 30, 2019</w:t>
      </w:r>
    </w:p>
    <w:p>
      <w:pPr>
        <w:spacing w:after="0" w:line="39" w:lineRule="exact"/>
        <w:rPr>
          <w:sz w:val="20"/>
          <w:szCs w:val="20"/>
          <w:color w:val="auto"/>
        </w:rPr>
      </w:pPr>
    </w:p>
    <w:p>
      <w:pPr>
        <w:ind w:left="273"/>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0293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 w:lineRule="exact"/>
        <w:rPr>
          <w:sz w:val="20"/>
          <w:szCs w:val="20"/>
          <w:color w:val="auto"/>
        </w:rPr>
      </w:pPr>
    </w:p>
    <w:p>
      <w:pPr>
        <w:ind w:left="1053" w:hanging="1053"/>
        <w:spacing w:after="0"/>
        <w:tabs>
          <w:tab w:leader="none" w:pos="1053" w:val="left"/>
        </w:tabs>
        <w:numPr>
          <w:ilvl w:val="0"/>
          <w:numId w:val="17"/>
        </w:numPr>
        <w:rPr>
          <w:rFonts w:ascii="Arial" w:cs="Arial" w:eastAsia="Arial" w:hAnsi="Arial"/>
          <w:sz w:val="15"/>
          <w:szCs w:val="15"/>
          <w:color w:val="auto"/>
        </w:rPr>
      </w:pPr>
      <w:r>
        <w:rPr>
          <w:rFonts w:ascii="Arial" w:cs="Arial" w:eastAsia="Arial" w:hAnsi="Arial"/>
          <w:sz w:val="15"/>
          <w:szCs w:val="15"/>
          <w:color w:val="auto"/>
        </w:rPr>
        <w:t>8,846</w:t>
      </w:r>
    </w:p>
    <w:p>
      <w:pPr>
        <w:spacing w:after="0" w:line="245" w:lineRule="exact"/>
        <w:rPr>
          <w:sz w:val="20"/>
          <w:szCs w:val="20"/>
          <w:color w:val="auto"/>
        </w:rPr>
      </w:pPr>
    </w:p>
    <w:p>
      <w:pPr>
        <w:ind w:left="1053" w:hanging="1053"/>
        <w:spacing w:after="0"/>
        <w:tabs>
          <w:tab w:leader="none" w:pos="1053" w:val="left"/>
        </w:tabs>
        <w:numPr>
          <w:ilvl w:val="0"/>
          <w:numId w:val="18"/>
        </w:numPr>
        <w:rPr>
          <w:rFonts w:ascii="Arial" w:cs="Arial" w:eastAsia="Arial" w:hAnsi="Arial"/>
          <w:sz w:val="15"/>
          <w:szCs w:val="15"/>
          <w:color w:val="auto"/>
        </w:rPr>
      </w:pPr>
      <w:r>
        <w:rPr>
          <w:rFonts w:ascii="Arial" w:cs="Arial" w:eastAsia="Arial" w:hAnsi="Arial"/>
          <w:sz w:val="15"/>
          <w:szCs w:val="15"/>
          <w:color w:val="auto"/>
        </w:rPr>
        <w:t>2,295</w:t>
      </w:r>
    </w:p>
    <w:p>
      <w:pPr>
        <w:spacing w:after="0" w:line="57" w:lineRule="exact"/>
        <w:rPr>
          <w:rFonts w:ascii="Arial" w:cs="Arial" w:eastAsia="Arial" w:hAnsi="Arial"/>
          <w:sz w:val="15"/>
          <w:szCs w:val="15"/>
          <w:color w:val="auto"/>
        </w:rPr>
      </w:pPr>
    </w:p>
    <w:p>
      <w:pPr>
        <w:ind w:left="1053"/>
        <w:spacing w:after="0"/>
        <w:rPr>
          <w:rFonts w:ascii="Arial" w:cs="Arial" w:eastAsia="Arial" w:hAnsi="Arial"/>
          <w:sz w:val="15"/>
          <w:szCs w:val="15"/>
          <w:color w:val="auto"/>
        </w:rPr>
      </w:pPr>
      <w:r>
        <w:rPr>
          <w:rFonts w:ascii="Arial" w:cs="Arial" w:eastAsia="Arial" w:hAnsi="Arial"/>
          <w:sz w:val="15"/>
          <w:szCs w:val="15"/>
          <w:color w:val="auto"/>
        </w:rPr>
        <w:t>8,714</w:t>
      </w:r>
    </w:p>
    <w:p>
      <w:pPr>
        <w:spacing w:after="0" w:line="70" w:lineRule="exact"/>
        <w:rPr>
          <w:sz w:val="20"/>
          <w:szCs w:val="20"/>
          <w:color w:val="auto"/>
        </w:rPr>
      </w:pPr>
    </w:p>
    <w:p>
      <w:pPr>
        <w:ind w:left="973" w:hanging="973"/>
        <w:spacing w:after="0"/>
        <w:tabs>
          <w:tab w:leader="none" w:pos="973" w:val="left"/>
        </w:tabs>
        <w:numPr>
          <w:ilvl w:val="0"/>
          <w:numId w:val="19"/>
        </w:numPr>
        <w:rPr>
          <w:rFonts w:ascii="Arial" w:cs="Arial" w:eastAsia="Arial" w:hAnsi="Arial"/>
          <w:sz w:val="15"/>
          <w:szCs w:val="15"/>
          <w:color w:val="auto"/>
        </w:rPr>
      </w:pPr>
      <w:r>
        <w:rPr>
          <w:rFonts w:ascii="Arial" w:cs="Arial" w:eastAsia="Arial" w:hAnsi="Arial"/>
          <w:sz w:val="15"/>
          <w:szCs w:val="15"/>
          <w:color w:val="auto"/>
        </w:rPr>
        <w:t>11,009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1029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3907" w:space="720"/>
            <w:col w:w="6793"/>
          </w:cols>
          <w:pgMar w:left="240" w:top="233" w:right="239" w:bottom="1440" w:gutter="0" w:footer="0" w:header="0"/>
          <w:type w:val="continuous"/>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262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8.5   years</w:t>
            </w:r>
          </w:p>
        </w:tc>
        <w:tc>
          <w:tcPr>
            <w:tcW w:w="456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620" w:type="dxa"/>
            <w:vAlign w:val="bottom"/>
          </w:tcPr>
          <w:p>
            <w:pPr>
              <w:ind w:left="1620"/>
              <w:spacing w:after="0"/>
              <w:rPr>
                <w:sz w:val="20"/>
                <w:szCs w:val="20"/>
                <w:color w:val="auto"/>
              </w:rPr>
            </w:pPr>
            <w:r>
              <w:rPr>
                <w:rFonts w:ascii="Arial" w:cs="Arial" w:eastAsia="Arial" w:hAnsi="Arial"/>
                <w:sz w:val="18"/>
                <w:szCs w:val="18"/>
                <w:color w:val="auto"/>
              </w:rPr>
              <w:t>9.2%</w:t>
            </w:r>
          </w:p>
        </w:tc>
        <w:tc>
          <w:tcPr>
            <w:tcW w:w="4560" w:type="dxa"/>
            <w:vAlign w:val="bottom"/>
          </w:tcPr>
          <w:p>
            <w:pPr>
              <w:spacing w:after="0"/>
              <w:rPr>
                <w:sz w:val="20"/>
                <w:szCs w:val="20"/>
                <w:color w:val="auto"/>
              </w:rPr>
            </w:pPr>
          </w:p>
        </w:tc>
      </w:tr>
      <w:tr>
        <w:trPr>
          <w:trHeight w:val="526"/>
        </w:trPr>
        <w:tc>
          <w:tcPr>
            <w:tcW w:w="4240" w:type="dxa"/>
            <w:vAlign w:val="bottom"/>
          </w:tcPr>
          <w:p>
            <w:pPr>
              <w:spacing w:after="0"/>
              <w:rPr>
                <w:sz w:val="24"/>
                <w:szCs w:val="24"/>
                <w:color w:val="auto"/>
              </w:rPr>
            </w:pPr>
          </w:p>
        </w:tc>
        <w:tc>
          <w:tcPr>
            <w:tcW w:w="2620" w:type="dxa"/>
            <w:vAlign w:val="bottom"/>
          </w:tcPr>
          <w:p>
            <w:pPr>
              <w:jc w:val="right"/>
              <w:ind w:right="970"/>
              <w:spacing w:after="0"/>
              <w:rPr>
                <w:sz w:val="20"/>
                <w:szCs w:val="20"/>
                <w:color w:val="auto"/>
              </w:rPr>
            </w:pPr>
            <w:r>
              <w:rPr>
                <w:rFonts w:ascii="Arial" w:cs="Arial" w:eastAsia="Arial" w:hAnsi="Arial"/>
                <w:sz w:val="18"/>
                <w:szCs w:val="18"/>
                <w:color w:val="auto"/>
              </w:rPr>
              <w:t>15</w:t>
            </w:r>
          </w:p>
        </w:tc>
        <w:tc>
          <w:tcPr>
            <w:tcW w:w="4560" w:type="dxa"/>
            <w:vAlign w:val="bottom"/>
          </w:tcPr>
          <w:p>
            <w:pPr>
              <w:spacing w:after="0"/>
              <w:rPr>
                <w:sz w:val="24"/>
                <w:szCs w:val="24"/>
                <w:color w:val="auto"/>
              </w:rPr>
            </w:pPr>
          </w:p>
        </w:tc>
      </w:tr>
      <w:tr>
        <w:trPr>
          <w:trHeight w:val="68"/>
        </w:trPr>
        <w:tc>
          <w:tcPr>
            <w:tcW w:w="4240" w:type="dxa"/>
            <w:vAlign w:val="bottom"/>
            <w:shd w:val="clear" w:color="auto" w:fill="000000"/>
          </w:tcPr>
          <w:p>
            <w:pPr>
              <w:spacing w:after="0"/>
              <w:rPr>
                <w:sz w:val="5"/>
                <w:szCs w:val="5"/>
                <w:color w:val="auto"/>
              </w:rPr>
            </w:pPr>
          </w:p>
        </w:tc>
        <w:tc>
          <w:tcPr>
            <w:tcW w:w="2620" w:type="dxa"/>
            <w:vAlign w:val="bottom"/>
            <w:shd w:val="clear" w:color="auto" w:fill="000000"/>
          </w:tcPr>
          <w:p>
            <w:pPr>
              <w:spacing w:after="0"/>
              <w:rPr>
                <w:sz w:val="5"/>
                <w:szCs w:val="5"/>
                <w:color w:val="auto"/>
              </w:rPr>
            </w:pPr>
          </w:p>
        </w:tc>
        <w:tc>
          <w:tcPr>
            <w:tcW w:w="45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33"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Rent payments for continuing operations were approximately $1.4 million for the six months ended June 30, 2018. Future minimum lease payments for operating leases, with initial or remaining terms in excess of one year at June 30, 2019,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Operating</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1"/>
              </w:rPr>
              <w:t>Leases</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2021</w:t>
            </w: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2023</w:t>
            </w: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30"/>
        </w:trPr>
        <w:tc>
          <w:tcPr>
            <w:tcW w:w="1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0" w:type="dxa"/>
            <w:vAlign w:val="bottom"/>
          </w:tcPr>
          <w:p>
            <w:pPr>
              <w:spacing w:after="0"/>
              <w:rPr>
                <w:sz w:val="1"/>
                <w:szCs w:val="1"/>
                <w:color w:val="auto"/>
              </w:rPr>
            </w:pPr>
          </w:p>
        </w:tc>
      </w:tr>
      <w:tr>
        <w:trPr>
          <w:trHeight w:val="230"/>
        </w:trPr>
        <w:tc>
          <w:tcPr>
            <w:tcW w:w="1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Less interest</w:t>
            </w:r>
          </w:p>
        </w:tc>
        <w:tc>
          <w:tcPr>
            <w:tcW w:w="4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13.</w:t>
            </w:r>
          </w:p>
        </w:tc>
        <w:tc>
          <w:tcPr>
            <w:tcW w:w="43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Capital Stock</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0" w:type="dxa"/>
            <w:vAlign w:val="bottom"/>
            <w:vMerge w:val="continue"/>
          </w:tcPr>
          <w:p>
            <w:pPr>
              <w:spacing w:after="0"/>
              <w:rPr>
                <w:sz w:val="24"/>
                <w:szCs w:val="24"/>
                <w:color w:val="auto"/>
              </w:rPr>
            </w:pPr>
          </w:p>
        </w:tc>
        <w:tc>
          <w:tcPr>
            <w:tcW w:w="4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Company has 80.0 million shares of common stock authorized for issuance. As of June 30, 2019, the Company had 37.9 million shares of common stock issued and outstanding.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June 30, 2019, the Company had no preferred stock issued or outstanding.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 (as amended, the ESPP)</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2000, the Company approved the ESPP. Under this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As of June 30, 2019, 1,400,000 shares of common stock are authorized for issuance, of which 984,547 shares were issued. There were 93,785 and 24,907 shares issued under the ESPP during the six months ended June 30, 2019 and 2018, respectively.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Option and Equity Incentive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 Amended and Restated 2000 Stock Option and Incentive Plan (as amended, the Third A&amp;R Plan)</w:t>
      </w:r>
    </w:p>
    <w:p>
      <w:pPr>
        <w:spacing w:after="0" w:line="225" w:lineRule="exact"/>
        <w:rPr>
          <w:sz w:val="20"/>
          <w:szCs w:val="20"/>
          <w:color w:val="auto"/>
        </w:rPr>
      </w:pPr>
    </w:p>
    <w:p>
      <w:pPr>
        <w:ind w:right="480" w:firstLine="441"/>
        <w:spacing w:after="0" w:line="264" w:lineRule="auto"/>
        <w:rPr>
          <w:sz w:val="20"/>
          <w:szCs w:val="20"/>
          <w:color w:val="auto"/>
        </w:rPr>
      </w:pPr>
      <w:r>
        <w:rPr>
          <w:rFonts w:ascii="Arial" w:cs="Arial" w:eastAsia="Arial" w:hAnsi="Arial"/>
          <w:sz w:val="18"/>
          <w:szCs w:val="18"/>
          <w:color w:val="auto"/>
        </w:rPr>
        <w:t>The Third Amendment to the Third A&amp;R Plan (the Amendment) was adopted by the Board of Directors on April 2, 2018. Such Amendment was approved by the stockholders at the Company’s 2018 Annual Meeting of Stockholders. Pursuant to the Amendment, the aggregate number of shares authorized for issuance under the Third A&amp;R Plan was increased by 3,400,000 shares to 20,908,929.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Restricted Stock Units with a Market Condition (the Market Condition RSUs)</w:t>
      </w:r>
    </w:p>
    <w:p>
      <w:pPr>
        <w:spacing w:after="0" w:line="225"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On May 24, 2018, the Compensation Committee of the Board of Directors of the Company approved and granted deferred stock awards of Market Condition RSUs (the 2018 Market Condition RSUs) to certain members of the Company’s management team under the Third A&amp;R Plan. The vesting of the 2018 Market Condition RSUs is based on a graded-vesting schedule (one third at the end of each year for three years) and linked to the achievement of a relative total shareholder return of the Company’s common stock from May 24, 2018 to the earlier of (i) May 24, 2019 or (ii) upon a change of control (measured relative to the NASDAQ Biotechnology index and based on the 20-day trading average price before each such date). As of June 30, 2019, the target number of these restricted stock units that may be earned is 7,556 shares; the maximum amount is 150% of the target number.</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color w:val="auto"/>
        </w:rPr>
        <w:t>On March 7, 2019, the Compensation Committee of the Board of Directors of the Company approved and granted deferred stock awards of Market Condition RSUs (the 2019 Market Condition RSUs) to certain members of the Company’s management team under the Third A&amp;R Plan. The vesting of the 2019 Market Condition RSUs is based on a graded-vesting schedule (one third at the end of each year for three years) and linked to the achievement of a relative total shareholder return of the Company’s common stock from March 7, 2019 to the earlier of (i) March 7, 2020 or (ii) upon a change of control (measured relative to the NASDAQ Biotechnology index and based on the 20-day trading average price before each such date). As of June 30, 2019, the target number of these restricted stock units that may be earned is 56,517 shares; the maximum amount is 150% of the target number.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 The Company has elected as an accounting policy to account for forfeitures for service based awards as they occur, with no adjustment for estimated forfeitures.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Stock option and restricted stock unit activity under the Company’s Third A&amp;R Plan for the six months ended June 30, 2019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20" w:type="dxa"/>
            <w:vAlign w:val="bottom"/>
            <w:gridSpan w:val="5"/>
          </w:tcPr>
          <w:p>
            <w:pPr>
              <w:ind w:left="920"/>
              <w:spacing w:after="0"/>
              <w:rPr>
                <w:sz w:val="20"/>
                <w:szCs w:val="20"/>
                <w:color w:val="auto"/>
              </w:rPr>
            </w:pPr>
            <w:r>
              <w:rPr>
                <w:rFonts w:ascii="Arial" w:cs="Arial" w:eastAsia="Arial" w:hAnsi="Arial"/>
                <w:sz w:val="18"/>
                <w:szCs w:val="18"/>
                <w:b w:val="1"/>
                <w:bCs w:val="1"/>
                <w:color w:val="auto"/>
              </w:rPr>
              <w:t>Stock Options</w:t>
            </w:r>
          </w:p>
        </w:tc>
        <w:tc>
          <w:tcPr>
            <w:tcW w:w="2960" w:type="dxa"/>
            <w:vAlign w:val="bottom"/>
            <w:gridSpan w:val="5"/>
          </w:tcPr>
          <w:p>
            <w:pPr>
              <w:ind w:left="560"/>
              <w:spacing w:after="0"/>
              <w:rPr>
                <w:sz w:val="20"/>
                <w:szCs w:val="20"/>
                <w:color w:val="auto"/>
              </w:rPr>
            </w:pPr>
            <w:r>
              <w:rPr>
                <w:rFonts w:ascii="Arial" w:cs="Arial" w:eastAsia="Arial" w:hAnsi="Arial"/>
                <w:sz w:val="18"/>
                <w:szCs w:val="18"/>
                <w:b w:val="1"/>
                <w:bCs w:val="1"/>
                <w:color w:val="auto"/>
              </w:rPr>
              <w:t>Restricted Stock Units</w:t>
            </w: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Market Condition RSU's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Restricted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Stock Units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Condition RSU's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1,956,732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1,233,762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587,909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599,977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Expired</w:t>
            </w:r>
          </w:p>
        </w:tc>
        <w:tc>
          <w:tcPr>
            <w:tcW w:w="1400" w:type="dxa"/>
            <w:vAlign w:val="bottom"/>
          </w:tcPr>
          <w:p>
            <w:pPr>
              <w:jc w:val="right"/>
              <w:spacing w:after="0"/>
              <w:rPr>
                <w:sz w:val="20"/>
                <w:szCs w:val="20"/>
                <w:color w:val="auto"/>
              </w:rPr>
            </w:pPr>
            <w:r>
              <w:rPr>
                <w:rFonts w:ascii="Arial" w:cs="Arial" w:eastAsia="Arial" w:hAnsi="Arial"/>
                <w:sz w:val="18"/>
                <w:szCs w:val="18"/>
                <w:color w:val="auto"/>
              </w:rPr>
              <w:t>(2,635)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 (RSUs)</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Cancelled / 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2,182,857</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1,053,656</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64,073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weighted average fair value of the options granted under the Third A&amp;R Plan during the three months ended June 30, 2019 and 2018 was $0.97 and $1.81, respectively, and during the six months ended June 30, 2019 and 2018 was $1.56 and $1.81, respectively. The following assumptions were used to estimate the fair value, using the Black-Scholes option pricing model, of stock options granted during the three and six months ended June 30,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2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Arial" w:cs="Arial" w:eastAsia="Arial" w:hAnsi="Arial"/>
                <w:sz w:val="18"/>
                <w:szCs w:val="18"/>
                <w:b w:val="1"/>
                <w:bCs w:val="1"/>
                <w:color w:val="auto"/>
                <w:w w:val="94"/>
              </w:rPr>
              <w:t>Six Months Ended</w:t>
            </w:r>
          </w:p>
        </w:tc>
        <w:tc>
          <w:tcPr>
            <w:tcW w:w="620" w:type="dxa"/>
            <w:vAlign w:val="bottom"/>
          </w:tcPr>
          <w:p>
            <w:pPr>
              <w:spacing w:after="0"/>
              <w:rPr>
                <w:sz w:val="19"/>
                <w:szCs w:val="19"/>
                <w:color w:val="auto"/>
              </w:rPr>
            </w:pPr>
          </w:p>
        </w:tc>
      </w:tr>
      <w:tr>
        <w:trPr>
          <w:trHeight w:val="234"/>
        </w:trPr>
        <w:tc>
          <w:tcPr>
            <w:tcW w:w="56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w w:val="85"/>
              </w:rPr>
              <w:t>June 30,</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42.31</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42.31</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62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years</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Dividend yield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weighted average fair value of the 2019 Market Condition RSUs which were granted under the Third A&amp;R Plan during the three months ended March 31, 2019 was $4.16. There were no Market Condition RSUs granted under the Third A&amp;R Plan during the three months ended June 30, 2019. The weighted average fair value of the 2018 Market Condition RSUs which were granted under the Third A&amp;R Plan during the three months ended June 30, 2018 was $4.19. There were no Market Condition RSUs granted under the Third A&amp;R Plan during the three months ended March 31, 2018. The following assumptions were used to estimate the fair value, using a Monte-Carlo valuation simulation, of the Market Condition RSUs granted during the six months ended June 30, 2019 and 2018:</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3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56"/>
        </w:trPr>
        <w:tc>
          <w:tcPr>
            <w:tcW w:w="128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2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1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1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The Company used historical volatility to calculate the expected volatility for each grant as of the grant date. Historical volatility was determined by calculating the mean reversion of the daily adjusted closing stock price. The risk-free interest rate assumption is based upon observed U.S. Treasury bill interest rates (risk-free) appropriate for the term of the Company’s stock options and Market Condition RSUs. The expected holding period of stock options represents the period of time options are expected to be outstanding and is based on historical experience. The vesting period ranges from one to four years and the contractual life is ten years. The correlation coefficient, used to value the Market Condition RSUs, represents the way in which entities move in relation to the NASDAQ Biotechnology index as a whole.</w:t>
      </w:r>
    </w:p>
    <w:p>
      <w:pPr>
        <w:spacing w:after="0" w:line="193"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Stock-based compensation expense related to stock options, restricted stock units, Market Condition RSUs and the ESPP for the three and six months ended June 30, 2019 and 2018 was allocated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3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6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87"/>
              </w:rPr>
              <w:t>(in thousands)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5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529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940" w:type="dxa"/>
            <w:vAlign w:val="bottom"/>
            <w:tcBorders>
              <w:bottom w:val="single" w:sz="8" w:color="auto"/>
            </w:tcBorders>
          </w:tcPr>
          <w:p>
            <w:pPr>
              <w:jc w:val="right"/>
              <w:ind w:right="77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615</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capitalize any 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Effect of assumed conversion of employee and director stock options, restricted stock units and Market Condition RSUs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186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r>
      <w:tr>
        <w:trPr>
          <w:trHeight w:val="223"/>
        </w:trPr>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426"/>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37,735,717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36,082,258</w:t>
            </w:r>
          </w:p>
        </w:tc>
        <w:tc>
          <w:tcPr>
            <w:tcW w:w="1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37,682,539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35,774,334</w:t>
            </w:r>
          </w:p>
        </w:tc>
      </w:tr>
      <w:tr>
        <w:trPr>
          <w:trHeight w:val="446"/>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37,735,717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36,082,258</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37,682,539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35,774,334</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-599440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580"/>
            <w:col w:w="5800"/>
          </w:cols>
          <w:pgMar w:left="240" w:top="216" w:right="239" w:bottom="1440" w:gutter="0" w:footer="0" w:header="0"/>
          <w:type w:val="continuous"/>
        </w:sectPr>
      </w:pPr>
    </w:p>
    <w:p>
      <w:pPr>
        <w:spacing w:after="0" w:line="2"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Excluded from the shares used in calculating the diluted earnings per common share in the above table are options, restricted stock units and Market Condition RSUs of approximately 3,300,586 and 4,737,057 shares of common stock for the six months ended June 30, 2019 and 2018, respectively, as the impact of these shares would be anti-dilutive.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1100" w:hanging="1092"/>
        <w:spacing w:after="0"/>
        <w:tabs>
          <w:tab w:leader="none" w:pos="11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22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On January 22, 2018, in connection with the closing of the Denville Transaction, the Company terminated the Third Amended and Restated Credit Agreement (the Credit Agreement), among the Company, Brown Brothers Harriman &amp; Co. and each of the other lenders party thereto, and Bank of America, as administrative agent. All outstanding amounts under the agreement were repaid in full using a portion of the proceeds of the Denville Transaction. At the time of repayment, there was approximately $11.9 million outstanding.</w:t>
      </w:r>
    </w:p>
    <w:p>
      <w:pPr>
        <w:spacing w:after="0" w:line="187"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On January 31, 2018, the Company entered into a financing agreement by and among the Company and certain subsidiaries of the Company parties thereto, as borrowers (collectively, the Borrower), certain subsidiaries of the Company parties thereto, as guarantors, various lenders from time to time party thereto (the Lenders), and Cerberus Business Finance, LLC, as collateral agent and administrative agent for the Lenders (the Financing Agreement). On August 16, 2018, the Company and Cerberus Business Finance, LLC entered into a First Amendment to the Financing Agreement, which such amendment modified certain provisions related to the borrowing base and reporting, among other things.</w:t>
      </w:r>
    </w:p>
    <w:p>
      <w:pPr>
        <w:spacing w:after="0" w:line="173" w:lineRule="exact"/>
        <w:rPr>
          <w:sz w:val="20"/>
          <w:szCs w:val="20"/>
          <w:color w:val="auto"/>
        </w:rPr>
      </w:pPr>
    </w:p>
    <w:p>
      <w:pPr>
        <w:jc w:val="both"/>
        <w:ind w:right="20" w:firstLine="441"/>
        <w:spacing w:after="0" w:line="276" w:lineRule="auto"/>
        <w:rPr>
          <w:sz w:val="20"/>
          <w:szCs w:val="20"/>
          <w:color w:val="auto"/>
        </w:rPr>
      </w:pPr>
      <w:r>
        <w:rPr>
          <w:rFonts w:ascii="Arial" w:cs="Arial" w:eastAsia="Arial" w:hAnsi="Arial"/>
          <w:sz w:val="17"/>
          <w:szCs w:val="17"/>
          <w:color w:val="auto"/>
        </w:rPr>
        <w:t>The Financing Agreement provided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the Company and its subsidiaries for general corporate and working capital needs, and other purposes to the extent permitted by the Financing Agreement. The Senior Secured Credit Facilities have a maturity of five years.</w:t>
      </w:r>
    </w:p>
    <w:p>
      <w:pPr>
        <w:spacing w:after="0" w:line="173"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Commencing on March 31, 2018, the outstanding term loans began to amortize in equal quarterly installments equal to $0.4 million per quarter on such date and during each of the next three quarters thereafter, $0.6 million per quarter during the next four quarters thereafter and $0.8 million per quarter thereafter, with a balloon payment at maturity. Furthermore, within ten days of the Company’s delivery of its audited annual financial statements each year, the term loans are permanently reduced pursuant to certain mandatory prepayment events including an annual “excess cash flow sweep” of 50% of the consolidated excess cash flow; provided that, in any fiscal year, any voluntary prepayments of the term loans shall be credited against the Company’s “excess cash flow” prepayment obligations on a dollar-for-dollar basis for such fiscal year. During the three months ended March 31, 2019, the Company made an excess cash flow payment of $4.0 million as required by the Financing Agreement. Additionally, during the three months ended June 30, 2019, the Company made a payment, as required by the Financing Agreement, of $1.0 million in connection with the release of an escrow amount associated with the Denville Transaction discussed in Note 5.</w:t>
      </w:r>
    </w:p>
    <w:p>
      <w:pPr>
        <w:spacing w:after="0" w:line="182"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The obligations of the Borrower under the Senior Secured Credit Facilities are unconditionally guaranteed by the Company and certain of the Company’s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Borrower and the subsidiary guarantors, including all of the capital stock held by such obligors (subject to a 65% limitation on pledges of capital stock of foreign subsidiaries), subject to certain exceptions.</w:t>
      </w:r>
    </w:p>
    <w:p>
      <w:pPr>
        <w:spacing w:after="0" w:line="188"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Interest on all loans under the Senior Secured Credit Facilities is paid monthly. Borrowings under the Financing Agreement accrue interest at a per annum rate equal to, at the Borrower’s option, a base rate plus 4.75% or a London Interbank Offered Rate (LIBOR) rate plus 6.25%. The loans are also subject to a 1.25% interest rate floor for LIBOR loans and a 4.25% interest rate floor for base rate loans.</w:t>
      </w:r>
    </w:p>
    <w:p>
      <w:pPr>
        <w:spacing w:after="0" w:line="18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Financing Agreement contains customary representations and warranties and affirmative covenants applicable to the Company and its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modifications of organizational documents, material contracts, affiliated practice agreements and certain debt agreements. The Financing Agreement also contains customary events of default. As of June 30, 2019, the Company was in compliance with all financial covenants contained in the Financing Agreement, was subject to covenant and working capital borrowing restrictions and had available borrowing capacity under its Financing Agreement of $9.5 million.</w:t>
      </w:r>
    </w:p>
    <w:p>
      <w:pPr>
        <w:spacing w:after="0" w:line="178" w:lineRule="exact"/>
        <w:rPr>
          <w:sz w:val="20"/>
          <w:szCs w:val="20"/>
          <w:color w:val="auto"/>
        </w:rPr>
      </w:pPr>
    </w:p>
    <w:p>
      <w:pPr>
        <w:ind w:right="600" w:firstLine="441"/>
        <w:spacing w:after="0" w:line="264" w:lineRule="auto"/>
        <w:rPr>
          <w:sz w:val="20"/>
          <w:szCs w:val="20"/>
          <w:color w:val="auto"/>
        </w:rPr>
      </w:pPr>
      <w:r>
        <w:rPr>
          <w:rFonts w:ascii="Arial" w:cs="Arial" w:eastAsia="Arial" w:hAnsi="Arial"/>
          <w:sz w:val="18"/>
          <w:szCs w:val="18"/>
          <w:color w:val="auto"/>
        </w:rPr>
        <w:t>As of June 30, 2019, the weighted effective interest rate, net of the impact of the Company’s interest rate swap, on its term loan was 8.85%. The carrying value of the debt approximates fair value because the interest rate under the obligation approximates market rates of interest available to the Company for similar instruments.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2019 and December 31, 2018, the Company’s borrowings were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jc w:val="right"/>
              <w:ind w:right="61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180"/>
              <w:spacing w:after="0"/>
              <w:rPr>
                <w:sz w:val="20"/>
                <w:szCs w:val="20"/>
                <w:color w:val="auto"/>
              </w:rPr>
            </w:pPr>
            <w:r>
              <w:rPr>
                <w:rFonts w:ascii="Arial" w:cs="Arial" w:eastAsia="Arial" w:hAnsi="Arial"/>
                <w:sz w:val="18"/>
                <w:szCs w:val="18"/>
                <w:color w:val="auto"/>
              </w:rPr>
              <w:t>Term loan</w:t>
            </w:r>
          </w:p>
        </w:tc>
        <w:tc>
          <w:tcPr>
            <w:tcW w:w="29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56,197</w:t>
            </w:r>
          </w:p>
        </w:tc>
        <w:tc>
          <w:tcPr>
            <w:tcW w:w="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62,400</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unamortized deferred financing costs</w:t>
            </w:r>
          </w:p>
        </w:tc>
        <w:tc>
          <w:tcPr>
            <w:tcW w:w="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Total debt</w:t>
            </w:r>
          </w:p>
        </w:tc>
        <w:tc>
          <w:tcPr>
            <w:tcW w:w="2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54,821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60,795</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current installments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Current unamortized deferred financing costs</w:t>
            </w:r>
          </w:p>
        </w:tc>
        <w:tc>
          <w:tcPr>
            <w:tcW w:w="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52,414</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54,813</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15.</w:t>
            </w:r>
          </w:p>
        </w:tc>
        <w:tc>
          <w:tcPr>
            <w:tcW w:w="29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Derivatives</w:t>
            </w: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20" w:type="dxa"/>
            <w:vAlign w:val="bottom"/>
            <w:vMerge w:val="continue"/>
          </w:tcPr>
          <w:p>
            <w:pPr>
              <w:spacing w:after="0"/>
              <w:rPr>
                <w:sz w:val="24"/>
                <w:szCs w:val="24"/>
                <w:color w:val="auto"/>
              </w:rPr>
            </w:pPr>
          </w:p>
        </w:tc>
        <w:tc>
          <w:tcPr>
            <w:tcW w:w="29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8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58"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or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uses variable-rate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disclosed in Note 14, on January 31, 2018, the Company entered into a Financing Agreement comprised of a $64.0 million term loan and up 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$25.0 million revolving line of credit. Shortly after entering into the Financing Agreement, the Company entered into an interest rate swap contract with PNC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Bank with a notional amount of $36.0 million and a termination date of January 1, 2023 in order to hedge the risk of changes in the effective benchmark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rate (LIBOR) associated with the Company’s Term Loan. The swap contract converted specific variable-rate debt into fixed-rate debt and fixed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LIBOR rate associated with a portion of the term loan under the Financing Agreement at 2.72%. The interest rate swap was designated as a cash flow hedge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instrument in accordance with ASC 815 “Derivatives and Hedging”.</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notional amount and fair value of the Company’s derivative instruments as of June 30, 2019 and December 31,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780" w:type="dxa"/>
            <w:vAlign w:val="bottom"/>
            <w:tcBorders>
              <w:top w:val="single" w:sz="8" w:color="auto"/>
              <w:bottom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88"/>
              </w:rPr>
              <w:t>June 30, 2019</w:t>
            </w:r>
          </w:p>
        </w:tc>
        <w:tc>
          <w:tcPr>
            <w:tcW w:w="0" w:type="dxa"/>
            <w:vAlign w:val="bottom"/>
          </w:tcPr>
          <w:p>
            <w:pPr>
              <w:spacing w:after="0"/>
              <w:rPr>
                <w:sz w:val="1"/>
                <w:szCs w:val="1"/>
                <w:color w:val="auto"/>
              </w:rPr>
            </w:pPr>
          </w:p>
        </w:tc>
      </w:tr>
      <w:tr>
        <w:trPr>
          <w:trHeight w:val="223"/>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Derivatives designated as hedging</w:t>
            </w:r>
          </w:p>
        </w:tc>
        <w:tc>
          <w:tcPr>
            <w:tcW w:w="3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Notional Amount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Fair Value (a)</w:t>
            </w:r>
          </w:p>
        </w:tc>
        <w:tc>
          <w:tcPr>
            <w:tcW w:w="0" w:type="dxa"/>
            <w:vAlign w:val="bottom"/>
          </w:tcPr>
          <w:p>
            <w:pPr>
              <w:spacing w:after="0"/>
              <w:rPr>
                <w:sz w:val="1"/>
                <w:szCs w:val="1"/>
                <w:color w:val="auto"/>
              </w:rPr>
            </w:pPr>
          </w:p>
        </w:tc>
      </w:tr>
      <w:tr>
        <w:trPr>
          <w:trHeight w:val="178"/>
        </w:trPr>
        <w:tc>
          <w:tcPr>
            <w:tcW w:w="3200" w:type="dxa"/>
            <w:vAlign w:val="bottom"/>
            <w:vMerge w:val="continue"/>
          </w:tcPr>
          <w:p>
            <w:pPr>
              <w:spacing w:after="0"/>
              <w:rPr>
                <w:sz w:val="15"/>
                <w:szCs w:val="15"/>
                <w:color w:val="auto"/>
              </w:rPr>
            </w:pPr>
          </w:p>
        </w:tc>
        <w:tc>
          <w:tcPr>
            <w:tcW w:w="3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instruments under ASC 815</w:t>
            </w:r>
          </w:p>
        </w:tc>
        <w:tc>
          <w:tcPr>
            <w:tcW w:w="3640" w:type="dxa"/>
            <w:vAlign w:val="bottom"/>
          </w:tcPr>
          <w:p>
            <w:pPr>
              <w:ind w:left="580"/>
              <w:spacing w:after="0"/>
              <w:rPr>
                <w:sz w:val="20"/>
                <w:szCs w:val="20"/>
                <w:color w:val="auto"/>
              </w:rPr>
            </w:pPr>
            <w:r>
              <w:rPr>
                <w:rFonts w:ascii="Arial" w:cs="Arial" w:eastAsia="Arial" w:hAnsi="Arial"/>
                <w:sz w:val="18"/>
                <w:szCs w:val="18"/>
                <w:b w:val="1"/>
                <w:bCs w:val="1"/>
                <w:color w:val="auto"/>
              </w:rPr>
              <w:t>Balance sheet classification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80" w:type="dxa"/>
            <w:vAlign w:val="bottom"/>
            <w:gridSpan w:val="4"/>
          </w:tcPr>
          <w:p>
            <w:pPr>
              <w:jc w:val="center"/>
              <w:ind w:right="90"/>
              <w:spacing w:after="0"/>
              <w:rPr>
                <w:sz w:val="20"/>
                <w:szCs w:val="20"/>
                <w:color w:val="auto"/>
              </w:rPr>
            </w:pPr>
            <w:r>
              <w:rPr>
                <w:rFonts w:ascii="Arial" w:cs="Arial" w:eastAsia="Arial" w:hAnsi="Arial"/>
                <w:sz w:val="18"/>
                <w:szCs w:val="18"/>
                <w:color w:val="auto"/>
                <w:w w:val="91"/>
              </w:rPr>
              <w:t>(in thousands)</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6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Other assets (long term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23"/>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Derivatives designated as hedging</w:t>
            </w:r>
          </w:p>
        </w:tc>
        <w:tc>
          <w:tcPr>
            <w:tcW w:w="3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Notional Amount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Fair Value (a)</w:t>
            </w:r>
          </w:p>
        </w:tc>
        <w:tc>
          <w:tcPr>
            <w:tcW w:w="0" w:type="dxa"/>
            <w:vAlign w:val="bottom"/>
          </w:tcPr>
          <w:p>
            <w:pPr>
              <w:spacing w:after="0"/>
              <w:rPr>
                <w:sz w:val="1"/>
                <w:szCs w:val="1"/>
                <w:color w:val="auto"/>
              </w:rPr>
            </w:pPr>
          </w:p>
        </w:tc>
      </w:tr>
      <w:tr>
        <w:trPr>
          <w:trHeight w:val="178"/>
        </w:trPr>
        <w:tc>
          <w:tcPr>
            <w:tcW w:w="3200" w:type="dxa"/>
            <w:vAlign w:val="bottom"/>
            <w:vMerge w:val="continue"/>
          </w:tcPr>
          <w:p>
            <w:pPr>
              <w:spacing w:after="0"/>
              <w:rPr>
                <w:sz w:val="15"/>
                <w:szCs w:val="15"/>
                <w:color w:val="auto"/>
              </w:rPr>
            </w:pPr>
          </w:p>
        </w:tc>
        <w:tc>
          <w:tcPr>
            <w:tcW w:w="3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instruments under ASC 815</w:t>
            </w:r>
          </w:p>
        </w:tc>
        <w:tc>
          <w:tcPr>
            <w:tcW w:w="3640" w:type="dxa"/>
            <w:vAlign w:val="bottom"/>
          </w:tcPr>
          <w:p>
            <w:pPr>
              <w:ind w:left="580"/>
              <w:spacing w:after="0"/>
              <w:rPr>
                <w:sz w:val="20"/>
                <w:szCs w:val="20"/>
                <w:color w:val="auto"/>
              </w:rPr>
            </w:pPr>
            <w:r>
              <w:rPr>
                <w:rFonts w:ascii="Arial" w:cs="Arial" w:eastAsia="Arial" w:hAnsi="Arial"/>
                <w:sz w:val="18"/>
                <w:szCs w:val="18"/>
                <w:b w:val="1"/>
                <w:bCs w:val="1"/>
                <w:color w:val="auto"/>
              </w:rPr>
              <w:t>Balance sheet classification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center"/>
              <w:ind w:right="110"/>
              <w:spacing w:after="0"/>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assets (long term liabilities)</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34,090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See Note 16 for the fair value measurements related to these financial instruments.</w:t>
      </w:r>
    </w:p>
    <w:p>
      <w:pPr>
        <w:spacing w:after="0" w:line="225"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All of the Company’s derivative instruments are designated as hedging instruments. 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16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three and six months ended June 30,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Derivatives in Hedging</w:t>
            </w:r>
          </w:p>
        </w:tc>
        <w:tc>
          <w:tcPr>
            <w:tcW w:w="300" w:type="dxa"/>
            <w:vAlign w:val="bottom"/>
          </w:tcPr>
          <w:p>
            <w:pPr>
              <w:spacing w:after="0"/>
              <w:rPr>
                <w:sz w:val="18"/>
                <w:szCs w:val="18"/>
                <w:color w:val="auto"/>
              </w:rPr>
            </w:pPr>
          </w:p>
        </w:tc>
        <w:tc>
          <w:tcPr>
            <w:tcW w:w="5500" w:type="dxa"/>
            <w:vAlign w:val="bottom"/>
            <w:gridSpan w:val="8"/>
          </w:tcPr>
          <w:p>
            <w:pPr>
              <w:jc w:val="center"/>
              <w:ind w:right="230"/>
              <w:spacing w:after="0"/>
              <w:rPr>
                <w:sz w:val="20"/>
                <w:szCs w:val="20"/>
                <w:color w:val="auto"/>
              </w:rPr>
            </w:pPr>
            <w:r>
              <w:rPr>
                <w:rFonts w:ascii="Arial" w:cs="Arial" w:eastAsia="Arial" w:hAnsi="Arial"/>
                <w:sz w:val="18"/>
                <w:szCs w:val="18"/>
                <w:b w:val="1"/>
                <w:bCs w:val="1"/>
                <w:color w:val="auto"/>
                <w:w w:val="90"/>
              </w:rPr>
              <w:t>Amount of gain (loss) recognized in OCI on derivative</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Relationships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0"/>
              </w:rPr>
              <w:t>(effective portion)</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6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0"/>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(in thousands)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bl>
    <w:p>
      <w:pPr>
        <w:spacing w:after="0" w:line="202"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following table summarizes the reclassifications out of accumulated other comprehensive loss for the three and six months ended June 30,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b w:val="1"/>
                <w:bCs w:val="1"/>
                <w:color w:val="auto"/>
              </w:rPr>
              <w:t>Details about AOCI</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92"/>
              </w:rPr>
              <w:t>Amount reclassified from AOCI</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tcPr>
          <w:p>
            <w:pPr>
              <w:spacing w:after="0"/>
              <w:rPr>
                <w:sz w:val="20"/>
                <w:szCs w:val="20"/>
                <w:color w:val="auto"/>
              </w:rPr>
            </w:pPr>
            <w:r>
              <w:rPr>
                <w:rFonts w:ascii="Arial" w:cs="Arial" w:eastAsia="Arial" w:hAnsi="Arial"/>
                <w:sz w:val="18"/>
                <w:szCs w:val="18"/>
                <w:b w:val="1"/>
                <w:bCs w:val="1"/>
                <w:color w:val="auto"/>
              </w:rPr>
              <w:t>Components</w:t>
            </w: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jc w:val="center"/>
              <w:ind w:left="10"/>
              <w:spacing w:after="0"/>
              <w:rPr>
                <w:sz w:val="20"/>
                <w:szCs w:val="20"/>
                <w:color w:val="auto"/>
              </w:rPr>
            </w:pPr>
            <w:r>
              <w:rPr>
                <w:rFonts w:ascii="Arial" w:cs="Arial" w:eastAsia="Arial" w:hAnsi="Arial"/>
                <w:sz w:val="18"/>
                <w:szCs w:val="18"/>
                <w:b w:val="1"/>
                <w:bCs w:val="1"/>
                <w:color w:val="auto"/>
                <w:w w:val="89"/>
              </w:rPr>
              <w:t>into income (effective portion)</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amount reclassified</w:t>
            </w: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2260" w:type="dxa"/>
            <w:vAlign w:val="bottom"/>
            <w:gridSpan w:val="3"/>
          </w:tcPr>
          <w:p>
            <w:pPr>
              <w:jc w:val="right"/>
              <w:ind w:right="50"/>
              <w:spacing w:after="0" w:line="205" w:lineRule="exact"/>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3"/>
          </w:tcPr>
          <w:p>
            <w:pPr>
              <w:jc w:val="center"/>
              <w:ind w:right="190"/>
              <w:spacing w:after="0" w:line="205"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from AOCI</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into income (effective portion)</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5"/>
          </w:tcPr>
          <w:p>
            <w:pPr>
              <w:jc w:val="center"/>
              <w:ind w:left="10"/>
              <w:spacing w:after="0"/>
              <w:rPr>
                <w:sz w:val="20"/>
                <w:szCs w:val="20"/>
                <w:color w:val="auto"/>
              </w:rPr>
            </w:pPr>
            <w:r>
              <w:rPr>
                <w:rFonts w:ascii="Arial" w:cs="Arial" w:eastAsia="Arial" w:hAnsi="Arial"/>
                <w:sz w:val="18"/>
                <w:szCs w:val="18"/>
                <w:color w:val="auto"/>
                <w:w w:val="89"/>
              </w:rPr>
              <w:t>(in thousands)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19</w:t>
            </w:r>
          </w:p>
        </w:tc>
        <w:tc>
          <w:tcPr>
            <w:tcW w:w="1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As of June 30, 2019, $0.2 million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1100" w:hanging="1092"/>
        <w:spacing w:after="0"/>
        <w:tabs>
          <w:tab w:leader="none" w:pos="11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3—Unobservable inputs based on the Company’s own assumptions.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fair value hierarchy for those assets or liabilities measured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w w:val="96"/>
              </w:rPr>
              <w:t>Fair Value as of June 30, 2019</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vMerge w:val="continue"/>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Assets (Liabilities):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Interest rate swap agreements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458"/>
        </w:trPr>
        <w:tc>
          <w:tcPr>
            <w:tcW w:w="56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9"/>
              </w:rPr>
              <w:t>Fair Value as of December 31, 2018</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vMerge w:val="continue"/>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Assets (Liabilities):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Interest rate swap agreements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assets and liabilities carried at fair value include derivative instruments used to hedge the Company’s interest rate risks. The fair value of the Company’s interest rate swap agreements was based on LIBOR yield curves at the reporting date.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1100" w:hanging="1092"/>
        <w:spacing w:after="0"/>
        <w:tabs>
          <w:tab w:leader="none" w:pos="11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represents a disaggregation of revenue from contracts with customers. Revenue from continuing operations originating from the following geographic areas for the six months ended June 30, 2019 and 2018 consist of:</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tcBorders>
            <w:gridSpan w:val="7"/>
          </w:tcPr>
          <w:p>
            <w:pPr>
              <w:jc w:val="right"/>
              <w:ind w:right="390"/>
              <w:spacing w:after="0"/>
              <w:rPr>
                <w:sz w:val="20"/>
                <w:szCs w:val="20"/>
                <w:color w:val="auto"/>
              </w:rPr>
            </w:pPr>
            <w:r>
              <w:rPr>
                <w:rFonts w:ascii="Arial" w:cs="Arial" w:eastAsia="Arial" w:hAnsi="Arial"/>
                <w:sz w:val="18"/>
                <w:szCs w:val="18"/>
                <w:b w:val="1"/>
                <w:bCs w:val="1"/>
                <w:color w:val="auto"/>
                <w:w w:val="99"/>
              </w:rPr>
              <w:t>Three Months Ended June 30, 2019</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restart"/>
          </w:tcPr>
          <w:p>
            <w:pPr>
              <w:jc w:val="right"/>
              <w:ind w:right="25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ind w:right="250"/>
              <w:spacing w:after="0"/>
              <w:rPr>
                <w:sz w:val="20"/>
                <w:szCs w:val="20"/>
                <w:color w:val="auto"/>
              </w:rPr>
            </w:pPr>
            <w:r>
              <w:rPr>
                <w:rFonts w:ascii="Arial" w:cs="Arial" w:eastAsia="Arial" w:hAnsi="Arial"/>
                <w:sz w:val="18"/>
                <w:szCs w:val="18"/>
                <w:color w:val="auto"/>
              </w:rPr>
              <w:t>United</w:t>
            </w: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w w:val="96"/>
              </w:rPr>
              <w:t>(in thousands)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w w:val="91"/>
              </w:rPr>
              <w:t>Rest of the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States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Kingdom</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Germany</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world</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28,343</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maintenance and warranty contracts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2,635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29,584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tcBorders>
            <w:gridSpan w:val="7"/>
          </w:tcPr>
          <w:p>
            <w:pPr>
              <w:jc w:val="right"/>
              <w:ind w:right="390"/>
              <w:spacing w:after="0"/>
              <w:rPr>
                <w:sz w:val="20"/>
                <w:szCs w:val="20"/>
                <w:color w:val="auto"/>
              </w:rPr>
            </w:pPr>
            <w:r>
              <w:rPr>
                <w:rFonts w:ascii="Arial" w:cs="Arial" w:eastAsia="Arial" w:hAnsi="Arial"/>
                <w:sz w:val="18"/>
                <w:szCs w:val="18"/>
                <w:b w:val="1"/>
                <w:bCs w:val="1"/>
                <w:color w:val="auto"/>
                <w:w w:val="99"/>
              </w:rPr>
              <w:t>Three Months Ended June 30, 2018</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restart"/>
          </w:tcPr>
          <w:p>
            <w:pPr>
              <w:jc w:val="right"/>
              <w:ind w:right="25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ind w:right="250"/>
              <w:spacing w:after="0"/>
              <w:rPr>
                <w:sz w:val="20"/>
                <w:szCs w:val="20"/>
                <w:color w:val="auto"/>
              </w:rPr>
            </w:pPr>
            <w:r>
              <w:rPr>
                <w:rFonts w:ascii="Arial" w:cs="Arial" w:eastAsia="Arial" w:hAnsi="Arial"/>
                <w:sz w:val="18"/>
                <w:szCs w:val="18"/>
                <w:color w:val="auto"/>
              </w:rPr>
              <w:t>United</w:t>
            </w: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w w:val="96"/>
              </w:rPr>
              <w:t>(in thousands)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w w:val="91"/>
              </w:rPr>
              <w:t>Rest of the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States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Kingdom</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Germany</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world</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30,008</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maintenance and warranty contracts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21,682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31,522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tcBorders>
            <w:gridSpan w:val="7"/>
          </w:tcPr>
          <w:p>
            <w:pPr>
              <w:jc w:val="right"/>
              <w:ind w:right="510"/>
              <w:spacing w:after="0"/>
              <w:rPr>
                <w:sz w:val="20"/>
                <w:szCs w:val="20"/>
                <w:color w:val="auto"/>
              </w:rPr>
            </w:pPr>
            <w:r>
              <w:rPr>
                <w:rFonts w:ascii="Arial" w:cs="Arial" w:eastAsia="Arial" w:hAnsi="Arial"/>
                <w:sz w:val="18"/>
                <w:szCs w:val="18"/>
                <w:b w:val="1"/>
                <w:bCs w:val="1"/>
                <w:color w:val="auto"/>
              </w:rPr>
              <w:t>Six Months Ended June 30, 2019</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restart"/>
          </w:tcPr>
          <w:p>
            <w:pPr>
              <w:jc w:val="right"/>
              <w:ind w:right="25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ind w:right="250"/>
              <w:spacing w:after="0"/>
              <w:rPr>
                <w:sz w:val="20"/>
                <w:szCs w:val="20"/>
                <w:color w:val="auto"/>
              </w:rPr>
            </w:pPr>
            <w:r>
              <w:rPr>
                <w:rFonts w:ascii="Arial" w:cs="Arial" w:eastAsia="Arial" w:hAnsi="Arial"/>
                <w:sz w:val="18"/>
                <w:szCs w:val="18"/>
                <w:color w:val="auto"/>
              </w:rPr>
              <w:t>United</w:t>
            </w: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w w:val="96"/>
              </w:rPr>
              <w:t>(in thousands)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w w:val="91"/>
              </w:rPr>
              <w:t>Rest of the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States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Kingdom</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Germany</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world</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and accessories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55,101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maintenance and warranty contracts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41,644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5,954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57,786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tcBorders>
            <w:gridSpan w:val="7"/>
          </w:tcPr>
          <w:p>
            <w:pPr>
              <w:jc w:val="right"/>
              <w:ind w:right="510"/>
              <w:spacing w:after="0"/>
              <w:rPr>
                <w:sz w:val="20"/>
                <w:szCs w:val="20"/>
                <w:color w:val="auto"/>
              </w:rPr>
            </w:pPr>
            <w:r>
              <w:rPr>
                <w:rFonts w:ascii="Arial" w:cs="Arial" w:eastAsia="Arial" w:hAnsi="Arial"/>
                <w:sz w:val="18"/>
                <w:szCs w:val="18"/>
                <w:b w:val="1"/>
                <w:bCs w:val="1"/>
                <w:color w:val="auto"/>
              </w:rPr>
              <w:t>Six Months Ended June 30, 2018</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restart"/>
          </w:tcPr>
          <w:p>
            <w:pPr>
              <w:jc w:val="right"/>
              <w:ind w:right="25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ind w:right="250"/>
              <w:spacing w:after="0"/>
              <w:rPr>
                <w:sz w:val="20"/>
                <w:szCs w:val="20"/>
                <w:color w:val="auto"/>
              </w:rPr>
            </w:pPr>
            <w:r>
              <w:rPr>
                <w:rFonts w:ascii="Arial" w:cs="Arial" w:eastAsia="Arial" w:hAnsi="Arial"/>
                <w:sz w:val="18"/>
                <w:szCs w:val="18"/>
                <w:color w:val="auto"/>
              </w:rPr>
              <w:t>United</w:t>
            </w: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w w:val="96"/>
              </w:rPr>
              <w:t>(in thousands)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w w:val="91"/>
              </w:rPr>
              <w:t>Rest of the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States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Kingdom</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Germany</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world</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and accessories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55,688</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maintenance and warranty contracts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38,725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58,281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of June 30, 2019 and December 31, 2018, the Company had approximately $3.5 million and $3.8 million, respectively, in deferred revenue comprised of revenue deferred from service contracts and revenue deferred from advance payments.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Changes in deferred revenue from service contracts and advance payments from customers during the six months ended June 30, 2019 and 2018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880" w:type="dxa"/>
            <w:vAlign w:val="bottom"/>
            <w:tcBorders>
              <w:top w:val="single" w:sz="8" w:color="auto"/>
              <w:bottom w:val="single" w:sz="8" w:color="auto"/>
            </w:tcBorders>
            <w:gridSpan w:val="7"/>
          </w:tcPr>
          <w:p>
            <w:pPr>
              <w:jc w:val="right"/>
              <w:ind w:right="710"/>
              <w:spacing w:after="0"/>
              <w:rPr>
                <w:sz w:val="20"/>
                <w:szCs w:val="20"/>
                <w:color w:val="auto"/>
              </w:rPr>
            </w:pPr>
            <w:r>
              <w:rPr>
                <w:rFonts w:ascii="Arial" w:cs="Arial" w:eastAsia="Arial" w:hAnsi="Arial"/>
                <w:sz w:val="18"/>
                <w:szCs w:val="18"/>
                <w:b w:val="1"/>
                <w:bCs w:val="1"/>
                <w:color w:val="auto"/>
              </w:rPr>
              <w:t>Three Months Ended June 30, 2019</w:t>
            </w:r>
          </w:p>
        </w:tc>
      </w:tr>
      <w:tr>
        <w:trPr>
          <w:trHeight w:val="195"/>
        </w:trPr>
        <w:tc>
          <w:tcPr>
            <w:tcW w:w="7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Customer</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Service Contracts</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Advances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3,715</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Deferral of revenue</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421</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deferred revenue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4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3,532</w:t>
            </w: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880" w:type="dxa"/>
            <w:vAlign w:val="bottom"/>
            <w:tcBorders>
              <w:top w:val="single" w:sz="8" w:color="auto"/>
              <w:bottom w:val="single" w:sz="8" w:color="auto"/>
            </w:tcBorders>
            <w:gridSpan w:val="8"/>
          </w:tcPr>
          <w:p>
            <w:pPr>
              <w:jc w:val="center"/>
              <w:ind w:right="350"/>
              <w:spacing w:after="0"/>
              <w:rPr>
                <w:sz w:val="20"/>
                <w:szCs w:val="20"/>
                <w:color w:val="auto"/>
              </w:rPr>
            </w:pPr>
            <w:r>
              <w:rPr>
                <w:rFonts w:ascii="Arial" w:cs="Arial" w:eastAsia="Arial" w:hAnsi="Arial"/>
                <w:sz w:val="18"/>
                <w:szCs w:val="18"/>
                <w:b w:val="1"/>
                <w:bCs w:val="1"/>
                <w:color w:val="auto"/>
                <w:w w:val="90"/>
              </w:rPr>
              <w:t>Three Months Ended June 30, 2018</w:t>
            </w:r>
          </w:p>
        </w:tc>
      </w:tr>
      <w:tr>
        <w:trPr>
          <w:trHeight w:val="195"/>
        </w:trPr>
        <w:tc>
          <w:tcPr>
            <w:tcW w:w="7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1"/>
              </w:rPr>
              <w:t>(in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Customer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w w:val="92"/>
              </w:rPr>
              <w:t>Service Contracts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Advances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44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3,853</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Addition due to business combination</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Deferral of revenue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Recognition of deferred revenue</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3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440" w:type="dxa"/>
            <w:vAlign w:val="bottom"/>
            <w:tcBorders>
              <w:bottom w:val="single" w:sz="8" w:color="auto"/>
            </w:tcBorders>
          </w:tcPr>
          <w:p>
            <w:pPr>
              <w:jc w:val="right"/>
              <w:ind w:right="2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1,694</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3,547</w:t>
            </w: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0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 2019</w:t>
            </w:r>
          </w:p>
        </w:tc>
        <w:tc>
          <w:tcPr>
            <w:tcW w:w="880" w:type="dxa"/>
            <w:vAlign w:val="bottom"/>
            <w:tcBorders>
              <w:top w:val="single" w:sz="8" w:color="auto"/>
              <w:bottom w:val="single" w:sz="8" w:color="auto"/>
            </w:tcBorders>
          </w:tcPr>
          <w:p>
            <w:pPr>
              <w:spacing w:after="0"/>
              <w:rPr>
                <w:sz w:val="19"/>
                <w:szCs w:val="19"/>
                <w:color w:val="auto"/>
              </w:rPr>
            </w:pPr>
          </w:p>
        </w:tc>
      </w:tr>
      <w:tr>
        <w:trPr>
          <w:trHeight w:val="195"/>
        </w:trPr>
        <w:tc>
          <w:tcPr>
            <w:tcW w:w="7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Customer</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7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Service Contracts</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Advances</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Total</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Deferral of revenue</w:t>
            </w: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1,377</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deferred revenue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r>
      <w:tr>
        <w:trPr>
          <w:trHeight w:val="23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4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3,532</w:t>
            </w: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0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 2018</w:t>
            </w:r>
          </w:p>
        </w:tc>
        <w:tc>
          <w:tcPr>
            <w:tcW w:w="8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Customer</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Service Contracts</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Advances</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8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Addition due to business combination</w:t>
            </w:r>
          </w:p>
        </w:tc>
        <w:tc>
          <w:tcPr>
            <w:tcW w:w="2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Deferral of revenue</w:t>
            </w:r>
          </w:p>
        </w:tc>
        <w:tc>
          <w:tcPr>
            <w:tcW w:w="2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Recognition of deferred revenue</w:t>
            </w:r>
          </w:p>
        </w:tc>
        <w:tc>
          <w:tcPr>
            <w:tcW w:w="2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28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2820" w:type="dxa"/>
            <w:vAlign w:val="bottom"/>
          </w:tcPr>
          <w:p>
            <w:pPr>
              <w:spacing w:after="0"/>
              <w:rPr>
                <w:sz w:val="19"/>
                <w:szCs w:val="19"/>
                <w:color w:val="auto"/>
              </w:rPr>
            </w:pPr>
          </w:p>
        </w:tc>
        <w:tc>
          <w:tcPr>
            <w:tcW w:w="440" w:type="dxa"/>
            <w:vAlign w:val="bottom"/>
            <w:tcBorders>
              <w:bottom w:val="single" w:sz="8" w:color="auto"/>
            </w:tcBorders>
          </w:tcPr>
          <w:p>
            <w:pPr>
              <w:jc w:val="right"/>
              <w:ind w:right="2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1,694</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820" w:type="dxa"/>
            <w:vAlign w:val="bottom"/>
            <w:vMerge w:val="restart"/>
          </w:tcPr>
          <w:p>
            <w:pPr>
              <w:jc w:val="right"/>
              <w:ind w:right="1210"/>
              <w:spacing w:after="0"/>
              <w:rPr>
                <w:sz w:val="20"/>
                <w:szCs w:val="20"/>
                <w:color w:val="auto"/>
              </w:rPr>
            </w:pPr>
            <w:r>
              <w:rPr>
                <w:rFonts w:ascii="Arial" w:cs="Arial" w:eastAsia="Arial" w:hAnsi="Arial"/>
                <w:sz w:val="18"/>
                <w:szCs w:val="18"/>
                <w:color w:val="auto"/>
              </w:rPr>
              <w:t>24</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2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80" w:type="dxa"/>
            <w:vAlign w:val="bottom"/>
            <w:shd w:val="clear" w:color="auto" w:fill="000000"/>
          </w:tcPr>
          <w:p>
            <w:pPr>
              <w:spacing w:after="0"/>
              <w:rPr>
                <w:sz w:val="5"/>
                <w:szCs w:val="5"/>
                <w:color w:val="auto"/>
              </w:rPr>
            </w:pPr>
          </w:p>
        </w:tc>
        <w:tc>
          <w:tcPr>
            <w:tcW w:w="28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40" w:type="dxa"/>
            <w:vAlign w:val="bottom"/>
            <w:tcBorders>
              <w:top w:val="single" w:sz="8" w:color="auto"/>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60" w:type="dxa"/>
            <w:vAlign w:val="bottom"/>
            <w:gridSpan w:val="4"/>
          </w:tcPr>
          <w:p>
            <w:pPr>
              <w:jc w:val="right"/>
              <w:ind w:right="250"/>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Addition due to business combination</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Bad debt expense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Charge-offs and other recoveries</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(329)</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7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780" w:type="dxa"/>
            <w:vAlign w:val="bottom"/>
            <w:tcBorders>
              <w:bottom w:val="single" w:sz="8" w:color="auto"/>
            </w:tcBorders>
          </w:tcPr>
          <w:p>
            <w:pPr>
              <w:jc w:val="right"/>
              <w:ind w:right="616"/>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521</w:t>
            </w: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18.</w:t>
            </w:r>
          </w:p>
        </w:tc>
        <w:tc>
          <w:tcPr>
            <w:tcW w:w="37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Income Tax</w:t>
            </w: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gridSpan w:val="2"/>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Income tax benefit from continuing operations was approximately $0.9 million and $0.4 million for the three months ended June 30, 2019 and 2018, respectively. The effective tax rate on continuing operations was 78.2% for the three months ended June 30, 2019 compared with 19.8% for the same period in 2018.</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Income tax from continuing operations was a benefit of approximately $0.3 million and an expense of $0.2 million for the six months ended June 30, 2019 and 2018, respectively. The effective tax rate on continuing operations was 10.6% for the six months ended June 30, 2019, compared with (3.3%) for the same period in 2018.</w:t>
      </w:r>
    </w:p>
    <w:p>
      <w:pPr>
        <w:spacing w:after="0" w:line="18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The difference between the Company’s effective tax rates in 2019 and 2018 compared to the U.S. statutory tax rate of 21% is primarily due to the mix of year-to-date and forecasted income or losses in the U.S. and foreign tax jurisdictions, the impact of different tax rates in certain foreign jurisdictions, the impact of the inclusion of foreign income in U.S. taxable income under the GILTI (Global Intangible Low-Taxed Income) tax rules, limitations on interest expense deductions and, in 2018, certain non-deductible acquisition costs.</w:t>
      </w:r>
    </w:p>
    <w:p>
      <w:pPr>
        <w:spacing w:after="0" w:line="187" w:lineRule="exact"/>
        <w:rPr>
          <w:sz w:val="20"/>
          <w:szCs w:val="20"/>
          <w:color w:val="auto"/>
        </w:rPr>
      </w:pPr>
    </w:p>
    <w:p>
      <w:pPr>
        <w:ind w:right="420" w:firstLine="441"/>
        <w:spacing w:after="0" w:line="308" w:lineRule="auto"/>
        <w:rPr>
          <w:sz w:val="20"/>
          <w:szCs w:val="20"/>
          <w:color w:val="auto"/>
        </w:rPr>
      </w:pPr>
      <w:r>
        <w:rPr>
          <w:rFonts w:ascii="Arial" w:cs="Arial" w:eastAsia="Arial" w:hAnsi="Arial"/>
          <w:sz w:val="17"/>
          <w:szCs w:val="17"/>
          <w:color w:val="auto"/>
        </w:rPr>
        <w:t>For the three and six months ended June 30, 2019, no income tax expense or benefit was recorded for discontinued operations. For the comparable three-and six-month periods in 2018, income tax benefit recorded for discontinued operations was $10 thousand and $0.9 million.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Exchange Act). The forward-looking statements are principally, but not exclusively, contained in “Item 2: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and our plans, objectives, expectations and intentions that are not historical facts. In some cases, you can identify forward-looking statements by terms such as “may,” “will,” “should,” “could,” “would,” “seek,” “expects,” “plans,” “aim,” “anticipates,” “believes,” “estimates,” “projects,” “predicts,” “intends,” “think,” “potential,” “objectives,” “optimistic,” “strategy,” “goals,” “sees,” “new,” “guidance,” “future,” “continue,” “drive,” “growth,” “long-term,” “projects,” “develop,” “possible,” “emerging,” “opportunity,” “pursue”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reductions in customers’ research budgets or government funding; domestic and global economic conditions; economic, political and other risks associated with international revenues and operations; newly enacted U.S. government tax reform; currency exchange rate fluctuations; economic and political conditions generally and those affecting pharmaceutical and biotechnology industries; the seasonal nature of purchasing in Europe; our failure to expand into foreign countries and international markets; our inability to manage our growth; competition from our competitors; failure or inadequacy of the our information technology structure; impact of difficulties implementing our enterprise resource planning systems; information security incidents or cybersecurity breaches;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any restructuring initiatives; </w:t>
      </w:r>
      <w:r>
        <w:rPr>
          <w:rFonts w:ascii="Arial" w:cs="Arial" w:eastAsia="Arial" w:hAnsi="Arial"/>
          <w:sz w:val="16"/>
          <w:szCs w:val="16"/>
          <w:color w:val="auto"/>
        </w:rPr>
        <w:t>f</w:t>
      </w:r>
      <w:r>
        <w:rPr>
          <w:rFonts w:ascii="Arial" w:cs="Arial" w:eastAsia="Arial" w:hAnsi="Arial"/>
          <w:sz w:val="16"/>
          <w:szCs w:val="16"/>
          <w:i w:val="1"/>
          <w:iCs w:val="1"/>
          <w:color w:val="auto"/>
        </w:rPr>
        <w:t>ailure of any banking institution in which we deposit our funds or its failure to provide services; our substantial debt and our ability to meet the financial covenants contained in our credit facility; our failure to raise or generate capital necessary to implement our acquisition and expansion strategy; the failure of Biostage to indemnify us for any liabilities associated with Biostage’s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 intellectual property; exposure to product and other liability claims; global stock market volatility, currency exchange rate fluctuations and regulatory changes caused by the United Kingdom’s likely exit from the European Union; plus other factors described under the heading “Item 1A. Risk Factors” in our Annual Report on Form 10-K for the year ended December 31, 2018,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Harvard Bioscience, Inc., a Delaware corporation, is a global developer, manufacturer, marketer and provider of a broad range of scientific instruments, systems, software and services used to advance life science for basic research, drug discovery, physiologic monitoring, clinical and environmental testing. Our products and services are sold to thousands of researchers in over 100 countries through our global sales organization, websites, catalogs, and through distributors including Thermo Fisher Scientific Inc., VWR and other specialized distributors. We have sales and manufacturing operations in the United States, the United Kingdom, Germany, Sweden, Spain, France, Canada, Italy and China.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 and Dispositions</w:t>
      </w:r>
    </w:p>
    <w:p>
      <w:pPr>
        <w:spacing w:after="0" w:line="229"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In January 2018, we acquired Data Sciences International, Inc. (DSI) for approximately $71.1 million. 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our customer base into the biopharmaceutical and contract research organization markets and offers revenue and cost synergies. The acquisition also helped to increase our gross profit margins.</w:t>
      </w:r>
    </w:p>
    <w:p>
      <w:pPr>
        <w:spacing w:after="0" w:line="173"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In January 2018, we sold substantially all the assets of our wholly-owned subsidiary, Denville Scientific, Inc. (Denville) for approximately $20.0 million, which included a $3.0 million earn-out provision contingent on Denville achieving certain performance metrics with respect to 2018 and 2019 (with potential consideration of $2.0 million based on Denville’s performance in 2018, and $1.0 million based on its performance in 2019). During the three months ended June 30, 2019, it was determined that the first potential earn-out consideration amount of $2.0 million for 2018 was not earned, and therefore the maximum the Company may potentially receive of the original $3.0 million earn-out provision is now $1.0 million, which, as described above, is contingent on Denville achieving certain performance metrics.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Income</w:t>
      </w:r>
    </w:p>
    <w:p>
      <w:pPr>
        <w:spacing w:after="0" w:line="229" w:lineRule="exact"/>
        <w:rPr>
          <w:sz w:val="20"/>
          <w:szCs w:val="20"/>
          <w:color w:val="auto"/>
        </w:rPr>
      </w:pPr>
    </w:p>
    <w:p>
      <w:pPr>
        <w:ind w:right="220" w:firstLine="441"/>
        <w:spacing w:after="0" w:line="302" w:lineRule="auto"/>
        <w:rPr>
          <w:sz w:val="20"/>
          <w:szCs w:val="20"/>
          <w:color w:val="auto"/>
        </w:rPr>
      </w:pPr>
      <w:r>
        <w:rPr>
          <w:rFonts w:ascii="Arial" w:cs="Arial" w:eastAsia="Arial" w:hAnsi="Arial"/>
          <w:sz w:val="16"/>
          <w:szCs w:val="16"/>
          <w:color w:val="auto"/>
        </w:rPr>
        <w:t>As described above, on January 22, 2018, we sold substantially all the assets of our operating subsidiary, Denville. The sale of Denville represented a strategic shift that had a major effect on our operations and financial results. As such and pursuant to the accounting standards, the operating results of Denville for the three and six months ended June 30, 2018 have been presented in discontinued operations in the consolidated statements of operations. Therefore the amounts and percentages discussed below exclude the revenues and expenses of Denville unless otherwise described.</w:t>
      </w:r>
    </w:p>
    <w:p>
      <w:pPr>
        <w:spacing w:after="0" w:line="154"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We generate revenues by selling apparatus, instruments, devices, systems, software, services, and consumables through distributors,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direct sales force, websites and catalogs. Our websites and catalogs serve as the primary sales tools for our various product lines. These product lines include both proprietary manufactured products and complementary products from various suppliers. Our reputation as a leading producer in many of our manufactured products creates traffic to our website, enables cross-selling and facilitates the introduction of new products. We have field sales teams in the U.S., Canada, the United Kingdom, Germany, France, Spain and China. In those regions where we do not have a direct sales team, we use distributors. Revenues from direct sales to end users included in continuing operations represented approximately 71% and 58% of our revenues for the three months ended June 30, 2019 and 2018, respectively, and 70% and 56% of our revenues for the six months ended June 30, 2019 and 2018, respectively.</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right="260" w:firstLine="486"/>
        <w:spacing w:after="0" w:line="257" w:lineRule="auto"/>
        <w:rPr>
          <w:sz w:val="20"/>
          <w:szCs w:val="20"/>
          <w:color w:val="auto"/>
        </w:rPr>
      </w:pPr>
      <w:r>
        <w:rPr>
          <w:rFonts w:ascii="Arial" w:cs="Arial" w:eastAsia="Arial" w:hAnsi="Arial"/>
          <w:sz w:val="18"/>
          <w:szCs w:val="18"/>
          <w:color w:val="auto"/>
        </w:rPr>
        <w:t>Our products consist of instruments, consumables, and systems that are made up of several individual products. Sales prices of these products range from under $100 to over $100,000, although are mostly priced in the range of $5,000 to $15,000. They are mainly scientific instruments like spectrophotometers and plate readers that analyze light to detect and quantify a wide range of molecular and cellular processes, or apparatus like gel electrophoresis units. Our products and services also include wireless monitors, data acquisition and analysis products and software, and ancillary services including post-contract customer support, training and installation.</w:t>
      </w:r>
    </w:p>
    <w:p>
      <w:pPr>
        <w:spacing w:after="0" w:line="188"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We use distributors for both our catalog products and our higher priced products, as well as for sales in locations where we do not have subsidiaries or where we have existing distributors in place from acquired businesses. For the three months ended June 30, 2019 and 2018, approximately 29% and 42% of our total revenues from continuing operations, respectively, were derived from sales to distributors. For the six months ended June 30, 2019 and 2018, approximately 30% and 44% of our total revenues from continuing operations, respectively, were derived from sales to distributors.</w:t>
      </w:r>
    </w:p>
    <w:p>
      <w:pPr>
        <w:spacing w:after="0" w:line="154"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Our revenues include complementary products we distribute in order to provide the researcher with a single source for equipment needed to conduct a particular experiment. For the three months ended June 30, 2019 and 2018, approximately 83% and 88% of our revenues from continuing operations, respectively, were derived from products we manufacture and approximately 17% and 12%, respectively, were derived from complementary products we distribute. For the six months ended June 30, 2019 and 2018, approximately 84% and 87% of our revenues from continuing operations, respectively, were derived from products we manufacture and approximately 16% and 13%, respectively, were derived from complementary products we distribute.</w:t>
      </w:r>
    </w:p>
    <w:p>
      <w:pPr>
        <w:spacing w:after="0" w:line="158" w:lineRule="exact"/>
        <w:rPr>
          <w:sz w:val="20"/>
          <w:szCs w:val="20"/>
          <w:color w:val="auto"/>
        </w:rPr>
      </w:pPr>
    </w:p>
    <w:p>
      <w:pPr>
        <w:ind w:right="420" w:firstLine="492"/>
        <w:spacing w:after="0" w:line="312" w:lineRule="auto"/>
        <w:rPr>
          <w:sz w:val="20"/>
          <w:szCs w:val="20"/>
          <w:color w:val="auto"/>
        </w:rPr>
      </w:pPr>
      <w:r>
        <w:rPr>
          <w:rFonts w:ascii="Arial" w:cs="Arial" w:eastAsia="Arial" w:hAnsi="Arial"/>
          <w:sz w:val="16"/>
          <w:szCs w:val="16"/>
          <w:color w:val="auto"/>
        </w:rPr>
        <w:t>For the three months ended June 30, 2019 and 2018, approximately 26% and 31% of our revenues from continuing operations, respectively, were derived from sales made by our non-United States operations. For the six months ended June 30, 2019 and 2018, approximately 28% and 34% of our revenues from continuing operations, respectively, were derived from sales made by our non-United States operations</w:t>
      </w:r>
    </w:p>
    <w:p>
      <w:pPr>
        <w:spacing w:after="0" w:line="14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includes material, labor and manufacturing overhead costs, obsolescence charges, packaging costs, warranty</w:t>
      </w:r>
      <w:r>
        <w:rPr>
          <w:rFonts w:ascii="Arial" w:cs="Arial" w:eastAsia="Arial" w:hAnsi="Arial"/>
          <w:sz w:val="16"/>
          <w:szCs w:val="16"/>
          <w:i w:val="1"/>
          <w:iCs w:val="1"/>
          <w:color w:val="auto"/>
        </w:rPr>
        <w:t xml:space="preserve"> </w:t>
      </w:r>
      <w:r>
        <w:rPr>
          <w:rFonts w:ascii="Arial" w:cs="Arial" w:eastAsia="Arial" w:hAnsi="Arial"/>
          <w:sz w:val="16"/>
          <w:szCs w:val="16"/>
          <w:color w:val="auto"/>
        </w:rPr>
        <w:t>costs, shipping costs and royalties. Our cost of revenues may vary over time, including based on the mix of products sold. We sell products that we manufacture and products that we purchase from third parties. The products that we purchase from third parties typically have a higher cost of revenues as a percent of revenues because the profit is effectively shared with the original manufacturer. We anticipate that our manufactured products will continue to have a lower cost of revenues as a percentage of revenues as compared with the cost of non-manufactured products for the foreseeable future. Additionally, our cost of revenues as a percent of revenues will vary based on mix of direct to end user sales and distributor sales, mix by product line and mix by geography.</w:t>
      </w:r>
    </w:p>
    <w:p>
      <w:pPr>
        <w:spacing w:after="0" w:line="165"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 consists primarily of salaries and related expenses for personnel in sales,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functions. We also incur costs for travel, trade shows, demonstration equipment, public relations and marketing materials, consisting primarily of the printing and distribution of our catalogs, supplements and the maintenance of our websites. We may from time to time expand our marketing efforts by employing additional technical marketing specialists in an effort to increase sales of selected categories of products. We may also from time to time expand our direct sales organizations in an effort to concentrate on key accounts or promote certain product lines.</w:t>
      </w:r>
    </w:p>
    <w:p>
      <w:pPr>
        <w:spacing w:after="0" w:line="158"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 consists primarily of salaries and other related costs for personnel 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finance, accounting, information technology and human resource functions. Other costs include professional fees for legal and accounting services, information technology infrastructure, facility costs, investor relations, insurance and provision for doubtful accounts.</w:t>
      </w:r>
    </w:p>
    <w:p>
      <w:pPr>
        <w:spacing w:after="0" w:line="166"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 consists primarily of salaries and related expenses for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to develop and enhance our products. Other research and development expense includes fees for consultants and outside service providers, and material costs for prototype and test units. We expense research and development costs as incurred. Grants received from governmental entities related to research projects are accounted for as a reduction in research and development expense over the period of the project. We believe that investment in product development is a competitive necessity and plan to continue to make these investments in order to realize the potential of new technologies that we develop, license or acquire for existing markets.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8" w:name="page29"/>
    <w:bookmarkEnd w:id="28"/>
    <w:p>
      <w:pPr>
        <w:ind w:right="220" w:firstLine="486"/>
        <w:spacing w:after="0" w:line="28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Stock-based compensation expense related to stock options, restricted stock units, restricted stock units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market condition and the employee stock purchase plan and was recorded as a component of cost of revenues, sales and marketing expenses, general and administrative expenses, research and development expenses, and income (loss) from discontinued operations.</w:t>
      </w:r>
    </w:p>
    <w:p>
      <w:pPr>
        <w:spacing w:after="0" w:line="166"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Stock-based compensation expense for the three months ended June 30, 2019 and 2018 was $0.6 million and $0.7 million, respectively. Stock-based compensation expense for the six months ended June 30, 2019 and 2018 was $1.2 million and $1.7 million, respectively. Included in stock-based compensation for the six months ended June 30, 2018 was $0.2 million related to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0"/>
              </w:rPr>
              <w:t>Three Months Ended</w:t>
            </w:r>
          </w:p>
        </w:tc>
        <w:tc>
          <w:tcPr>
            <w:tcW w:w="360" w:type="dxa"/>
            <w:vAlign w:val="bottom"/>
          </w:tcPr>
          <w:p>
            <w:pPr>
              <w:spacing w:after="0"/>
              <w:rPr>
                <w:sz w:val="19"/>
                <w:szCs w:val="19"/>
                <w:color w:val="auto"/>
              </w:rPr>
            </w:pPr>
          </w:p>
        </w:tc>
        <w:tc>
          <w:tcPr>
            <w:tcW w:w="134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Dollar</w:t>
            </w: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00" w:type="dxa"/>
            <w:vAlign w:val="bottom"/>
            <w:gridSpan w:val="3"/>
          </w:tcPr>
          <w:p>
            <w:pPr>
              <w:jc w:val="right"/>
              <w:ind w:right="790"/>
              <w:spacing w:after="0"/>
              <w:rPr>
                <w:sz w:val="20"/>
                <w:szCs w:val="20"/>
                <w:color w:val="auto"/>
              </w:rPr>
            </w:pPr>
            <w:r>
              <w:rPr>
                <w:rFonts w:ascii="Arial" w:cs="Arial" w:eastAsia="Arial" w:hAnsi="Arial"/>
                <w:sz w:val="18"/>
                <w:szCs w:val="18"/>
                <w:color w:val="auto"/>
              </w:rPr>
              <w:t>(dollars in thousands)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29,584</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31,522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(1,938)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Cost of revenues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13,629</w:t>
            </w:r>
          </w:p>
        </w:tc>
        <w:tc>
          <w:tcPr>
            <w:tcW w:w="4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16,167</w:t>
            </w:r>
          </w:p>
        </w:tc>
        <w:tc>
          <w:tcPr>
            <w:tcW w:w="36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(2,538)</w:t>
            </w:r>
          </w:p>
        </w:tc>
        <w:tc>
          <w:tcPr>
            <w:tcW w:w="128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5,770</w:t>
            </w:r>
          </w:p>
        </w:tc>
        <w:tc>
          <w:tcPr>
            <w:tcW w:w="4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6,309</w:t>
            </w:r>
          </w:p>
        </w:tc>
        <w:tc>
          <w:tcPr>
            <w:tcW w:w="36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(539)</w:t>
            </w: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4,809</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5,258</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(449)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2,771</w:t>
            </w:r>
          </w:p>
        </w:tc>
        <w:tc>
          <w:tcPr>
            <w:tcW w:w="4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2,758</w:t>
            </w:r>
          </w:p>
        </w:tc>
        <w:tc>
          <w:tcPr>
            <w:tcW w:w="36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1,436</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1,412</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Impairment charges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941</w:t>
            </w:r>
          </w:p>
        </w:tc>
        <w:tc>
          <w:tcPr>
            <w:tcW w:w="4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941</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1,360</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1,485</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Unless otherwise described, the amounts and percentages in the table above and the amounts and percentages discussed below exclude the revenues and expenses of Denville, which is presented in discontinued operations in the Consolidated Statements of Operations and Comprehensive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Revenues for the three months ended June 30, 2019 were $29.6 million, a decrease of approximately $1.9 million, or 6.1%, compared to revenues of $31.5 million for the three months ended June 30, 2018.</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decrease in revenue for the three months ended June 30, 2019 was primarily due to lower sales volume in Europe as well as lower volume with contract resource organizations due to customer consolidation. These reductions were partially offset by strong sales from a new product released by DSI. The impact of currency translation negatively impacted revenues in the period by approximately $0.5 million.</w:t>
      </w:r>
    </w:p>
    <w:p>
      <w:pPr>
        <w:spacing w:after="0" w:line="200" w:lineRule="exact"/>
        <w:rPr>
          <w:sz w:val="20"/>
          <w:szCs w:val="20"/>
          <w:color w:val="auto"/>
        </w:rPr>
      </w:pPr>
    </w:p>
    <w:p>
      <w:pPr>
        <w:spacing w:after="0" w:line="247" w:lineRule="exact"/>
        <w:rPr>
          <w:sz w:val="20"/>
          <w:szCs w:val="20"/>
          <w:color w:val="auto"/>
        </w:rPr>
      </w:pPr>
    </w:p>
    <w:p>
      <w:pPr>
        <w:jc w:val="center"/>
        <w:ind w:right="3300"/>
        <w:spacing w:after="0"/>
        <w:rPr>
          <w:sz w:val="20"/>
          <w:szCs w:val="20"/>
          <w:color w:val="auto"/>
        </w:rPr>
      </w:pPr>
      <w:r>
        <w:rPr>
          <w:rFonts w:ascii="Arial" w:cs="Arial" w:eastAsia="Arial" w:hAnsi="Arial"/>
          <w:sz w:val="18"/>
          <w:szCs w:val="18"/>
          <w:b w:val="1"/>
          <w:bCs w:val="1"/>
          <w:color w:val="auto"/>
        </w:rPr>
        <w:t>Reconciliation of Changes In Revenues</w:t>
      </w:r>
    </w:p>
    <w:p>
      <w:pPr>
        <w:spacing w:after="0" w:line="27" w:lineRule="exact"/>
        <w:rPr>
          <w:sz w:val="20"/>
          <w:szCs w:val="20"/>
          <w:color w:val="auto"/>
        </w:rPr>
      </w:pPr>
    </w:p>
    <w:p>
      <w:pPr>
        <w:jc w:val="center"/>
        <w:ind w:right="3300"/>
        <w:spacing w:after="0"/>
        <w:rPr>
          <w:sz w:val="20"/>
          <w:szCs w:val="20"/>
          <w:color w:val="auto"/>
        </w:rPr>
      </w:pPr>
      <w:r>
        <w:rPr>
          <w:rFonts w:ascii="Arial" w:cs="Arial" w:eastAsia="Arial" w:hAnsi="Arial"/>
          <w:sz w:val="18"/>
          <w:szCs w:val="18"/>
          <w:b w:val="1"/>
          <w:bCs w:val="1"/>
          <w:color w:val="auto"/>
        </w:rPr>
        <w:t>For the Three Months Ended June 30, 2019 Compared to the</w:t>
      </w:r>
    </w:p>
    <w:p>
      <w:pPr>
        <w:spacing w:after="0" w:line="9" w:lineRule="exact"/>
        <w:rPr>
          <w:sz w:val="20"/>
          <w:szCs w:val="20"/>
          <w:color w:val="auto"/>
        </w:rPr>
      </w:pPr>
    </w:p>
    <w:p>
      <w:pPr>
        <w:jc w:val="center"/>
        <w:ind w:right="3260"/>
        <w:spacing w:after="0"/>
        <w:rPr>
          <w:sz w:val="20"/>
          <w:szCs w:val="20"/>
          <w:color w:val="auto"/>
        </w:rPr>
      </w:pPr>
      <w:r>
        <w:rPr>
          <w:rFonts w:ascii="Arial" w:cs="Arial" w:eastAsia="Arial" w:hAnsi="Arial"/>
          <w:sz w:val="18"/>
          <w:szCs w:val="18"/>
          <w:b w:val="1"/>
          <w:bCs w:val="1"/>
          <w:color w:val="auto"/>
        </w:rPr>
        <w:t>Same Period of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3478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change, excluding foreign exchange effect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change, as reported (GAAP)</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firstLine="441"/>
        <w:spacing w:after="0" w:line="271"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the non-GAAP financial information included above, which is used by our management to internally evaluate our operating results, provides investors with an enhanced understanding of the underlying operations of the business, as it highlights the revenue performance of the business excluding the impact of fluctuating foreign currencies, which is outside of management’s control. The non-GAAP financial information provided in the table above should be considered in addition to, not as a substitute for, the financial information provided and presented in accordance with accounting principles generally accepted in the United States, or GAAP and may be different than other companies’ non-GAAP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Cost of revenues were $13.6 million for the three months ended June 30, 2019, a decrease of $2.5 million, or 15.7%, compared with $16.2 million for the three months ended June 30, 2018. The decrease in cost of revenues was primarily due to a $2.2 million charge recognized in cost of revenues related to a purchase accounting inventory fair value step up in connection with the DSI acquisition included in the three months ended June 30, 2018. Gross profit margin as a percentage of revenues increased to 53.9% for the three months ended June 30, 2019 compared with 48.7% for the three months ended June 30, 2018. The increase in gross profit margin was primarily attributable to the effect of the aforementioned $2.2 million charge related to a purchase accounting inventory fair value step up included in the three months ended June 30, 2018. Excluding the impact of this charge, gross profit margin declined primarily due to reduced fixed cost absorption associated with lower revenue as well as product mix.</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Sales and marketing expenses decreased $0.5 million or 8.5% to $5.8 million for the three months ended June 30, 2019 compared to $6.3 million during the same period in 2018. The decrease in these expenses was primarily due to decreases in employee-related expenses and variable sales costs as compared to the three months ended June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General and administrative expenses were $4.8 million for the three months ended June 30, 2019, a decrease of $0.4 million, or 8.5%, compared with $5.3 million for the three months ended June 30, 2018. The decrease was primarily due to lower employee-related costs and bad debt expenses in the three months ended June 30, 2019 as compared to the same period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Research and development expenses were $2.8 million for the three months ended June 30, 2019, and did not change materially as compared to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Amortization of intangible asset expenses was $1.4 million for the three months ended June 30, 2019 and 2018, respectively, remaining substantially unchanged in the two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During the three months ended June 30, 2019, we recognized an impairment charge of $0.9 million related to certain in-process research and development intangible assets as a result of our on-going evaluation of our capitalized research and development activities. There was no similar impairment charge recognized in the same period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Other expense, net, was $1.4 million and $1.5 million for the three months ended June 30, 2019 and 2018, respectively. Other expense, net, consisted primarily of interest expense which decreased slightly in the three months ended June 30, 2019 as compared to the same period in the prior year primarily due to lower outstanding debt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Income tax benefit from continuing operations was approximately $0.9 million and $0.4 million for the three months ended June 30, 2019 and 2018, respectively. The effective income tax rate was 78.2% and 19.8% for the three months ended June 30, 2019 and 2018, respectively.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firstLine="441"/>
        <w:spacing w:after="0" w:line="259" w:lineRule="auto"/>
        <w:rPr>
          <w:sz w:val="20"/>
          <w:szCs w:val="20"/>
          <w:color w:val="auto"/>
        </w:rPr>
      </w:pPr>
      <w:r>
        <w:rPr>
          <w:rFonts w:ascii="Arial" w:cs="Arial" w:eastAsia="Arial" w:hAnsi="Arial"/>
          <w:sz w:val="18"/>
          <w:szCs w:val="18"/>
          <w:color w:val="auto"/>
        </w:rPr>
        <w:t>The difference between our effective tax rates in 2019 and 2018 compared to the U.S. statutory tax rate of 21% is primarily due to the mix of year-to-date and forecasted income or losses in the U.S. and foreign tax jurisdictions, the impact of different tax rates in certain foreign jurisdictions, the impact of the inclusion of foreign income in U.S. taxable income under the GILTI (Global Intangible Low-Taxed Income) tax rules, limitations on interest expense deductions and, in 2018, certain non-deductible acquisition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On January 22, 2018, we sold substantially all the assets of Denville, for approximately $20.0 million, which included a $3.0 million earn-out provision (the Denville Transaction). Denville generated net income of $24 thousand for the three months ended June 30, 2018, which is presented in discontinued operations in the Consolidated Statements of Operations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90"/>
              </w:rPr>
              <w:t>Six Months Ended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Dollar</w:t>
            </w: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40" w:type="dxa"/>
            <w:vAlign w:val="bottom"/>
            <w:gridSpan w:val="3"/>
          </w:tcPr>
          <w:p>
            <w:pPr>
              <w:jc w:val="right"/>
              <w:ind w:right="630"/>
              <w:spacing w:after="0"/>
              <w:rPr>
                <w:sz w:val="20"/>
                <w:szCs w:val="20"/>
                <w:color w:val="auto"/>
              </w:rPr>
            </w:pPr>
            <w:r>
              <w:rPr>
                <w:rFonts w:ascii="Arial" w:cs="Arial" w:eastAsia="Arial" w:hAnsi="Arial"/>
                <w:sz w:val="18"/>
                <w:szCs w:val="18"/>
                <w:color w:val="auto"/>
                <w:w w:val="98"/>
              </w:rPr>
              <w:t>(dollars in thousands)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57,786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58,281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25,677</w:t>
            </w:r>
          </w:p>
        </w:tc>
        <w:tc>
          <w:tcPr>
            <w:tcW w:w="4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29,657</w:t>
            </w:r>
          </w:p>
        </w:tc>
        <w:tc>
          <w:tcPr>
            <w:tcW w:w="3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(3,980)</w:t>
            </w: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8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12,076</w:t>
            </w:r>
          </w:p>
        </w:tc>
        <w:tc>
          <w:tcPr>
            <w:tcW w:w="4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11,955</w:t>
            </w:r>
          </w:p>
        </w:tc>
        <w:tc>
          <w:tcPr>
            <w:tcW w:w="30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121</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10,612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10,642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5,506</w:t>
            </w:r>
          </w:p>
        </w:tc>
        <w:tc>
          <w:tcPr>
            <w:tcW w:w="4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5,160</w:t>
            </w:r>
          </w:p>
        </w:tc>
        <w:tc>
          <w:tcPr>
            <w:tcW w:w="30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346</w:t>
            </w: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2,866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2,515</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941</w:t>
            </w:r>
          </w:p>
        </w:tc>
        <w:tc>
          <w:tcPr>
            <w:tcW w:w="4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941</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3,034</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5,464</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(2,430)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1,820</w:t>
            </w:r>
          </w:p>
        </w:tc>
        <w:tc>
          <w:tcPr>
            <w:tcW w:w="30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(1,820)</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Unless otherwise described, the amounts and percentages in the table above and those amounts and percentages discussed below exclude the revenues and expenses of Denville, which is presented in discontinued operations in the Consolidated Statements of Operations and Comprehensive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Revenues for the six months ended June 30, 2019 were $57.8 million, a decrease of approximately $0.5 million, or 0.8%, compared to revenues of $58.3 million for the six months ended June 30, 2018.</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decrease in revenue for the six months ended June 30, 2019 is due to lower sales volume in Europe as well as lower volume with contract resource organizations due to customer consolidation. These reductions were partially offset by strong sales from a new product released by DSI. Offsetting the overall decrease, revenues for the six months ended June 30, 2019 included six months of revenues from DSI as compared to five months of revenues from DSI included in the six months ended June 30, 2018. The impact of currency translation negatively impacted revenues in the six months ended June 30, 2019 by approximately $1.3 million.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jc w:val="center"/>
        <w:ind w:right="3320"/>
        <w:spacing w:after="0"/>
        <w:rPr>
          <w:sz w:val="20"/>
          <w:szCs w:val="20"/>
          <w:color w:val="auto"/>
        </w:rPr>
      </w:pPr>
      <w:r>
        <w:rPr>
          <w:rFonts w:ascii="Arial" w:cs="Arial" w:eastAsia="Arial" w:hAnsi="Arial"/>
          <w:sz w:val="18"/>
          <w:szCs w:val="18"/>
          <w:b w:val="1"/>
          <w:bCs w:val="1"/>
          <w:color w:val="auto"/>
        </w:rPr>
        <w:t>Reconciliation of Changes In Revenues</w:t>
      </w:r>
    </w:p>
    <w:p>
      <w:pPr>
        <w:spacing w:after="0" w:line="27" w:lineRule="exact"/>
        <w:rPr>
          <w:sz w:val="20"/>
          <w:szCs w:val="20"/>
          <w:color w:val="auto"/>
        </w:rPr>
      </w:pPr>
    </w:p>
    <w:p>
      <w:pPr>
        <w:jc w:val="center"/>
        <w:ind w:right="3320"/>
        <w:spacing w:after="0"/>
        <w:rPr>
          <w:sz w:val="20"/>
          <w:szCs w:val="20"/>
          <w:color w:val="auto"/>
        </w:rPr>
      </w:pPr>
      <w:r>
        <w:rPr>
          <w:rFonts w:ascii="Arial" w:cs="Arial" w:eastAsia="Arial" w:hAnsi="Arial"/>
          <w:sz w:val="18"/>
          <w:szCs w:val="18"/>
          <w:b w:val="1"/>
          <w:bCs w:val="1"/>
          <w:color w:val="auto"/>
        </w:rPr>
        <w:t>For the Six Months Ended June 30, 2019 Compared to the</w:t>
      </w:r>
    </w:p>
    <w:p>
      <w:pPr>
        <w:spacing w:after="0" w:line="9" w:lineRule="exact"/>
        <w:rPr>
          <w:sz w:val="20"/>
          <w:szCs w:val="20"/>
          <w:color w:val="auto"/>
        </w:rPr>
      </w:pPr>
    </w:p>
    <w:p>
      <w:pPr>
        <w:jc w:val="center"/>
        <w:ind w:right="3260"/>
        <w:spacing w:after="0"/>
        <w:rPr>
          <w:sz w:val="20"/>
          <w:szCs w:val="20"/>
          <w:color w:val="auto"/>
        </w:rPr>
      </w:pPr>
      <w:r>
        <w:rPr>
          <w:rFonts w:ascii="Arial" w:cs="Arial" w:eastAsia="Arial" w:hAnsi="Arial"/>
          <w:sz w:val="18"/>
          <w:szCs w:val="18"/>
          <w:b w:val="1"/>
          <w:bCs w:val="1"/>
          <w:color w:val="auto"/>
        </w:rPr>
        <w:t>Same Period of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3478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change, excluding foreign exchange effect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DSI change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change, as reported (GAAP)</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the non-GAAP financial information included above, which is used by our management to internally evaluate our operating results, provides investors with an enhanced understanding of the underlying operations of the business, as it highlights the revenue performance of the business excluding the impact of fluctuating foreign currencies, which is outside of management’s control. The non-GAAP financial information provided in the table above should be considered in addition to, not as a substitute for, the financial information provided and presented in accordance with accounting principles generally accepted in the United States, or GAAP.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300" w:firstLine="441"/>
        <w:spacing w:after="0" w:line="291" w:lineRule="auto"/>
        <w:rPr>
          <w:sz w:val="20"/>
          <w:szCs w:val="20"/>
          <w:color w:val="auto"/>
        </w:rPr>
      </w:pPr>
      <w:r>
        <w:rPr>
          <w:rFonts w:ascii="Arial" w:cs="Arial" w:eastAsia="Arial" w:hAnsi="Arial"/>
          <w:sz w:val="16"/>
          <w:szCs w:val="16"/>
          <w:color w:val="auto"/>
        </w:rPr>
        <w:t>Cost of revenues decreased $4.0 million, or 13.4%, to $25.7 million for the six months ended June 30, 2019 compared with $29.7 million for the six months ended June 30, 2018. Gross profit margin as a percentage of revenues increased to 55.6% for the six months ended June 30, 2019 compared with</w:t>
      </w:r>
    </w:p>
    <w:p>
      <w:pPr>
        <w:ind w:right="20"/>
        <w:spacing w:after="0" w:line="302" w:lineRule="auto"/>
        <w:rPr>
          <w:sz w:val="20"/>
          <w:szCs w:val="20"/>
          <w:color w:val="auto"/>
        </w:rPr>
      </w:pPr>
      <w:r>
        <w:rPr>
          <w:rFonts w:ascii="Arial" w:cs="Arial" w:eastAsia="Arial" w:hAnsi="Arial"/>
          <w:sz w:val="16"/>
          <w:szCs w:val="16"/>
          <w:color w:val="auto"/>
        </w:rPr>
        <w:t>49.1% for the six months ended June 30, 2018. Of the $4.0 million increase in gross profit margin, approximately $3.7 million was attributable to the effect of a charge recognized in cost of revenues during the six-months period ended June 30, 2018 related to a purchase accounting inventory fair value step up amortization. This inventory fair value step up was fully recognized into cost of revenues over one inventory turn, or approximately six months.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Sales and marketing expenses increased $0.1 million or 1.0% to $12.1 million for the six months ended June 30, 2019 compared to $12.0 million during the same period in 2018. Sales and marketing expenses for the six months ended June 30, 2019 included six months of costs from DSI as compared to five months of costs from DSI in the six months ended June 30, 2018. The increase in costs in the six months ended June 30, 2019 were partially offset by decreases in employee-related expenses, variable sales costs and lower stock-based compensation as compared to the prior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General and administrative expenses were $10.6 million for each of the six months period ended June 30, 2019 and 2018. Costs for the six months ended June 30, 2019 included six months of costs from DSI as compared to five months of costs from DSI in the six months ended June 30, 2018. Other changes in the six months ended June 30, 2019 included decreases in employee-related expenses and stock-based compensation, which were partially offset by an increase in bad debt expenses in the period ended June 30, 2019, as compared to the six months ended June 30,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300" w:firstLine="441"/>
        <w:spacing w:after="0" w:line="259" w:lineRule="auto"/>
        <w:rPr>
          <w:sz w:val="20"/>
          <w:szCs w:val="20"/>
          <w:color w:val="auto"/>
        </w:rPr>
      </w:pPr>
      <w:r>
        <w:rPr>
          <w:rFonts w:ascii="Arial" w:cs="Arial" w:eastAsia="Arial" w:hAnsi="Arial"/>
          <w:sz w:val="18"/>
          <w:szCs w:val="18"/>
          <w:color w:val="auto"/>
        </w:rPr>
        <w:t>Research and development expenses were $5.5 million for the six months ended June 30, 2019, an increase of $0.3 million, or 6.7%, compared with $5.2 million for the six months ended June 30, 2018. The increase was primarily due to the impact of the acquisition of DSI, as the six months ended June 2019 included six months of research and development expenses from DSI as compared to five months of such expenses in the six months ended June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320" w:firstLine="441"/>
        <w:spacing w:after="0" w:line="259" w:lineRule="auto"/>
        <w:rPr>
          <w:sz w:val="20"/>
          <w:szCs w:val="20"/>
          <w:color w:val="auto"/>
        </w:rPr>
      </w:pPr>
      <w:r>
        <w:rPr>
          <w:rFonts w:ascii="Arial" w:cs="Arial" w:eastAsia="Arial" w:hAnsi="Arial"/>
          <w:sz w:val="18"/>
          <w:szCs w:val="18"/>
          <w:color w:val="auto"/>
        </w:rPr>
        <w:t>Amortization of intangible asset expenses was $2.9 million and $2.5 million for the six months ended June 30, 2019 and 2018, respectively. The increase of $0.4 million in amortization of intangible assets expense was primarily due to the impact of the DSI acquisition, as the six months ended June 2019 included six months of research and development expenses from DSI as compared to five months of such expenses in the six months ended June 30, 2018.</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During the six months ended June 30, 2019, we recognized an impairment charge of $0.9 million related to certain in-process research and development intangible assets as a result of our on-going evaluation of our capitalized research and development activities. There was no similar impairment charge recognized in the same period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Other expense, net, was $3.0 million and $5.5 million for the three months ended June 30, 2019 and 2018, respectively. The decrease of $2.5 million in other expense, net was primarily due to transaction costs incurred in the six months ended June 30, 2018 of approximately $2.8 million related to the acquisition of DSI and divestiture of Denville. These decreases were partially offset by an increase in interest expense as a result of higher average debt balances during the current period compared to the same period last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Income tax from continuing operations was a benefit of $0.3 million and an expense of $0.2 million for the six months ended June 30, 2019 and 2018, respectively. The effective income tax rate was 10.6% for the six months ended June 30, 2019, compared with (3.3%) for the same period in 2018.</w:t>
      </w:r>
    </w:p>
    <w:p>
      <w:pPr>
        <w:spacing w:after="0" w:line="124"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The difference between our effective rates in 2019 and 2018 compared to the U.S. statutory tax rate of 21% is primarily due to the mix of year-to-date and forecasted income or losses in the U.S. and foreign tax jurisdictions, the impact of different tax rates in certain foreign jurisdictions, the impact of inclusion of foreign income in U.S. taxable income under the GILTI (Global Intangible Low-Taxed Income) tax rules, limitations on interest expense deductions, and in 2018, certain non-deductible acquisition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Discontinued operations resulted in income of $1.8 million for the six months ended June 30, 2018. On January 22, 2018, we sold substantially all the assets of Denville, for approximately $20.0 million, which included a $3.0 million earn-out provision contingent on Denville achieving certain performance metrics with respect to 2018 and 2019 (the Denville Transaction). The results of Denville were presented in discontinued operations for both the three and six months ended June 30, 2018. The income from discontinued operations for the six months ended June 30, 2018 included a gain on sale of Denville of $1.3 million and an income tax benefit of $0.9 million. The income tax benefit was mainly due to the reversal of deferred tax liabilities associated with indefinite lived intangibles following the Denville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Historically, we have financed our business through cash provided by operating activities, bank borrowings, and the issuance of common stock. Our liquidity requirements arise primarily from investing activities, including funding of acquisitions, and capital expenditures.</w:t>
      </w:r>
    </w:p>
    <w:p>
      <w:pPr>
        <w:spacing w:after="0" w:line="147"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On January 22, 2018, we sold the operations of Denville, and received approximately $15.7 million, net of cash on hand. Simultaneously, we retired the existing debt balances of approximately $11.9 million. On January 31, 2018, we entered into a financing agreement, which comprised of a $64.0 million term loan and up to a $25.0 million line of credit. Finally, on January 31, 2018, we acquired DSI for approximately $67.4 million, net of cash acquired.</w:t>
      </w:r>
    </w:p>
    <w:p>
      <w:pPr>
        <w:spacing w:after="0" w:line="147"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As of June 30, 2019, we held cash and cash equivalents from continuing operations of $4.9 million, compared with $8.2 million at December 31, 2018. As of June 30, 2019 and December 31, 2018, we had $54.8 million and $60.8 million of borrowings outstanding under our credit facility, net of deferred financing costs, respectively. Total debt, net of cash and cash equivalents was $49.9 million at June 30, 2019, compared to $52.6 million at December 31, 2018. In addition, we had an underfunded United Kingdom pension liability of approximately $0.9 million at June 30, 2019 and December 31, 2018, respectively.</w:t>
      </w:r>
    </w:p>
    <w:p>
      <w:pPr>
        <w:spacing w:after="0" w:line="188"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As of June 30, 2019 and December 31, 2018, cash and cash equivalents held by our foreign subsidiaries was $2.3 million and $3.2 million, respectively. As a result of the 2017 Tax Act, post-2017 dividends from qualifying Controlled Foreign Corporations are no longer taxed in the U.S. However, any dividends to the U.S. must still be assessed for withholding tax liability as well as income state tax liability. As a result of our assertion, we determined the potential state income tax liability related to available cash balances at foreign subsidiaries would be immaterial in both 2019 and 2018.</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3" w:name="page34"/>
    <w:bookmarkEnd w:id="33"/>
    <w:p>
      <w:pPr>
        <w:jc w:val="center"/>
        <w:ind w:right="1320"/>
        <w:spacing w:after="0"/>
        <w:rPr>
          <w:sz w:val="20"/>
          <w:szCs w:val="20"/>
          <w:color w:val="auto"/>
        </w:rPr>
      </w:pPr>
      <w:r>
        <w:rPr>
          <w:rFonts w:ascii="Arial" w:cs="Arial" w:eastAsia="Arial" w:hAnsi="Arial"/>
          <w:sz w:val="18"/>
          <w:szCs w:val="18"/>
          <w:b w:val="1"/>
          <w:bCs w:val="1"/>
          <w:color w:val="auto"/>
        </w:rPr>
        <w:t>Condensed Cash Flow Statements</w:t>
      </w:r>
    </w:p>
    <w:p>
      <w:pPr>
        <w:spacing w:after="0" w:line="27"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4"/>
          </w:tcPr>
          <w:p>
            <w:pPr>
              <w:jc w:val="center"/>
              <w:ind w:right="17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operations: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(2,617)</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adjustments to operating cash flows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Changes in assets and liabilities</w:t>
            </w:r>
          </w:p>
        </w:tc>
        <w:tc>
          <w:tcPr>
            <w:tcW w:w="1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net of cash acquired</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Disposition, net of cash sold</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investing activities</w:t>
            </w:r>
          </w:p>
        </w:tc>
        <w:tc>
          <w:tcPr>
            <w:tcW w:w="1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(52,912)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Financing activities: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Repayments of debt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financing activities</w:t>
            </w:r>
          </w:p>
        </w:tc>
        <w:tc>
          <w:tcPr>
            <w:tcW w:w="1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4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Our operating activities provided cash of $2.7 million and $1.7 million for the six months ended June 30, 2019 and 2018, respectively. The increase in net cash flow from operations was primarily due to the decrease in net loss partially offset by the effect of changes in working capital period over period.</w:t>
      </w:r>
    </w:p>
    <w:p>
      <w:pPr>
        <w:spacing w:after="0" w:line="124"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Our investing activities provided cash of $0.6 million and used of $52.9 million for the six months ended June 30, 2019 and 2018, respectively. Investing activities during the six months ended June 30, 2019 primarily consisted of cash used for capital expenditures, and the receipt of $1.0 million in connection with the release to the Company of an escrow amount associated with the Denville Transaction. Investing activities during the six months ended June 30, 2018 primarily consisted of $68.5 million paid for the acquisition of DSI and $15.8 million received from the disposition of Denville. We spent $0.4 million and $0.6 million on capital expenditures during the six months ended June 30, 2019 and 2018, respectively.</w:t>
      </w:r>
    </w:p>
    <w:p>
      <w:pPr>
        <w:spacing w:after="0" w:line="173"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Our financing activities have historically consisted of borrowings and repayments under our revolving credit facility and term loans, payments of debt issuance costs and the issuance of common stock. During the six months ended June 30, 2019, financing activities used cash of $6.5 million, compared with $50.7 million of cash provided by financing activities for the six months ended June 30, 2018. During the six months ended June 30, 2019, we borrowed $2.3 million and repaid $8.5 million of debt, including an excess cash flow payment of $4.0 million and a payment of $1.0 million in connection with the release of an escrow amount associated with the Denville Transaction as required by the Financing Agreement, and ended the quarter with $54.8 million of borrowings, net of deferred financing costs of $1.4 million. During the six months ended June 30, 2018 we borrowed $68.5 million, repaid $17.2 million of debt and ended the quarter with $61.4 million of borrowings, net of deferred financing costs of $1.7 million. Net cash paid for tax withholdings from the issuance from common stock, related to the vesting of restricted stock units was $0.3 million for the six months ended June 30, 2019. Net cash proceeds from the issuance of common stock for the six months ended June 30, 2018 was $1.4 million.</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1337"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On January 22, 2018, in connection with the closing of the sale of Denville, we terminated the Third Amended and Restated Credit Agreement (the Credit Agreement), dated as of May 1, 2017, among us, Brown Brothers Harriman &amp; Co. and each of the other lenders party thereto, and Bank of America, as administrative agent. All outstanding amounts under the agreement were repaid in full using a portion of the proceeds of the Denville sale. At the time of repayment, there was approximately $11.9 million of borrowings outstanding.</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January 31, 2018, we entered into a financing agreement by and among us and certain of our subsidiaries, as borrowers (collectively, the Borrower), certain of our subsidiaries thereto, as guarantors, various lenders from time to time party thereto (the Lenders), and Cerberus Business Finance, LLC, as collateral agent and administrative agent for the Lenders (the Financing Agreement). On August 16, 2018, we and Cerberus Business Finance, LLC entered into a First Amendment to the Financing Agreement, which such amendment modified certain provisions relating to the borrowing base and reporting, among other things.</w:t>
      </w:r>
    </w:p>
    <w:p>
      <w:pPr>
        <w:spacing w:after="0" w:line="188" w:lineRule="exact"/>
        <w:rPr>
          <w:sz w:val="20"/>
          <w:szCs w:val="20"/>
          <w:color w:val="auto"/>
        </w:rPr>
      </w:pPr>
    </w:p>
    <w:p>
      <w:pPr>
        <w:jc w:val="both"/>
        <w:ind w:right="20" w:firstLine="486"/>
        <w:spacing w:after="0" w:line="276" w:lineRule="auto"/>
        <w:rPr>
          <w:sz w:val="20"/>
          <w:szCs w:val="20"/>
          <w:color w:val="auto"/>
        </w:rPr>
      </w:pPr>
      <w:r>
        <w:rPr>
          <w:rFonts w:ascii="Arial" w:cs="Arial" w:eastAsia="Arial" w:hAnsi="Arial"/>
          <w:sz w:val="17"/>
          <w:szCs w:val="17"/>
          <w:color w:val="auto"/>
        </w:rPr>
        <w:t>The Financing Agreement provides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the Company and its subsidiaries for general corporate and working capital needs, and other purposes to the extent permitted by the Financing Agreement. The Senior Secured Credit Facilities have a maturity of five years.</w:t>
      </w:r>
    </w:p>
    <w:p>
      <w:pPr>
        <w:spacing w:after="0" w:line="173"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Commencing on March 31, 2018, the outstanding term loans began to amortize in equal quarterly installments equal to $0.4 million per quarter on such date and during each of the next three quarters thereafter, $0.6 million per quarter during the next four quarters thereafter and $0.8 million per quarter thereafter, with a balloon payment at maturity. Furthermore, within ten days of the delivery of our audited annual financial statements each year, the term loans are permanently reduced pursuant to certain mandatory prepayment events including an annual “excess cash flow sweep” of 50% of the consolidated excess cash flow; provided that, in any fiscal year, any voluntary prepayments of the term loans shall be credited against our “excess cash flow” prepayment obligations on a dollar-for-dollar basis for such fiscal year. During the three months ended March 31, 2019, the Company made an excess cash flow payment of $4.0 million as required by the Financing Agreement. Additionally, during the three months ended June 30, 2019, the Company made a payment, as required by the Financing Agreement, of $1.0 million in connection with the release of an escrow amount associated with the Denville sale.</w:t>
      </w:r>
    </w:p>
    <w:p>
      <w:pPr>
        <w:spacing w:after="0" w:line="166"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obligations of the Borrower under the Senior Secured Credit Facilities are unconditionally guaranteed by our and certain of our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Borrower and the subsidiary guarantors, including all of the capital stock held by such obligors (subject to a 65% limitation on pledges of capital stock of foreign subsidiaries), subject to certain exceptions.</w:t>
      </w:r>
    </w:p>
    <w:p>
      <w:pPr>
        <w:spacing w:after="0" w:line="188"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Interest on all loans under the Senior Secured Credit Facilities is paid monthly. Borrowings under the Financing Agreement accrue interest at a per annum rate equal to, at the Borrower’s option, a base rate plus 4.75% or a LIBOR rate plus 6.25%. The loans are also subject to a 1.25% interest rate floor for LIBOR loans and a 4.25% interest rate floor for base rate loans.</w:t>
      </w:r>
    </w:p>
    <w:p>
      <w:pPr>
        <w:spacing w:after="0" w:line="181"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The Financing Agreement contains customary representations and warranties and affirmative covenants applicable to us and our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modifications of organizational documents, material contracts, affiliated practice agreements and certain debt agreements. The Financing Agreement also contains customary events of default.</w:t>
      </w:r>
    </w:p>
    <w:p>
      <w:pPr>
        <w:spacing w:after="0" w:line="173"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As of June 30, 2019 and December 31, 2018, we had borrowings net of debt issuance costs of $54.8 million and $60.8 million respectively, outstanding. The carrying value of the debt approximates fair value because the interest rate under the obligation approximates market rates of interest available to us for similar instruments. As of June 30, 2019, we were in compliance with all financial covenants contained in the Financing Agreement, were subject to covenant and working capital borrowing restrictions and had available borrowing capacity under our Financing Agreement of $9.5 million.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2019, the weighted effective interest rate, net of the impact of our interest rate swap, on our Term Loan was 8.85%.</w:t>
      </w:r>
    </w:p>
    <w:p>
      <w:pPr>
        <w:spacing w:after="0" w:line="22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Our forecast of the period of time through which our financial resources will be adequate to support our operations is a forward-looking statement that involves risks and uncertainties, and actual results could vary as a result of a number of factors. Based on our current operating plans, we expect that our available cash, cash generated from current operations and debt capacity will be sufficient to finance current operations, capital expenditures, and debt principal and interest payments for the next 12 months and beyond.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The critical accounting policies underlying the accompanying unaudited consolidated financial statements are those set forth in Part II, Item 7 included in our Annual Report on Form 10-K for the fiscal year ended December 31, 2018, which was filed with the SEC on March 18,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2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During the three months ended June 30, 2019, changes in foreign currency exchange rates resulted in an unfavorable translation effect on our consolidated revenues and on our consolidated net loss. Changes in foreign currency exchange rates resulted in an unfavorable effect on revenues of approximately $0.5 million and a favorable effect on expenses of approximately $0.3 million. During the six months ended June 30, 2019, changes in foreign currency exchange rates resulted in an unfavorable translation effect on our consolidated revenues and on our consolidated net loss. Changes in foreign currency exchange rates resulted in an unfavorable effect on revenues of approximately $1.3 million and a favorable effect on expenses of approximately $0.8 million.</w:t>
      </w:r>
    </w:p>
    <w:p>
      <w:pPr>
        <w:spacing w:after="0" w:line="193"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The loss associated with the translation of foreign equity into U.S. dollars included as a component of comprehensive loss during the three months ended June 30, 2019, was approximately $(0.2) million, compared to a loss of $(2.9) million for the three months ended June 30, 2018. The loss associated with the translation of foreign equity into U.S. dollars included as a component of comprehensive loss during the six months ended June 30, 2019, was approximately $(0.2) million, compared to a loss of $(1.4) million for the six months ended June 30, 2018.</w:t>
      </w:r>
    </w:p>
    <w:p>
      <w:pPr>
        <w:spacing w:after="0" w:line="171"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In addition, currency exchange rate fluctuations included as a component of net loss resulted in approximately $0.1 million and $0.3 million in currency losses during the three months ended June 30, 2019 and 2018, respectively. The currency exchange rate fluctuations included as a component of net loss resulted in approximately $(0.1) million and $(2) thousand in currency losses during the six months ended June 30,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For information on recent accounting pronouncements impacting our business, see "Recent Accounting Pronouncements" included under Note 2 to our Condensed Consolidated Financial Statements.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6" w:name="page37"/>
    <w:bookmarkEnd w:id="3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majority of our manufacturing and testing of products occurs in our facilities in the United States, Germany, Sweden and Spain. We sell our products globally through distributors, our direct sales force, websites and catalogs. As a result, our financial results are affected by factors such as changes in foreign currency exchange rates and weak economic conditions in foreign markets.</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70"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We are exposed to market risk from changes in interest rates primarily through our financing activities. As of June 30, 2019, we had $54.8 million outstanding under our Financing Agreement, net of deferred financing costs. We entered into an interest rate swap contract with PNC bank with a notional amount of $36.0 million and a termination date of January 31, 2023 in order to hedge a portion of the risk of changes in the effective benchmark interest rate (LIBOR) associated with the Financing Agreement. The swap contract converted specific variable-rate debt into fixed-rate debt and fixed the LIBOR rate associated with a portion of the term loan under the Financing Agreement at 2.72%.</w:t>
      </w:r>
    </w:p>
    <w:p>
      <w:pPr>
        <w:spacing w:after="0" w:line="173"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As of June 30, 2019, the weighted effective interest rates, net of the impact of our interest rate swaps, on our Term Loan was 8.85%. Assuming no other changes which would affect the margin of the interest rate, the estimated effect of interest rate fluctuations on outstanding borrowings under our Financing Agreement as of June 30, 2019 is quantified and summarized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If compared to the rate as of June 30, 2019</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Interest expense</w:t>
            </w:r>
          </w:p>
        </w:tc>
        <w:tc>
          <w:tcPr>
            <w:tcW w:w="0" w:type="dxa"/>
            <w:vAlign w:val="bottom"/>
          </w:tcPr>
          <w:p>
            <w:pPr>
              <w:spacing w:after="0"/>
              <w:rPr>
                <w:sz w:val="1"/>
                <w:szCs w:val="1"/>
                <w:color w:val="auto"/>
              </w:rPr>
            </w:pPr>
          </w:p>
        </w:tc>
      </w:tr>
      <w:tr>
        <w:trPr>
          <w:trHeight w:val="234"/>
        </w:trPr>
        <w:tc>
          <w:tcPr>
            <w:tcW w:w="414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4"/>
              </w:rPr>
              <w:t>increase</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rates increase by 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Interest rates increase by 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20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Controls and Procedures.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Principal Financial Officer, to allow timely decisions regarding required disclosures.</w:t>
      </w:r>
    </w:p>
    <w:p>
      <w:pPr>
        <w:spacing w:after="0" w:line="18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As required by Rules 13a-15(e) and 15d-15(e) under the Exchange Act, our management, under the supervision and with the participation of our Chief Executive Officer and Principal Financial Officer, conducted an evaluation of the effectiveness of the design and operation of our disclosure controls and procedures as of June 30, 2019. Our disclosure controls and procedures are designed to provide reasonable assurance that information required to be disclosed by us in the reports that we file or submit under the Exchange Act is recorded, processed, summarized and reported within the time periods specified in the SEC’s rules and forms, and our management necessarily was required to apply its judgment in evaluating and implementing our disclosure controls and procedures. Based upon the evaluation described above, our management concluded that our disclosure controls and procedures for the periods covered by this report were effective, as of the end of the period covered by this Quarterly Report on Form 10-Q, in providing reasonable assurance that information required to be disclosed by us in the reports that we file or submit under the Exchange Act is accumulated and communicated to our management, including our Chief Executive Officer and Principal Financial Officer, to allow timely decisions regarding required disclosures, and is recorded, processed, summarized and reported within the time periods specified in the SEC’s rules and forms.</w:t>
      </w:r>
    </w:p>
    <w:p>
      <w:pPr>
        <w:spacing w:after="0" w:line="17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reviewed our internal control over financial reporting at June 30, 2019. As a result of the acquisition of Data Sciences International, Inc. (DSI) in January 2018, we continue to integrate certain business processes and systems of DSI. Accordingly, certain changes have been made and will continue to be made to our internal controls over financial reporting until such time as this integration is complete. There were no other changes in our internal controls over financial reporting identified in an evaluation thereof that occurred during the six months ended June 30, 2019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7" w:name="page38"/>
    <w:bookmarkEnd w:id="37"/>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To our knowledge, and except to the extent additional factual information disclosed in this Quarterly Report on Form 10-Q relates to such risk factors, there has been no material changes in the risk factors described in “Item 1A. Risk Factors” in our Annual Report on Form 10-K for the year ended December 31, 2018, which was filed with the SEC on March 18,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6"/>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630"/>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3"/>
              </w:rPr>
              <w:t>Index</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5"/>
        </w:trPr>
        <w:tc>
          <w:tcPr>
            <w:tcW w:w="42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740" w:type="dxa"/>
            <w:vAlign w:val="bottom"/>
          </w:tcPr>
          <w:p>
            <w:pPr>
              <w:spacing w:after="0"/>
              <w:rPr>
                <w:sz w:val="24"/>
                <w:szCs w:val="24"/>
                <w:color w:val="auto"/>
              </w:rPr>
            </w:pPr>
          </w:p>
        </w:tc>
        <w:tc>
          <w:tcPr>
            <w:tcW w:w="10140" w:type="dxa"/>
            <w:vAlign w:val="bottom"/>
            <w:gridSpan w:val="6"/>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Certification of Chief Financial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Section 302 of the Sarbanes-Oxley Act of 2002.</w:t>
              </w:r>
            </w:hyperlink>
          </w:p>
        </w:tc>
        <w:tc>
          <w:tcPr>
            <w:tcW w:w="6240" w:type="dxa"/>
            <w:vAlign w:val="bottom"/>
            <w:tcBorders>
              <w:top w:val="single" w:sz="8" w:color="0000EE"/>
            </w:tcBorders>
          </w:tcPr>
          <w:p>
            <w:pPr>
              <w:spacing w:after="0"/>
              <w:rPr>
                <w:sz w:val="17"/>
                <w:szCs w:val="17"/>
                <w:color w:val="auto"/>
              </w:rPr>
            </w:pPr>
          </w:p>
        </w:tc>
        <w:tc>
          <w:tcPr>
            <w:tcW w:w="440" w:type="dxa"/>
            <w:vAlign w:val="bottom"/>
            <w:gridSpan w:val="3"/>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740" w:type="dxa"/>
            <w:vAlign w:val="bottom"/>
          </w:tcPr>
          <w:p>
            <w:pPr>
              <w:spacing w:after="0"/>
              <w:rPr>
                <w:sz w:val="24"/>
                <w:szCs w:val="24"/>
                <w:color w:val="auto"/>
              </w:rPr>
            </w:pPr>
          </w:p>
        </w:tc>
        <w:tc>
          <w:tcPr>
            <w:tcW w:w="10140" w:type="dxa"/>
            <w:vAlign w:val="bottom"/>
            <w:gridSpan w:val="6"/>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Certification of Chief Executive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Section 302 of the Sarbanes-Oxley Act of 2002.</w:t>
              </w:r>
            </w:hyperlink>
          </w:p>
        </w:tc>
        <w:tc>
          <w:tcPr>
            <w:tcW w:w="6300" w:type="dxa"/>
            <w:vAlign w:val="bottom"/>
            <w:tcBorders>
              <w:top w:val="single" w:sz="8" w:color="0000EE"/>
            </w:tcBorders>
            <w:gridSpan w:val="2"/>
          </w:tcPr>
          <w:p>
            <w:pPr>
              <w:spacing w:after="0"/>
              <w:rPr>
                <w:sz w:val="17"/>
                <w:szCs w:val="17"/>
                <w:color w:val="auto"/>
              </w:rPr>
            </w:pPr>
          </w:p>
        </w:tc>
        <w:tc>
          <w:tcPr>
            <w:tcW w:w="380" w:type="dxa"/>
            <w:vAlign w:val="bottom"/>
            <w:gridSpan w:val="2"/>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740" w:type="dxa"/>
            <w:vAlign w:val="bottom"/>
          </w:tcPr>
          <w:p>
            <w:pPr>
              <w:spacing w:after="0"/>
              <w:rPr>
                <w:sz w:val="24"/>
                <w:szCs w:val="24"/>
                <w:color w:val="auto"/>
              </w:rPr>
            </w:pPr>
          </w:p>
        </w:tc>
        <w:tc>
          <w:tcPr>
            <w:tcW w:w="101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Chief Financial Officer of Harvard Bioscience, Inc., pursuant to 18 U.S.C. Section 1350, as adopted pursuant to Section 906</w:t>
              </w:r>
            </w:hyperlink>
          </w:p>
        </w:tc>
        <w:tc>
          <w:tcPr>
            <w:tcW w:w="4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of the Sarbanes-Oxley Act of 2002.</w:t>
              </w:r>
            </w:hyperlink>
          </w:p>
        </w:tc>
        <w:tc>
          <w:tcPr>
            <w:tcW w:w="7580" w:type="dxa"/>
            <w:vAlign w:val="bottom"/>
            <w:gridSpan w:val="5"/>
          </w:tcPr>
          <w:p>
            <w:pPr>
              <w:spacing w:after="0"/>
              <w:rPr>
                <w:sz w:val="17"/>
                <w:szCs w:val="17"/>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140" w:type="dxa"/>
            <w:vAlign w:val="bottom"/>
            <w:gridSpan w:val="6"/>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Chief Executive Officer of Harvard Bioscience, Inc., pursuant to 18 U.S.C. Section 1350, as adopted pursuant to Section 906</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of the Sarbanes-Oxley Act of 2002.</w:t>
              </w:r>
            </w:hyperlink>
          </w:p>
        </w:tc>
        <w:tc>
          <w:tcPr>
            <w:tcW w:w="7580" w:type="dxa"/>
            <w:vAlign w:val="bottom"/>
            <w:tcBorders>
              <w:top w:val="single" w:sz="8" w:color="0000EE"/>
            </w:tcBorders>
            <w:gridSpan w:val="5"/>
          </w:tcPr>
          <w:p>
            <w:pPr>
              <w:spacing w:after="0"/>
              <w:rPr>
                <w:sz w:val="17"/>
                <w:szCs w:val="17"/>
                <w:color w:val="auto"/>
              </w:rPr>
            </w:pP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ind w:left="500" w:hanging="492"/>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2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HARVARD BIOSCIENCE, INC.</w:t>
      </w:r>
    </w:p>
    <w:p>
      <w:pPr>
        <w:spacing w:after="0" w:line="200" w:lineRule="exact"/>
        <w:rPr>
          <w:sz w:val="20"/>
          <w:szCs w:val="20"/>
          <w:color w:val="auto"/>
        </w:rPr>
      </w:pPr>
    </w:p>
    <w:p>
      <w:pPr>
        <w:spacing w:after="0" w:line="241" w:lineRule="exact"/>
        <w:rPr>
          <w:sz w:val="20"/>
          <w:szCs w:val="20"/>
          <w:color w:val="auto"/>
        </w:rPr>
      </w:pPr>
    </w:p>
    <w:tbl>
      <w:tblPr>
        <w:tblLayout w:type="fixed"/>
        <w:tblInd w:w="696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JAMES GREEN</w:t>
            </w:r>
          </w:p>
        </w:tc>
      </w:tr>
      <w:tr>
        <w:trPr>
          <w:trHeight w:val="191"/>
        </w:trPr>
        <w:tc>
          <w:tcPr>
            <w:tcW w:w="360" w:type="dxa"/>
            <w:vAlign w:val="bottom"/>
          </w:tcPr>
          <w:p>
            <w:pPr>
              <w:spacing w:after="0"/>
              <w:rPr>
                <w:sz w:val="16"/>
                <w:szCs w:val="16"/>
                <w:color w:val="auto"/>
              </w:rPr>
            </w:pPr>
          </w:p>
        </w:tc>
        <w:tc>
          <w:tcPr>
            <w:tcW w:w="4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James Green</w:t>
            </w:r>
          </w:p>
        </w:tc>
      </w:tr>
      <w:tr>
        <w:trPr>
          <w:trHeight w:val="234"/>
        </w:trPr>
        <w:tc>
          <w:tcPr>
            <w:tcW w:w="36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A. ROSSI</w:t>
            </w:r>
          </w:p>
        </w:tc>
      </w:tr>
      <w:tr>
        <w:trPr>
          <w:trHeight w:val="191"/>
        </w:trPr>
        <w:tc>
          <w:tcPr>
            <w:tcW w:w="360" w:type="dxa"/>
            <w:vAlign w:val="bottom"/>
          </w:tcPr>
          <w:p>
            <w:pPr>
              <w:spacing w:after="0"/>
              <w:rPr>
                <w:sz w:val="16"/>
                <w:szCs w:val="16"/>
                <w:color w:val="auto"/>
              </w:rPr>
            </w:pPr>
          </w:p>
        </w:tc>
        <w:tc>
          <w:tcPr>
            <w:tcW w:w="4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Michael A. Rossi</w:t>
            </w:r>
          </w:p>
        </w:tc>
      </w:tr>
      <w:tr>
        <w:trPr>
          <w:trHeight w:val="234"/>
        </w:trPr>
        <w:tc>
          <w:tcPr>
            <w:tcW w:w="36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A. Rossi,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64" w:lineRule="auto"/>
        <w:tabs>
          <w:tab w:leader="none" w:pos="6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Date: August 8, 2019</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ROSSI</w:t>
            </w:r>
          </w:p>
        </w:tc>
      </w:tr>
      <w:tr>
        <w:trPr>
          <w:trHeight w:val="195"/>
        </w:trPr>
        <w:tc>
          <w:tcPr>
            <w:tcW w:w="7660" w:type="dxa"/>
            <w:vAlign w:val="bottom"/>
          </w:tcPr>
          <w:p>
            <w:pPr>
              <w:spacing w:after="0"/>
              <w:rPr>
                <w:sz w:val="16"/>
                <w:szCs w:val="16"/>
                <w:color w:val="auto"/>
              </w:rPr>
            </w:pP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Michael A. Rossi</w:t>
            </w:r>
          </w:p>
        </w:tc>
      </w:tr>
      <w:tr>
        <w:trPr>
          <w:trHeight w:val="230"/>
        </w:trPr>
        <w:tc>
          <w:tcPr>
            <w:tcW w:w="76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02"/>
        </w:trPr>
        <w:tc>
          <w:tcPr>
            <w:tcW w:w="76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68"/>
        </w:trPr>
        <w:tc>
          <w:tcPr>
            <w:tcW w:w="766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Green,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64" w:lineRule="auto"/>
        <w:tabs>
          <w:tab w:leader="none" w:pos="62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Date: August 8, 2019</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GREEN</w:t>
            </w:r>
          </w:p>
        </w:tc>
      </w:tr>
      <w:tr>
        <w:trPr>
          <w:trHeight w:val="195"/>
        </w:trPr>
        <w:tc>
          <w:tcPr>
            <w:tcW w:w="7660" w:type="dxa"/>
            <w:vAlign w:val="bottom"/>
          </w:tcPr>
          <w:p>
            <w:pPr>
              <w:spacing w:after="0"/>
              <w:rPr>
                <w:sz w:val="16"/>
                <w:szCs w:val="16"/>
                <w:color w:val="auto"/>
              </w:rPr>
            </w:pP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James Green</w:t>
            </w:r>
          </w:p>
        </w:tc>
      </w:tr>
      <w:tr>
        <w:trPr>
          <w:trHeight w:val="230"/>
        </w:trPr>
        <w:tc>
          <w:tcPr>
            <w:tcW w:w="76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86"/>
        </w:trPr>
        <w:tc>
          <w:tcPr>
            <w:tcW w:w="76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68"/>
        </w:trPr>
        <w:tc>
          <w:tcPr>
            <w:tcW w:w="766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220" w:firstLine="441"/>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her knowledge that the Company’s Quarterly Report on Form 10-Q for the quarterly period ended June 30, 2019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spacing w:after="0" w:line="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Date: August 8, 2019</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ROSSI</w:t>
            </w:r>
          </w:p>
        </w:tc>
      </w:tr>
      <w:tr>
        <w:trPr>
          <w:trHeight w:val="195"/>
        </w:trPr>
        <w:tc>
          <w:tcPr>
            <w:tcW w:w="7660" w:type="dxa"/>
            <w:vAlign w:val="bottom"/>
          </w:tcPr>
          <w:p>
            <w:pPr>
              <w:spacing w:after="0"/>
              <w:rPr>
                <w:sz w:val="16"/>
                <w:szCs w:val="16"/>
                <w:color w:val="auto"/>
              </w:rPr>
            </w:pP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Name: Michael A. Rossi</w:t>
            </w:r>
          </w:p>
        </w:tc>
      </w:tr>
      <w:tr>
        <w:trPr>
          <w:trHeight w:val="230"/>
        </w:trPr>
        <w:tc>
          <w:tcPr>
            <w:tcW w:w="76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107"/>
        </w:trPr>
        <w:tc>
          <w:tcPr>
            <w:tcW w:w="76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68"/>
        </w:trPr>
        <w:tc>
          <w:tcPr>
            <w:tcW w:w="766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220" w:firstLine="441"/>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 for the quarterly period ended June 30, 2019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spacing w:after="0" w:line="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Date: August 8, 2019</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GREEN</w:t>
            </w:r>
          </w:p>
        </w:tc>
      </w:tr>
      <w:tr>
        <w:trPr>
          <w:trHeight w:val="195"/>
        </w:trPr>
        <w:tc>
          <w:tcPr>
            <w:tcW w:w="7660" w:type="dxa"/>
            <w:vAlign w:val="bottom"/>
          </w:tcPr>
          <w:p>
            <w:pPr>
              <w:spacing w:after="0"/>
              <w:rPr>
                <w:sz w:val="16"/>
                <w:szCs w:val="16"/>
                <w:color w:val="auto"/>
              </w:rPr>
            </w:pP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Name: James Green</w:t>
            </w:r>
          </w:p>
        </w:tc>
      </w:tr>
      <w:tr>
        <w:trPr>
          <w:trHeight w:val="230"/>
        </w:trPr>
        <w:tc>
          <w:tcPr>
            <w:tcW w:w="76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783"/>
        </w:trPr>
        <w:tc>
          <w:tcPr>
            <w:tcW w:w="76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68"/>
        </w:trPr>
        <w:tc>
          <w:tcPr>
            <w:tcW w:w="766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10"/>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decimal"/>
      <w:start w:val="12"/>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4"/>
    </w:lvl>
  </w:abstractNum>
  <w:abstractNum w:abstractNumId="20">
    <w:nsid w:val="2D1D5AE9"/>
    <w:multiLevelType w:val="hybridMultilevel"/>
    <w:lvl w:ilvl="0">
      <w:lvlJc w:val="left"/>
      <w:lvlText w:val="%1."/>
      <w:numFmt w:val="decimal"/>
      <w:start w:val="16"/>
    </w:lvl>
  </w:abstractNum>
  <w:abstractNum w:abstractNumId="21">
    <w:nsid w:val="6763845E"/>
    <w:multiLevelType w:val="hybridMultilevel"/>
    <w:lvl w:ilvl="0">
      <w:lvlJc w:val="left"/>
      <w:lvlText w:val="%1."/>
      <w:numFmt w:val="decimal"/>
      <w:start w:val="17"/>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2019-12-28T07:34:33Z</dcterms:created>
  <dcterms:modified xsi:type="dcterms:W3CDTF">2019-12-28T07:34:33Z</dcterms:modified>
</cp:coreProperties>
</file>