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6"/>
          <w:szCs w:val="16"/>
          <w:b w:val="1"/>
          <w:bCs w:val="1"/>
          <w:color w:val="auto"/>
        </w:rPr>
        <w:t>UNITED STATES</w:t>
      </w:r>
    </w:p>
    <w:p>
      <w:pPr>
        <w:spacing w:after="0" w:line="26"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SECURITIES AND EXCHANGE COMMISSION WASHINGTON, DC 20549</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FORM 10-Q</w:t>
      </w:r>
    </w:p>
    <w:p>
      <w:pPr>
        <w:spacing w:after="0" w:line="213" w:lineRule="exact"/>
        <w:rPr>
          <w:sz w:val="24"/>
          <w:szCs w:val="24"/>
          <w:color w:val="auto"/>
        </w:rPr>
      </w:pPr>
    </w:p>
    <w:p>
      <w:pPr>
        <w:ind w:left="460" w:hanging="182"/>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21"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For the quarterly period ended September 30, 2021</w:t>
      </w:r>
    </w:p>
    <w:p>
      <w:pPr>
        <w:spacing w:after="0" w:line="221" w:lineRule="exact"/>
        <w:rPr>
          <w:sz w:val="24"/>
          <w:szCs w:val="24"/>
          <w:color w:val="auto"/>
        </w:rPr>
      </w:pPr>
    </w:p>
    <w:p>
      <w:pPr>
        <w:ind w:left="460" w:hanging="182"/>
        <w:spacing w:after="0"/>
        <w:tabs>
          <w:tab w:leader="none" w:pos="4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21"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3680" w:type="dxa"/>
            <w:vAlign w:val="bottom"/>
          </w:tcPr>
          <w:p>
            <w:pPr>
              <w:spacing w:after="0"/>
              <w:rPr>
                <w:sz w:val="18"/>
                <w:szCs w:val="18"/>
                <w:color w:val="auto"/>
              </w:rPr>
            </w:pPr>
          </w:p>
        </w:tc>
        <w:tc>
          <w:tcPr>
            <w:tcW w:w="40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For the transition period from_____to _____</w:t>
            </w:r>
          </w:p>
        </w:tc>
        <w:tc>
          <w:tcPr>
            <w:tcW w:w="3540" w:type="dxa"/>
            <w:vAlign w:val="bottom"/>
          </w:tcPr>
          <w:p>
            <w:pPr>
              <w:spacing w:after="0"/>
              <w:rPr>
                <w:sz w:val="18"/>
                <w:szCs w:val="18"/>
                <w:color w:val="auto"/>
              </w:rPr>
            </w:pPr>
          </w:p>
        </w:tc>
      </w:tr>
      <w:tr>
        <w:trPr>
          <w:trHeight w:val="405"/>
        </w:trPr>
        <w:tc>
          <w:tcPr>
            <w:tcW w:w="3680" w:type="dxa"/>
            <w:vAlign w:val="bottom"/>
          </w:tcPr>
          <w:p>
            <w:pPr>
              <w:spacing w:after="0"/>
              <w:rPr>
                <w:sz w:val="24"/>
                <w:szCs w:val="24"/>
                <w:color w:val="auto"/>
              </w:rPr>
            </w:pPr>
          </w:p>
        </w:tc>
        <w:tc>
          <w:tcPr>
            <w:tcW w:w="40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Commission file number 001-33957</w:t>
            </w:r>
          </w:p>
        </w:tc>
        <w:tc>
          <w:tcPr>
            <w:tcW w:w="3540" w:type="dxa"/>
            <w:vAlign w:val="bottom"/>
          </w:tcPr>
          <w:p>
            <w:pPr>
              <w:spacing w:after="0"/>
              <w:rPr>
                <w:sz w:val="24"/>
                <w:szCs w:val="24"/>
                <w:color w:val="auto"/>
              </w:rPr>
            </w:pPr>
          </w:p>
        </w:tc>
      </w:tr>
      <w:tr>
        <w:trPr>
          <w:trHeight w:val="401"/>
        </w:trPr>
        <w:tc>
          <w:tcPr>
            <w:tcW w:w="3680" w:type="dxa"/>
            <w:vAlign w:val="bottom"/>
          </w:tcPr>
          <w:p>
            <w:pPr>
              <w:spacing w:after="0"/>
              <w:rPr>
                <w:sz w:val="24"/>
                <w:szCs w:val="24"/>
                <w:color w:val="auto"/>
              </w:rPr>
            </w:pPr>
          </w:p>
        </w:tc>
        <w:tc>
          <w:tcPr>
            <w:tcW w:w="4020" w:type="dxa"/>
            <w:vAlign w:val="bottom"/>
            <w:gridSpan w:val="2"/>
          </w:tcPr>
          <w:p>
            <w:pPr>
              <w:jc w:val="center"/>
              <w:spacing w:after="0"/>
              <w:rPr>
                <w:sz w:val="20"/>
                <w:szCs w:val="20"/>
                <w:color w:val="auto"/>
              </w:rPr>
            </w:pPr>
            <w:r>
              <w:rPr>
                <w:rFonts w:ascii="Arial" w:cs="Arial" w:eastAsia="Arial" w:hAnsi="Arial"/>
                <w:sz w:val="16"/>
                <w:szCs w:val="16"/>
                <w:b w:val="1"/>
                <w:bCs w:val="1"/>
                <w:color w:val="auto"/>
              </w:rPr>
              <w:t>HARVARD BIOSCIENCE, INC.</w:t>
            </w:r>
          </w:p>
        </w:tc>
        <w:tc>
          <w:tcPr>
            <w:tcW w:w="3540" w:type="dxa"/>
            <w:vAlign w:val="bottom"/>
          </w:tcPr>
          <w:p>
            <w:pPr>
              <w:spacing w:after="0"/>
              <w:rPr>
                <w:sz w:val="24"/>
                <w:szCs w:val="24"/>
                <w:color w:val="auto"/>
              </w:rPr>
            </w:pPr>
          </w:p>
        </w:tc>
      </w:tr>
      <w:tr>
        <w:trPr>
          <w:trHeight w:val="206"/>
        </w:trPr>
        <w:tc>
          <w:tcPr>
            <w:tcW w:w="3680" w:type="dxa"/>
            <w:vAlign w:val="bottom"/>
          </w:tcPr>
          <w:p>
            <w:pPr>
              <w:spacing w:after="0"/>
              <w:rPr>
                <w:sz w:val="17"/>
                <w:szCs w:val="17"/>
                <w:color w:val="auto"/>
              </w:rPr>
            </w:pPr>
          </w:p>
        </w:tc>
        <w:tc>
          <w:tcPr>
            <w:tcW w:w="4020" w:type="dxa"/>
            <w:vAlign w:val="bottom"/>
            <w:gridSpan w:val="2"/>
          </w:tcPr>
          <w:p>
            <w:pPr>
              <w:jc w:val="center"/>
              <w:spacing w:after="0"/>
              <w:rPr>
                <w:sz w:val="20"/>
                <w:szCs w:val="20"/>
                <w:color w:val="auto"/>
              </w:rPr>
            </w:pPr>
            <w:r>
              <w:rPr>
                <w:rFonts w:ascii="Arial" w:cs="Arial" w:eastAsia="Arial" w:hAnsi="Arial"/>
                <w:sz w:val="16"/>
                <w:szCs w:val="16"/>
                <w:color w:val="auto"/>
                <w:w w:val="92"/>
              </w:rPr>
              <w:t>(Exact Name of Registrant as Specified in Its Charter)</w:t>
            </w:r>
          </w:p>
        </w:tc>
        <w:tc>
          <w:tcPr>
            <w:tcW w:w="3540" w:type="dxa"/>
            <w:vAlign w:val="bottom"/>
          </w:tcPr>
          <w:p>
            <w:pPr>
              <w:spacing w:after="0"/>
              <w:rPr>
                <w:sz w:val="17"/>
                <w:szCs w:val="17"/>
                <w:color w:val="auto"/>
              </w:rPr>
            </w:pPr>
          </w:p>
        </w:tc>
      </w:tr>
      <w:tr>
        <w:trPr>
          <w:trHeight w:val="401"/>
        </w:trPr>
        <w:tc>
          <w:tcPr>
            <w:tcW w:w="3680" w:type="dxa"/>
            <w:vAlign w:val="bottom"/>
          </w:tcPr>
          <w:p>
            <w:pPr>
              <w:ind w:left="2960"/>
              <w:spacing w:after="0"/>
              <w:rPr>
                <w:sz w:val="20"/>
                <w:szCs w:val="20"/>
                <w:color w:val="auto"/>
              </w:rPr>
            </w:pPr>
            <w:r>
              <w:rPr>
                <w:rFonts w:ascii="Arial" w:cs="Arial" w:eastAsia="Arial" w:hAnsi="Arial"/>
                <w:sz w:val="16"/>
                <w:szCs w:val="16"/>
                <w:b w:val="1"/>
                <w:bCs w:val="1"/>
                <w:color w:val="auto"/>
                <w:w w:val="99"/>
              </w:rPr>
              <w:t>Delaware</w:t>
            </w:r>
          </w:p>
        </w:tc>
        <w:tc>
          <w:tcPr>
            <w:tcW w:w="14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540" w:type="dxa"/>
            <w:vAlign w:val="bottom"/>
          </w:tcPr>
          <w:p>
            <w:pPr>
              <w:jc w:val="right"/>
              <w:ind w:right="2139"/>
              <w:spacing w:after="0"/>
              <w:rPr>
                <w:sz w:val="20"/>
                <w:szCs w:val="20"/>
                <w:color w:val="auto"/>
              </w:rPr>
            </w:pPr>
            <w:r>
              <w:rPr>
                <w:rFonts w:ascii="Arial" w:cs="Arial" w:eastAsia="Arial" w:hAnsi="Arial"/>
                <w:sz w:val="16"/>
                <w:szCs w:val="16"/>
                <w:b w:val="1"/>
                <w:bCs w:val="1"/>
                <w:color w:val="auto"/>
              </w:rPr>
              <w:t>04-3306140</w:t>
            </w:r>
          </w:p>
        </w:tc>
      </w:tr>
      <w:tr>
        <w:trPr>
          <w:trHeight w:val="203"/>
        </w:trPr>
        <w:tc>
          <w:tcPr>
            <w:tcW w:w="7700" w:type="dxa"/>
            <w:vAlign w:val="bottom"/>
            <w:gridSpan w:val="3"/>
          </w:tcPr>
          <w:p>
            <w:pPr>
              <w:jc w:val="center"/>
              <w:ind w:right="1219"/>
              <w:spacing w:after="0"/>
              <w:rPr>
                <w:sz w:val="20"/>
                <w:szCs w:val="20"/>
                <w:color w:val="auto"/>
              </w:rPr>
            </w:pPr>
            <w:r>
              <w:rPr>
                <w:rFonts w:ascii="Arial" w:cs="Arial" w:eastAsia="Arial" w:hAnsi="Arial"/>
                <w:sz w:val="16"/>
                <w:szCs w:val="16"/>
                <w:color w:val="auto"/>
                <w:w w:val="93"/>
              </w:rPr>
              <w:t>(State or other jurisdiction of</w:t>
            </w:r>
          </w:p>
        </w:tc>
        <w:tc>
          <w:tcPr>
            <w:tcW w:w="3540" w:type="dxa"/>
            <w:vAlign w:val="bottom"/>
          </w:tcPr>
          <w:p>
            <w:pPr>
              <w:ind w:left="320"/>
              <w:spacing w:after="0"/>
              <w:rPr>
                <w:sz w:val="20"/>
                <w:szCs w:val="20"/>
                <w:color w:val="auto"/>
              </w:rPr>
            </w:pPr>
            <w:r>
              <w:rPr>
                <w:rFonts w:ascii="Arial" w:cs="Arial" w:eastAsia="Arial" w:hAnsi="Arial"/>
                <w:sz w:val="16"/>
                <w:szCs w:val="16"/>
                <w:color w:val="auto"/>
              </w:rPr>
              <w:t>(I.R.S. Employer</w:t>
            </w:r>
          </w:p>
        </w:tc>
      </w:tr>
      <w:tr>
        <w:trPr>
          <w:trHeight w:val="206"/>
        </w:trPr>
        <w:tc>
          <w:tcPr>
            <w:tcW w:w="7700" w:type="dxa"/>
            <w:vAlign w:val="bottom"/>
            <w:gridSpan w:val="3"/>
          </w:tcPr>
          <w:p>
            <w:pPr>
              <w:jc w:val="center"/>
              <w:ind w:right="1239"/>
              <w:spacing w:after="0"/>
              <w:rPr>
                <w:sz w:val="20"/>
                <w:szCs w:val="20"/>
                <w:color w:val="auto"/>
              </w:rPr>
            </w:pPr>
            <w:r>
              <w:rPr>
                <w:rFonts w:ascii="Arial" w:cs="Arial" w:eastAsia="Arial" w:hAnsi="Arial"/>
                <w:sz w:val="16"/>
                <w:szCs w:val="16"/>
                <w:color w:val="auto"/>
                <w:w w:val="92"/>
              </w:rPr>
              <w:t>Incorporation or organization)</w:t>
            </w:r>
          </w:p>
        </w:tc>
        <w:tc>
          <w:tcPr>
            <w:tcW w:w="3540" w:type="dxa"/>
            <w:vAlign w:val="bottom"/>
          </w:tcPr>
          <w:p>
            <w:pPr>
              <w:ind w:left="280"/>
              <w:spacing w:after="0"/>
              <w:rPr>
                <w:sz w:val="20"/>
                <w:szCs w:val="20"/>
                <w:color w:val="auto"/>
              </w:rPr>
            </w:pPr>
            <w:r>
              <w:rPr>
                <w:rFonts w:ascii="Arial" w:cs="Arial" w:eastAsia="Arial" w:hAnsi="Arial"/>
                <w:sz w:val="16"/>
                <w:szCs w:val="16"/>
                <w:color w:val="auto"/>
              </w:rPr>
              <w:t>Identification No.)</w:t>
            </w:r>
          </w:p>
        </w:tc>
      </w:tr>
      <w:tr>
        <w:trPr>
          <w:trHeight w:val="401"/>
        </w:trPr>
        <w:tc>
          <w:tcPr>
            <w:tcW w:w="3680" w:type="dxa"/>
            <w:vAlign w:val="bottom"/>
          </w:tcPr>
          <w:p>
            <w:pPr>
              <w:spacing w:after="0"/>
              <w:rPr>
                <w:sz w:val="24"/>
                <w:szCs w:val="24"/>
                <w:color w:val="auto"/>
              </w:rPr>
            </w:pPr>
          </w:p>
        </w:tc>
        <w:tc>
          <w:tcPr>
            <w:tcW w:w="40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84 October Hill Road, Holliston, Massachusetts 01746</w:t>
            </w:r>
          </w:p>
        </w:tc>
        <w:tc>
          <w:tcPr>
            <w:tcW w:w="3540" w:type="dxa"/>
            <w:vAlign w:val="bottom"/>
          </w:tcPr>
          <w:p>
            <w:pPr>
              <w:spacing w:after="0"/>
              <w:rPr>
                <w:sz w:val="24"/>
                <w:szCs w:val="24"/>
                <w:color w:val="auto"/>
              </w:rPr>
            </w:pPr>
          </w:p>
        </w:tc>
      </w:tr>
      <w:tr>
        <w:trPr>
          <w:trHeight w:val="206"/>
        </w:trPr>
        <w:tc>
          <w:tcPr>
            <w:tcW w:w="3680" w:type="dxa"/>
            <w:vAlign w:val="bottom"/>
          </w:tcPr>
          <w:p>
            <w:pPr>
              <w:spacing w:after="0"/>
              <w:rPr>
                <w:sz w:val="17"/>
                <w:szCs w:val="17"/>
                <w:color w:val="auto"/>
              </w:rPr>
            </w:pPr>
          </w:p>
        </w:tc>
        <w:tc>
          <w:tcPr>
            <w:tcW w:w="4020" w:type="dxa"/>
            <w:vAlign w:val="bottom"/>
            <w:gridSpan w:val="2"/>
          </w:tcPr>
          <w:p>
            <w:pPr>
              <w:jc w:val="center"/>
              <w:spacing w:after="0"/>
              <w:rPr>
                <w:sz w:val="20"/>
                <w:szCs w:val="20"/>
                <w:color w:val="auto"/>
              </w:rPr>
            </w:pPr>
            <w:r>
              <w:rPr>
                <w:rFonts w:ascii="Arial" w:cs="Arial" w:eastAsia="Arial" w:hAnsi="Arial"/>
                <w:sz w:val="16"/>
                <w:szCs w:val="16"/>
                <w:color w:val="auto"/>
                <w:w w:val="93"/>
              </w:rPr>
              <w:t>(Address of Principal Executive Offices, including zip code)</w:t>
            </w:r>
          </w:p>
        </w:tc>
        <w:tc>
          <w:tcPr>
            <w:tcW w:w="3540" w:type="dxa"/>
            <w:vAlign w:val="bottom"/>
          </w:tcPr>
          <w:p>
            <w:pPr>
              <w:spacing w:after="0"/>
              <w:rPr>
                <w:sz w:val="17"/>
                <w:szCs w:val="17"/>
                <w:color w:val="auto"/>
              </w:rPr>
            </w:pPr>
          </w:p>
        </w:tc>
      </w:tr>
      <w:tr>
        <w:trPr>
          <w:trHeight w:val="401"/>
        </w:trPr>
        <w:tc>
          <w:tcPr>
            <w:tcW w:w="3680" w:type="dxa"/>
            <w:vAlign w:val="bottom"/>
          </w:tcPr>
          <w:p>
            <w:pPr>
              <w:spacing w:after="0"/>
              <w:rPr>
                <w:sz w:val="24"/>
                <w:szCs w:val="24"/>
                <w:color w:val="auto"/>
              </w:rPr>
            </w:pPr>
          </w:p>
        </w:tc>
        <w:tc>
          <w:tcPr>
            <w:tcW w:w="4020" w:type="dxa"/>
            <w:vAlign w:val="bottom"/>
            <w:gridSpan w:val="2"/>
          </w:tcPr>
          <w:p>
            <w:pPr>
              <w:jc w:val="right"/>
              <w:ind w:right="1399"/>
              <w:spacing w:after="0"/>
              <w:rPr>
                <w:sz w:val="20"/>
                <w:szCs w:val="20"/>
                <w:color w:val="auto"/>
              </w:rPr>
            </w:pPr>
            <w:r>
              <w:rPr>
                <w:rFonts w:ascii="Arial" w:cs="Arial" w:eastAsia="Arial" w:hAnsi="Arial"/>
                <w:sz w:val="16"/>
                <w:szCs w:val="16"/>
                <w:b w:val="1"/>
                <w:bCs w:val="1"/>
                <w:color w:val="auto"/>
              </w:rPr>
              <w:t>(508) 893-8999</w:t>
            </w:r>
          </w:p>
        </w:tc>
        <w:tc>
          <w:tcPr>
            <w:tcW w:w="3540" w:type="dxa"/>
            <w:vAlign w:val="bottom"/>
          </w:tcPr>
          <w:p>
            <w:pPr>
              <w:spacing w:after="0"/>
              <w:rPr>
                <w:sz w:val="24"/>
                <w:szCs w:val="24"/>
                <w:color w:val="auto"/>
              </w:rPr>
            </w:pPr>
          </w:p>
        </w:tc>
      </w:tr>
      <w:tr>
        <w:trPr>
          <w:trHeight w:val="206"/>
        </w:trPr>
        <w:tc>
          <w:tcPr>
            <w:tcW w:w="3680" w:type="dxa"/>
            <w:vAlign w:val="bottom"/>
          </w:tcPr>
          <w:p>
            <w:pPr>
              <w:spacing w:after="0"/>
              <w:rPr>
                <w:sz w:val="17"/>
                <w:szCs w:val="17"/>
                <w:color w:val="auto"/>
              </w:rPr>
            </w:pPr>
          </w:p>
        </w:tc>
        <w:tc>
          <w:tcPr>
            <w:tcW w:w="4020" w:type="dxa"/>
            <w:vAlign w:val="bottom"/>
            <w:gridSpan w:val="2"/>
          </w:tcPr>
          <w:p>
            <w:pPr>
              <w:jc w:val="center"/>
              <w:spacing w:after="0"/>
              <w:rPr>
                <w:sz w:val="20"/>
                <w:szCs w:val="20"/>
                <w:color w:val="auto"/>
              </w:rPr>
            </w:pPr>
            <w:r>
              <w:rPr>
                <w:rFonts w:ascii="Arial" w:cs="Arial" w:eastAsia="Arial" w:hAnsi="Arial"/>
                <w:sz w:val="16"/>
                <w:szCs w:val="16"/>
                <w:color w:val="auto"/>
                <w:w w:val="91"/>
              </w:rPr>
              <w:t>(Registrant’s telephone number, including area code)</w:t>
            </w:r>
          </w:p>
        </w:tc>
        <w:tc>
          <w:tcPr>
            <w:tcW w:w="3540" w:type="dxa"/>
            <w:vAlign w:val="bottom"/>
          </w:tcPr>
          <w:p>
            <w:pPr>
              <w:spacing w:after="0"/>
              <w:rPr>
                <w:sz w:val="17"/>
                <w:szCs w:val="17"/>
                <w:color w:val="auto"/>
              </w:rPr>
            </w:pPr>
          </w:p>
        </w:tc>
      </w:tr>
      <w:tr>
        <w:trPr>
          <w:trHeight w:val="405"/>
        </w:trPr>
        <w:tc>
          <w:tcPr>
            <w:tcW w:w="7700" w:type="dxa"/>
            <w:vAlign w:val="bottom"/>
            <w:gridSpan w:val="3"/>
          </w:tcPr>
          <w:p>
            <w:pPr>
              <w:ind w:left="280"/>
              <w:spacing w:after="0"/>
              <w:rPr>
                <w:sz w:val="20"/>
                <w:szCs w:val="20"/>
                <w:color w:val="auto"/>
              </w:rPr>
            </w:pPr>
            <w:r>
              <w:rPr>
                <w:rFonts w:ascii="Arial" w:cs="Arial" w:eastAsia="Arial" w:hAnsi="Arial"/>
                <w:sz w:val="16"/>
                <w:szCs w:val="16"/>
                <w:b w:val="1"/>
                <w:bCs w:val="1"/>
                <w:color w:val="auto"/>
              </w:rPr>
              <w:t>Securities registered pursuant to Section 12(b) of the Act</w:t>
            </w:r>
            <w:r>
              <w:rPr>
                <w:rFonts w:ascii="Arial" w:cs="Arial" w:eastAsia="Arial" w:hAnsi="Arial"/>
                <w:sz w:val="16"/>
                <w:szCs w:val="16"/>
                <w:color w:val="auto"/>
              </w:rPr>
              <w:t>:</w:t>
            </w:r>
          </w:p>
        </w:tc>
        <w:tc>
          <w:tcPr>
            <w:tcW w:w="3540" w:type="dxa"/>
            <w:vAlign w:val="bottom"/>
          </w:tcPr>
          <w:p>
            <w:pPr>
              <w:spacing w:after="0"/>
              <w:rPr>
                <w:sz w:val="24"/>
                <w:szCs w:val="24"/>
                <w:color w:val="auto"/>
              </w:rPr>
            </w:pPr>
          </w:p>
        </w:tc>
      </w:tr>
      <w:tr>
        <w:trPr>
          <w:trHeight w:val="225"/>
        </w:trPr>
        <w:tc>
          <w:tcPr>
            <w:tcW w:w="36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tcPr>
          <w:p>
            <w:pPr>
              <w:spacing w:after="0"/>
              <w:rPr>
                <w:sz w:val="19"/>
                <w:szCs w:val="19"/>
                <w:color w:val="auto"/>
              </w:rPr>
            </w:pPr>
          </w:p>
        </w:tc>
      </w:tr>
      <w:tr>
        <w:trPr>
          <w:trHeight w:val="196"/>
        </w:trPr>
        <w:tc>
          <w:tcPr>
            <w:tcW w:w="3680" w:type="dxa"/>
            <w:vAlign w:val="bottom"/>
            <w:tcBorders>
              <w:left w:val="single" w:sz="8" w:color="auto"/>
              <w:bottom w:val="single" w:sz="8" w:color="auto"/>
            </w:tcBorders>
          </w:tcPr>
          <w:p>
            <w:pPr>
              <w:jc w:val="center"/>
              <w:ind w:left="1399"/>
              <w:spacing w:after="0" w:line="176" w:lineRule="exact"/>
              <w:rPr>
                <w:sz w:val="20"/>
                <w:szCs w:val="20"/>
                <w:color w:val="auto"/>
              </w:rPr>
            </w:pPr>
            <w:r>
              <w:rPr>
                <w:rFonts w:ascii="Arial" w:cs="Arial" w:eastAsia="Arial" w:hAnsi="Arial"/>
                <w:sz w:val="16"/>
                <w:szCs w:val="16"/>
                <w:color w:val="auto"/>
                <w:w w:val="90"/>
              </w:rPr>
              <w:t>Title of each class</w:t>
            </w:r>
          </w:p>
        </w:tc>
        <w:tc>
          <w:tcPr>
            <w:tcW w:w="1480" w:type="dxa"/>
            <w:vAlign w:val="bottom"/>
            <w:tcBorders>
              <w:bottom w:val="single" w:sz="8" w:color="auto"/>
              <w:right w:val="single" w:sz="8" w:color="auto"/>
            </w:tcBorders>
          </w:tcPr>
          <w:p>
            <w:pPr>
              <w:spacing w:after="0"/>
              <w:rPr>
                <w:sz w:val="17"/>
                <w:szCs w:val="17"/>
                <w:color w:val="auto"/>
              </w:rPr>
            </w:pPr>
          </w:p>
        </w:tc>
        <w:tc>
          <w:tcPr>
            <w:tcW w:w="2540" w:type="dxa"/>
            <w:vAlign w:val="bottom"/>
            <w:tcBorders>
              <w:bottom w:val="single" w:sz="8" w:color="auto"/>
              <w:right w:val="single" w:sz="8" w:color="auto"/>
            </w:tcBorders>
          </w:tcPr>
          <w:p>
            <w:pPr>
              <w:jc w:val="center"/>
              <w:spacing w:after="0" w:line="176" w:lineRule="exact"/>
              <w:rPr>
                <w:sz w:val="20"/>
                <w:szCs w:val="20"/>
                <w:color w:val="auto"/>
              </w:rPr>
            </w:pPr>
            <w:r>
              <w:rPr>
                <w:rFonts w:ascii="Arial" w:cs="Arial" w:eastAsia="Arial" w:hAnsi="Arial"/>
                <w:sz w:val="16"/>
                <w:szCs w:val="16"/>
                <w:color w:val="auto"/>
                <w:w w:val="93"/>
              </w:rPr>
              <w:t>Trading Symbol(s)</w:t>
            </w:r>
          </w:p>
        </w:tc>
        <w:tc>
          <w:tcPr>
            <w:tcW w:w="3540" w:type="dxa"/>
            <w:vAlign w:val="bottom"/>
            <w:tcBorders>
              <w:bottom w:val="single" w:sz="8" w:color="auto"/>
              <w:right w:val="single" w:sz="8" w:color="auto"/>
            </w:tcBorders>
          </w:tcPr>
          <w:p>
            <w:pPr>
              <w:ind w:left="320"/>
              <w:spacing w:after="0" w:line="176" w:lineRule="exact"/>
              <w:rPr>
                <w:sz w:val="20"/>
                <w:szCs w:val="20"/>
                <w:color w:val="auto"/>
              </w:rPr>
            </w:pPr>
            <w:r>
              <w:rPr>
                <w:rFonts w:ascii="Arial" w:cs="Arial" w:eastAsia="Arial" w:hAnsi="Arial"/>
                <w:sz w:val="16"/>
                <w:szCs w:val="16"/>
                <w:color w:val="auto"/>
              </w:rPr>
              <w:t>Name of each exchange on which registered</w:t>
            </w:r>
          </w:p>
        </w:tc>
      </w:tr>
      <w:tr>
        <w:trPr>
          <w:trHeight w:val="179"/>
        </w:trPr>
        <w:tc>
          <w:tcPr>
            <w:tcW w:w="3680" w:type="dxa"/>
            <w:vAlign w:val="bottom"/>
            <w:tcBorders>
              <w:left w:val="single" w:sz="8" w:color="auto"/>
              <w:bottom w:val="single" w:sz="8" w:color="auto"/>
            </w:tcBorders>
          </w:tcPr>
          <w:p>
            <w:pPr>
              <w:jc w:val="center"/>
              <w:ind w:left="1399"/>
              <w:spacing w:after="0" w:line="179" w:lineRule="exact"/>
              <w:rPr>
                <w:sz w:val="20"/>
                <w:szCs w:val="20"/>
                <w:color w:val="auto"/>
              </w:rPr>
            </w:pPr>
            <w:r>
              <w:rPr>
                <w:rFonts w:ascii="Arial" w:cs="Arial" w:eastAsia="Arial" w:hAnsi="Arial"/>
                <w:sz w:val="16"/>
                <w:szCs w:val="16"/>
                <w:color w:val="auto"/>
                <w:w w:val="90"/>
              </w:rPr>
              <w:t>Common Stock, $0.01 par value</w:t>
            </w:r>
          </w:p>
        </w:tc>
        <w:tc>
          <w:tcPr>
            <w:tcW w:w="1480" w:type="dxa"/>
            <w:vAlign w:val="bottom"/>
            <w:tcBorders>
              <w:bottom w:val="single" w:sz="8" w:color="auto"/>
              <w:right w:val="single" w:sz="8" w:color="auto"/>
            </w:tcBorders>
          </w:tcPr>
          <w:p>
            <w:pPr>
              <w:spacing w:after="0"/>
              <w:rPr>
                <w:sz w:val="15"/>
                <w:szCs w:val="15"/>
                <w:color w:val="auto"/>
              </w:rPr>
            </w:pPr>
          </w:p>
        </w:tc>
        <w:tc>
          <w:tcPr>
            <w:tcW w:w="2540" w:type="dxa"/>
            <w:vAlign w:val="bottom"/>
            <w:tcBorders>
              <w:bottom w:val="single" w:sz="8" w:color="auto"/>
              <w:right w:val="single" w:sz="8" w:color="auto"/>
            </w:tcBorders>
          </w:tcPr>
          <w:p>
            <w:pPr>
              <w:jc w:val="center"/>
              <w:spacing w:after="0" w:line="179" w:lineRule="exact"/>
              <w:rPr>
                <w:sz w:val="20"/>
                <w:szCs w:val="20"/>
                <w:color w:val="auto"/>
              </w:rPr>
            </w:pPr>
            <w:r>
              <w:rPr>
                <w:rFonts w:ascii="Arial" w:cs="Arial" w:eastAsia="Arial" w:hAnsi="Arial"/>
                <w:sz w:val="16"/>
                <w:szCs w:val="16"/>
                <w:color w:val="auto"/>
              </w:rPr>
              <w:t>HBIO</w:t>
            </w:r>
          </w:p>
        </w:tc>
        <w:tc>
          <w:tcPr>
            <w:tcW w:w="3540" w:type="dxa"/>
            <w:vAlign w:val="bottom"/>
            <w:tcBorders>
              <w:bottom w:val="single" w:sz="8" w:color="auto"/>
              <w:right w:val="single" w:sz="8" w:color="auto"/>
            </w:tcBorders>
          </w:tcPr>
          <w:p>
            <w:pPr>
              <w:ind w:left="880"/>
              <w:spacing w:after="0" w:line="179" w:lineRule="exact"/>
              <w:rPr>
                <w:sz w:val="20"/>
                <w:szCs w:val="20"/>
                <w:color w:val="auto"/>
              </w:rPr>
            </w:pPr>
            <w:r>
              <w:rPr>
                <w:rFonts w:ascii="Arial" w:cs="Arial" w:eastAsia="Arial" w:hAnsi="Arial"/>
                <w:sz w:val="16"/>
                <w:szCs w:val="16"/>
                <w:color w:val="auto"/>
              </w:rPr>
              <w:t>The Nasdaq Global Market</w:t>
            </w:r>
          </w:p>
        </w:tc>
      </w:tr>
    </w:tbl>
    <w:p>
      <w:pPr>
        <w:spacing w:after="0" w:line="193" w:lineRule="exact"/>
        <w:rPr>
          <w:sz w:val="24"/>
          <w:szCs w:val="24"/>
          <w:color w:val="auto"/>
        </w:rPr>
      </w:pPr>
    </w:p>
    <w:p>
      <w:pPr>
        <w:ind w:left="160" w:right="24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ind w:left="160" w:right="22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 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82" w:lineRule="exact"/>
        <w:rPr>
          <w:sz w:val="24"/>
          <w:szCs w:val="24"/>
          <w:color w:val="auto"/>
        </w:rPr>
      </w:pPr>
    </w:p>
    <w:p>
      <w:pPr>
        <w:ind w:left="160" w:right="10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79" w:right="339" w:bottom="1440" w:gutter="0" w:footer="0" w:header="0"/>
        </w:sectPr>
      </w:pPr>
    </w:p>
    <w:p>
      <w:pPr>
        <w:spacing w:after="0" w:line="141" w:lineRule="exact"/>
        <w:rPr>
          <w:sz w:val="24"/>
          <w:szCs w:val="24"/>
          <w:color w:val="auto"/>
        </w:rPr>
      </w:pPr>
    </w:p>
    <w:p>
      <w:pPr>
        <w:ind w:left="36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85" w:lineRule="exact"/>
        <w:rPr>
          <w:sz w:val="24"/>
          <w:szCs w:val="24"/>
          <w:color w:val="auto"/>
        </w:rPr>
      </w:pPr>
    </w:p>
    <w:p>
      <w:pPr>
        <w:ind w:left="360"/>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ind w:left="2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63" w:lineRule="exact"/>
        <w:rPr>
          <w:sz w:val="24"/>
          <w:szCs w:val="24"/>
          <w:color w:val="auto"/>
        </w:rPr>
      </w:pPr>
    </w:p>
    <w:p>
      <w:pPr>
        <w:ind w:left="20"/>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42"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200" w:lineRule="exact"/>
        <w:rPr>
          <w:sz w:val="24"/>
          <w:szCs w:val="24"/>
          <w:color w:val="auto"/>
        </w:rPr>
      </w:pPr>
    </w:p>
    <w:p>
      <w:pPr>
        <w:sectPr>
          <w:pgSz w:w="11900" w:h="16838" w:orient="portrait"/>
          <w:cols w:equalWidth="0" w:num="2">
            <w:col w:w="2880" w:space="720"/>
            <w:col w:w="7640"/>
          </w:cols>
          <w:pgMar w:left="320" w:top="679" w:right="339" w:bottom="1440" w:gutter="0" w:footer="0" w:header="0"/>
          <w:type w:val="continuous"/>
        </w:sectPr>
      </w:pPr>
    </w:p>
    <w:p>
      <w:pPr>
        <w:spacing w:after="0" w:line="19" w:lineRule="exact"/>
        <w:rPr>
          <w:sz w:val="24"/>
          <w:szCs w:val="24"/>
          <w:color w:val="auto"/>
        </w:rPr>
      </w:pPr>
    </w:p>
    <w:p>
      <w:pPr>
        <w:ind w:left="160" w:right="44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51" w:lineRule="exact"/>
        <w:rPr>
          <w:sz w:val="24"/>
          <w:szCs w:val="24"/>
          <w:color w:val="auto"/>
        </w:rPr>
      </w:pPr>
    </w:p>
    <w:p>
      <w:pPr>
        <w:ind w:left="16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1" w:lineRule="exact"/>
        <w:rPr>
          <w:sz w:val="24"/>
          <w:szCs w:val="24"/>
          <w:color w:val="auto"/>
        </w:rPr>
      </w:pPr>
    </w:p>
    <w:p>
      <w:pPr>
        <w:ind w:left="160"/>
        <w:spacing w:after="0"/>
        <w:rPr>
          <w:sz w:val="20"/>
          <w:szCs w:val="20"/>
          <w:color w:val="auto"/>
        </w:rPr>
      </w:pPr>
      <w:r>
        <w:rPr>
          <w:rFonts w:ascii="Arial" w:cs="Arial" w:eastAsia="Arial" w:hAnsi="Arial"/>
          <w:sz w:val="16"/>
          <w:szCs w:val="16"/>
          <w:color w:val="auto"/>
        </w:rPr>
        <w:t>As of November 1, 2021, there were 40,810,515 shares of the registrant’s common stock issued and outstanding.</w:t>
      </w: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10000" w:type="dxa"/>
            <w:vAlign w:val="bottom"/>
            <w:gridSpan w:val="25"/>
          </w:tcPr>
          <w:p>
            <w:pPr>
              <w:spacing w:after="0"/>
              <w:rPr>
                <w:sz w:val="20"/>
                <w:szCs w:val="20"/>
                <w:color w:val="auto"/>
              </w:rPr>
            </w:pPr>
            <w:r>
              <w:rPr>
                <w:rFonts w:ascii="Arial" w:cs="Arial" w:eastAsia="Arial" w:hAnsi="Arial"/>
                <w:sz w:val="16"/>
                <w:szCs w:val="16"/>
                <w:color w:val="0000EE"/>
              </w:rPr>
              <w:t>Table of Contents</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6"/>
        </w:trPr>
        <w:tc>
          <w:tcPr>
            <w:tcW w:w="2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40" w:type="dxa"/>
            <w:vAlign w:val="bottom"/>
            <w:gridSpan w:val="9"/>
          </w:tcPr>
          <w:p>
            <w:pPr>
              <w:jc w:val="center"/>
              <w:ind w:right="2640"/>
              <w:spacing w:after="0"/>
              <w:rPr>
                <w:sz w:val="20"/>
                <w:szCs w:val="20"/>
                <w:color w:val="auto"/>
              </w:rPr>
            </w:pPr>
            <w:r>
              <w:rPr>
                <w:rFonts w:ascii="Arial" w:cs="Arial" w:eastAsia="Arial" w:hAnsi="Arial"/>
                <w:sz w:val="16"/>
                <w:szCs w:val="16"/>
                <w:b w:val="1"/>
                <w:bCs w:val="1"/>
                <w:color w:val="auto"/>
              </w:rPr>
              <w:t>HARVARD BIOSCIENCE, INC.</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120" w:type="dxa"/>
            <w:vAlign w:val="bottom"/>
            <w:gridSpan w:val="7"/>
          </w:tcPr>
          <w:p>
            <w:pPr>
              <w:jc w:val="center"/>
              <w:ind w:right="3960"/>
              <w:spacing w:after="0"/>
              <w:rPr>
                <w:sz w:val="20"/>
                <w:szCs w:val="20"/>
                <w:color w:val="auto"/>
              </w:rPr>
            </w:pPr>
            <w:r>
              <w:rPr>
                <w:rFonts w:ascii="Arial" w:cs="Arial" w:eastAsia="Arial" w:hAnsi="Arial"/>
                <w:sz w:val="16"/>
                <w:szCs w:val="16"/>
                <w:b w:val="1"/>
                <w:bCs w:val="1"/>
                <w:color w:val="auto"/>
              </w:rPr>
              <w:t>FORM 10-Q</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120" w:type="dxa"/>
            <w:vAlign w:val="bottom"/>
            <w:gridSpan w:val="7"/>
          </w:tcPr>
          <w:p>
            <w:pPr>
              <w:jc w:val="center"/>
              <w:ind w:right="3960"/>
              <w:spacing w:after="0"/>
              <w:rPr>
                <w:sz w:val="20"/>
                <w:szCs w:val="20"/>
                <w:color w:val="auto"/>
              </w:rPr>
            </w:pPr>
            <w:r>
              <w:rPr>
                <w:rFonts w:ascii="Arial" w:cs="Arial" w:eastAsia="Arial" w:hAnsi="Arial"/>
                <w:sz w:val="16"/>
                <w:szCs w:val="16"/>
                <w:b w:val="1"/>
                <w:bCs w:val="1"/>
                <w:color w:val="auto"/>
              </w:rPr>
              <w:t>INDEX</w:t>
            </w:r>
          </w:p>
        </w:tc>
        <w:tc>
          <w:tcPr>
            <w:tcW w:w="124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03"/>
        </w:trPr>
        <w:tc>
          <w:tcPr>
            <w:tcW w:w="2660" w:type="dxa"/>
            <w:vAlign w:val="bottom"/>
            <w:gridSpan w:val="14"/>
            <w:vMerge w:val="restart"/>
          </w:tcPr>
          <w:p>
            <w:pPr>
              <w:spacing w:after="0"/>
              <w:rPr>
                <w:rFonts w:ascii="Arial" w:cs="Arial" w:eastAsia="Arial" w:hAnsi="Arial"/>
                <w:sz w:val="16"/>
                <w:szCs w:val="16"/>
                <w:color w:val="0000EE"/>
                <w:w w:val="99"/>
              </w:rPr>
            </w:pPr>
            <w:hyperlink w:anchor="page3">
              <w:r>
                <w:rPr>
                  <w:rFonts w:ascii="Arial" w:cs="Arial" w:eastAsia="Arial" w:hAnsi="Arial"/>
                  <w:sz w:val="16"/>
                  <w:szCs w:val="16"/>
                  <w:color w:val="0000EE"/>
                  <w:w w:val="99"/>
                </w:rPr>
                <w:t>PART I - FINANCIAL INFORMATION</w:t>
              </w:r>
            </w:hyperlink>
          </w:p>
        </w:tc>
        <w:tc>
          <w:tcPr>
            <w:tcW w:w="7340" w:type="dxa"/>
            <w:vAlign w:val="bottom"/>
            <w:gridSpan w:val="11"/>
            <w:vMerge w:val="restart"/>
          </w:tcPr>
          <w:p>
            <w:pPr>
              <w:spacing w:after="0"/>
              <w:rPr>
                <w:sz w:val="17"/>
                <w:szCs w:val="17"/>
                <w:color w:val="auto"/>
              </w:rPr>
            </w:pPr>
          </w:p>
        </w:tc>
        <w:tc>
          <w:tcPr>
            <w:tcW w:w="12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660" w:type="dxa"/>
            <w:vAlign w:val="bottom"/>
            <w:tcBorders>
              <w:bottom w:val="single" w:sz="8" w:color="0000EE"/>
            </w:tcBorders>
            <w:gridSpan w:val="14"/>
            <w:vMerge w:val="continue"/>
          </w:tcPr>
          <w:p>
            <w:pPr>
              <w:spacing w:after="0"/>
              <w:rPr>
                <w:sz w:val="14"/>
                <w:szCs w:val="14"/>
                <w:color w:val="auto"/>
              </w:rPr>
            </w:pPr>
          </w:p>
        </w:tc>
        <w:tc>
          <w:tcPr>
            <w:tcW w:w="7340" w:type="dxa"/>
            <w:vAlign w:val="bottom"/>
            <w:gridSpan w:val="11"/>
            <w:vMerge w:val="continue"/>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10000" w:type="dxa"/>
            <w:vAlign w:val="bottom"/>
            <w:gridSpan w:val="25"/>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Item 1.   Financial Statements</w:t>
              </w:r>
            </w:hyperlink>
          </w:p>
        </w:tc>
        <w:tc>
          <w:tcPr>
            <w:tcW w:w="1240" w:type="dxa"/>
            <w:vAlign w:val="bottom"/>
            <w:gridSpan w:val="3"/>
          </w:tcPr>
          <w:p>
            <w:pPr>
              <w:jc w:val="right"/>
              <w:spacing w:after="0"/>
              <w:rPr>
                <w:rFonts w:ascii="Arial" w:cs="Arial" w:eastAsia="Arial" w:hAnsi="Arial"/>
                <w:sz w:val="16"/>
                <w:szCs w:val="16"/>
                <w:color w:val="0000EE"/>
              </w:rPr>
            </w:pPr>
            <w:hyperlink w:anchor="page3">
              <w:r>
                <w:rPr>
                  <w:rFonts w:ascii="Arial" w:cs="Arial" w:eastAsia="Arial" w:hAnsi="Arial"/>
                  <w:sz w:val="16"/>
                  <w:szCs w:val="16"/>
                  <w:color w:val="0000EE"/>
                </w:rPr>
                <w:t>3</w:t>
              </w:r>
            </w:hyperlink>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960" w:type="dxa"/>
            <w:vAlign w:val="bottom"/>
            <w:gridSpan w:val="19"/>
          </w:tcPr>
          <w:p>
            <w:pPr>
              <w:spacing w:after="0"/>
              <w:rPr>
                <w:rFonts w:ascii="Arial" w:cs="Arial" w:eastAsia="Arial" w:hAnsi="Arial"/>
                <w:sz w:val="16"/>
                <w:szCs w:val="16"/>
                <w:color w:val="0000EE"/>
                <w:w w:val="90"/>
              </w:rPr>
            </w:pPr>
            <w:hyperlink w:anchor="page3">
              <w:r>
                <w:rPr>
                  <w:rFonts w:ascii="Arial" w:cs="Arial" w:eastAsia="Arial" w:hAnsi="Arial"/>
                  <w:sz w:val="16"/>
                  <w:szCs w:val="16"/>
                  <w:color w:val="0000EE"/>
                  <w:w w:val="90"/>
                </w:rPr>
                <w:t>Consolidated Balance Sheets as of September 30, 2021 and December 31, 2020 (unaudited)</w:t>
              </w:r>
            </w:hyperlink>
          </w:p>
        </w:tc>
        <w:tc>
          <w:tcPr>
            <w:tcW w:w="4040" w:type="dxa"/>
            <w:vAlign w:val="bottom"/>
            <w:gridSpan w:val="6"/>
          </w:tcPr>
          <w:p>
            <w:pPr>
              <w:spacing w:after="0"/>
              <w:rPr>
                <w:sz w:val="24"/>
                <w:szCs w:val="24"/>
                <w:color w:val="auto"/>
              </w:rPr>
            </w:pPr>
          </w:p>
        </w:tc>
        <w:tc>
          <w:tcPr>
            <w:tcW w:w="1240" w:type="dxa"/>
            <w:vAlign w:val="bottom"/>
            <w:gridSpan w:val="3"/>
          </w:tcPr>
          <w:p>
            <w:pPr>
              <w:jc w:val="right"/>
              <w:spacing w:after="0"/>
              <w:rPr>
                <w:rFonts w:ascii="Arial" w:cs="Arial" w:eastAsia="Arial" w:hAnsi="Arial"/>
                <w:sz w:val="16"/>
                <w:szCs w:val="16"/>
                <w:color w:val="0000EE"/>
              </w:rPr>
            </w:pPr>
            <w:hyperlink w:anchor="page3">
              <w:r>
                <w:rPr>
                  <w:rFonts w:ascii="Arial" w:cs="Arial" w:eastAsia="Arial" w:hAnsi="Arial"/>
                  <w:sz w:val="16"/>
                  <w:szCs w:val="16"/>
                  <w:color w:val="0000EE"/>
                </w:rPr>
                <w:t>3</w:t>
              </w:r>
            </w:hyperlink>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820" w:type="dxa"/>
            <w:vAlign w:val="bottom"/>
            <w:gridSpan w:val="22"/>
          </w:tcPr>
          <w:p>
            <w:pPr>
              <w:spacing w:after="0"/>
              <w:rPr>
                <w:rFonts w:ascii="Arial" w:cs="Arial" w:eastAsia="Arial" w:hAnsi="Arial"/>
                <w:sz w:val="16"/>
                <w:szCs w:val="16"/>
                <w:color w:val="0000EE"/>
                <w:w w:val="90"/>
              </w:rPr>
            </w:pPr>
            <w:hyperlink w:anchor="page4">
              <w:r>
                <w:rPr>
                  <w:rFonts w:ascii="Arial" w:cs="Arial" w:eastAsia="Arial" w:hAnsi="Arial"/>
                  <w:sz w:val="16"/>
                  <w:szCs w:val="16"/>
                  <w:color w:val="0000EE"/>
                  <w:w w:val="90"/>
                </w:rPr>
                <w:t>Consolidated Statements of Operations for the Three and Nine Months Ended September 30, 2021 and 2020 (unaudited)</w:t>
              </w:r>
            </w:hyperlink>
          </w:p>
        </w:tc>
        <w:tc>
          <w:tcPr>
            <w:tcW w:w="2180" w:type="dxa"/>
            <w:vAlign w:val="bottom"/>
            <w:gridSpan w:val="3"/>
          </w:tcPr>
          <w:p>
            <w:pPr>
              <w:spacing w:after="0"/>
              <w:rPr>
                <w:sz w:val="24"/>
                <w:szCs w:val="24"/>
                <w:color w:val="auto"/>
              </w:rPr>
            </w:pPr>
          </w:p>
        </w:tc>
        <w:tc>
          <w:tcPr>
            <w:tcW w:w="1240" w:type="dxa"/>
            <w:vAlign w:val="bottom"/>
            <w:gridSpan w:val="3"/>
          </w:tcPr>
          <w:p>
            <w:pPr>
              <w:jc w:val="right"/>
              <w:spacing w:after="0"/>
              <w:rPr>
                <w:rFonts w:ascii="Arial" w:cs="Arial" w:eastAsia="Arial" w:hAnsi="Arial"/>
                <w:sz w:val="16"/>
                <w:szCs w:val="16"/>
                <w:color w:val="0000EE"/>
              </w:rPr>
            </w:pPr>
            <w:hyperlink w:anchor="page4">
              <w:r>
                <w:rPr>
                  <w:rFonts w:ascii="Arial" w:cs="Arial" w:eastAsia="Arial" w:hAnsi="Arial"/>
                  <w:sz w:val="16"/>
                  <w:szCs w:val="16"/>
                  <w:color w:val="0000EE"/>
                </w:rPr>
                <w:t>4</w:t>
              </w:r>
            </w:hyperlink>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000" w:type="dxa"/>
            <w:vAlign w:val="bottom"/>
            <w:gridSpan w:val="25"/>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Consolidated Statements of Comprehensive Income (Loss) for the Three and Nine Months Ended September 30, 2021 and 2020 (unaudited)</w:t>
              </w:r>
            </w:hyperlink>
          </w:p>
        </w:tc>
        <w:tc>
          <w:tcPr>
            <w:tcW w:w="1240" w:type="dxa"/>
            <w:vAlign w:val="bottom"/>
            <w:gridSpan w:val="3"/>
          </w:tcPr>
          <w:p>
            <w:pPr>
              <w:jc w:val="right"/>
              <w:spacing w:after="0"/>
              <w:rPr>
                <w:rFonts w:ascii="Arial" w:cs="Arial" w:eastAsia="Arial" w:hAnsi="Arial"/>
                <w:sz w:val="16"/>
                <w:szCs w:val="16"/>
                <w:color w:val="0000EE"/>
              </w:rPr>
            </w:pPr>
            <w:hyperlink w:anchor="page5">
              <w:r>
                <w:rPr>
                  <w:rFonts w:ascii="Arial" w:cs="Arial" w:eastAsia="Arial" w:hAnsi="Arial"/>
                  <w:sz w:val="16"/>
                  <w:szCs w:val="16"/>
                  <w:color w:val="0000EE"/>
                </w:rPr>
                <w:t>5</w:t>
              </w:r>
            </w:hyperlink>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460" w:type="dxa"/>
            <w:vAlign w:val="bottom"/>
            <w:gridSpan w:val="23"/>
          </w:tcPr>
          <w:p>
            <w:pPr>
              <w:spacing w:after="0"/>
              <w:rPr>
                <w:rFonts w:ascii="Arial" w:cs="Arial" w:eastAsia="Arial" w:hAnsi="Arial"/>
                <w:sz w:val="16"/>
                <w:szCs w:val="16"/>
                <w:color w:val="0000EE"/>
                <w:w w:val="91"/>
              </w:rPr>
            </w:pPr>
            <w:hyperlink w:anchor="page6">
              <w:r>
                <w:rPr>
                  <w:rFonts w:ascii="Arial" w:cs="Arial" w:eastAsia="Arial" w:hAnsi="Arial"/>
                  <w:sz w:val="16"/>
                  <w:szCs w:val="16"/>
                  <w:color w:val="0000EE"/>
                  <w:w w:val="91"/>
                </w:rPr>
                <w:t>Consolidated Statements of Stockholders' Equity for the Three and Nine Months Ended September 30, 2021 and 2020 (unaudited)</w:t>
              </w:r>
            </w:hyperlink>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gridSpan w:val="3"/>
          </w:tcPr>
          <w:p>
            <w:pPr>
              <w:jc w:val="right"/>
              <w:spacing w:after="0"/>
              <w:rPr>
                <w:rFonts w:ascii="Arial" w:cs="Arial" w:eastAsia="Arial" w:hAnsi="Arial"/>
                <w:sz w:val="16"/>
                <w:szCs w:val="16"/>
                <w:color w:val="0000EE"/>
              </w:rPr>
            </w:pPr>
            <w:hyperlink w:anchor="page6">
              <w:r>
                <w:rPr>
                  <w:rFonts w:ascii="Arial" w:cs="Arial" w:eastAsia="Arial" w:hAnsi="Arial"/>
                  <w:sz w:val="16"/>
                  <w:szCs w:val="16"/>
                  <w:color w:val="0000EE"/>
                </w:rPr>
                <w:t>6</w:t>
              </w:r>
            </w:hyperlink>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180" w:type="dxa"/>
            <w:vAlign w:val="bottom"/>
            <w:gridSpan w:val="21"/>
          </w:tcPr>
          <w:p>
            <w:pPr>
              <w:spacing w:after="0"/>
              <w:rPr>
                <w:rFonts w:ascii="Arial" w:cs="Arial" w:eastAsia="Arial" w:hAnsi="Arial"/>
                <w:sz w:val="16"/>
                <w:szCs w:val="16"/>
                <w:color w:val="0000EE"/>
                <w:w w:val="91"/>
              </w:rPr>
            </w:pPr>
            <w:hyperlink w:anchor="page7">
              <w:r>
                <w:rPr>
                  <w:rFonts w:ascii="Arial" w:cs="Arial" w:eastAsia="Arial" w:hAnsi="Arial"/>
                  <w:sz w:val="16"/>
                  <w:szCs w:val="16"/>
                  <w:color w:val="0000EE"/>
                  <w:w w:val="91"/>
                </w:rPr>
                <w:t>Consolidated Statements of Cash Flows for the Nine Months Ended September 30, 2021 and 2020 (unaudited)</w:t>
              </w:r>
            </w:hyperlink>
          </w:p>
        </w:tc>
        <w:tc>
          <w:tcPr>
            <w:tcW w:w="1280" w:type="dxa"/>
            <w:vAlign w:val="bottom"/>
            <w:gridSpan w:val="2"/>
          </w:tcPr>
          <w:p>
            <w:pPr>
              <w:spacing w:after="0"/>
              <w:rPr>
                <w:sz w:val="24"/>
                <w:szCs w:val="24"/>
                <w:color w:val="auto"/>
              </w:rPr>
            </w:pPr>
          </w:p>
        </w:tc>
        <w:tc>
          <w:tcPr>
            <w:tcW w:w="1540" w:type="dxa"/>
            <w:vAlign w:val="bottom"/>
            <w:gridSpan w:val="2"/>
          </w:tcPr>
          <w:p>
            <w:pPr>
              <w:spacing w:after="0"/>
              <w:rPr>
                <w:sz w:val="24"/>
                <w:szCs w:val="24"/>
                <w:color w:val="auto"/>
              </w:rPr>
            </w:pPr>
          </w:p>
        </w:tc>
        <w:tc>
          <w:tcPr>
            <w:tcW w:w="1240" w:type="dxa"/>
            <w:vAlign w:val="bottom"/>
            <w:gridSpan w:val="3"/>
          </w:tcPr>
          <w:p>
            <w:pPr>
              <w:jc w:val="right"/>
              <w:spacing w:after="0"/>
              <w:rPr>
                <w:rFonts w:ascii="Arial" w:cs="Arial" w:eastAsia="Arial" w:hAnsi="Arial"/>
                <w:sz w:val="16"/>
                <w:szCs w:val="16"/>
                <w:color w:val="0000EE"/>
              </w:rPr>
            </w:pPr>
            <w:hyperlink w:anchor="page7">
              <w:r>
                <w:rPr>
                  <w:rFonts w:ascii="Arial" w:cs="Arial" w:eastAsia="Arial" w:hAnsi="Arial"/>
                  <w:sz w:val="16"/>
                  <w:szCs w:val="16"/>
                  <w:color w:val="0000EE"/>
                </w:rPr>
                <w:t>7</w:t>
              </w:r>
            </w:hyperlink>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560" w:type="dxa"/>
            <w:vAlign w:val="bottom"/>
            <w:gridSpan w:val="16"/>
          </w:tcPr>
          <w:p>
            <w:pPr>
              <w:spacing w:after="0"/>
              <w:rPr>
                <w:rFonts w:ascii="Arial" w:cs="Arial" w:eastAsia="Arial" w:hAnsi="Arial"/>
                <w:sz w:val="16"/>
                <w:szCs w:val="16"/>
                <w:color w:val="0000EE"/>
                <w:w w:val="91"/>
              </w:rPr>
            </w:pPr>
            <w:hyperlink w:anchor="page8">
              <w:r>
                <w:rPr>
                  <w:rFonts w:ascii="Arial" w:cs="Arial" w:eastAsia="Arial" w:hAnsi="Arial"/>
                  <w:sz w:val="16"/>
                  <w:szCs w:val="16"/>
                  <w:color w:val="0000EE"/>
                  <w:w w:val="91"/>
                </w:rPr>
                <w:t>Notes to Unaudited Consolidated Financial Statements</w:t>
              </w:r>
            </w:hyperlink>
          </w:p>
        </w:tc>
        <w:tc>
          <w:tcPr>
            <w:tcW w:w="3620" w:type="dxa"/>
            <w:vAlign w:val="bottom"/>
            <w:gridSpan w:val="5"/>
          </w:tcPr>
          <w:p>
            <w:pPr>
              <w:spacing w:after="0"/>
              <w:rPr>
                <w:sz w:val="24"/>
                <w:szCs w:val="24"/>
                <w:color w:val="auto"/>
              </w:rPr>
            </w:pPr>
          </w:p>
        </w:tc>
        <w:tc>
          <w:tcPr>
            <w:tcW w:w="2820" w:type="dxa"/>
            <w:vAlign w:val="bottom"/>
            <w:gridSpan w:val="4"/>
          </w:tcPr>
          <w:p>
            <w:pPr>
              <w:spacing w:after="0"/>
              <w:rPr>
                <w:sz w:val="24"/>
                <w:szCs w:val="24"/>
                <w:color w:val="auto"/>
              </w:rPr>
            </w:pPr>
          </w:p>
        </w:tc>
        <w:tc>
          <w:tcPr>
            <w:tcW w:w="1240" w:type="dxa"/>
            <w:vAlign w:val="bottom"/>
            <w:gridSpan w:val="3"/>
          </w:tcPr>
          <w:p>
            <w:pPr>
              <w:jc w:val="right"/>
              <w:spacing w:after="0"/>
              <w:rPr>
                <w:rFonts w:ascii="Arial" w:cs="Arial" w:eastAsia="Arial" w:hAnsi="Arial"/>
                <w:sz w:val="16"/>
                <w:szCs w:val="16"/>
                <w:color w:val="0000EE"/>
              </w:rPr>
            </w:pPr>
            <w:hyperlink w:anchor="page8">
              <w:r>
                <w:rPr>
                  <w:rFonts w:ascii="Arial" w:cs="Arial" w:eastAsia="Arial" w:hAnsi="Arial"/>
                  <w:sz w:val="16"/>
                  <w:szCs w:val="16"/>
                  <w:color w:val="0000EE"/>
                </w:rPr>
                <w:t>8</w:t>
              </w:r>
            </w:hyperlink>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52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000" w:type="dxa"/>
            <w:vAlign w:val="bottom"/>
            <w:gridSpan w:val="25"/>
          </w:tcPr>
          <w:p>
            <w:pPr>
              <w:spacing w:after="0"/>
              <w:rPr>
                <w:rFonts w:ascii="Arial" w:cs="Arial" w:eastAsia="Arial" w:hAnsi="Arial"/>
                <w:sz w:val="16"/>
                <w:szCs w:val="16"/>
                <w:color w:val="0000EE"/>
              </w:rPr>
            </w:pPr>
            <w:hyperlink w:anchor="page17">
              <w:r>
                <w:rPr>
                  <w:rFonts w:ascii="Arial" w:cs="Arial" w:eastAsia="Arial" w:hAnsi="Arial"/>
                  <w:sz w:val="16"/>
                  <w:szCs w:val="16"/>
                  <w:color w:val="0000EE"/>
                </w:rPr>
                <w:t>Item 2.   Management’s Discussion and Analysis of Financial Condition and Results of Operations</w:t>
              </w:r>
            </w:hyperlink>
          </w:p>
        </w:tc>
        <w:tc>
          <w:tcPr>
            <w:tcW w:w="1240" w:type="dxa"/>
            <w:vAlign w:val="bottom"/>
            <w:gridSpan w:val="3"/>
          </w:tcPr>
          <w:p>
            <w:pPr>
              <w:jc w:val="right"/>
              <w:spacing w:after="0"/>
              <w:rPr>
                <w:rFonts w:ascii="Arial" w:cs="Arial" w:eastAsia="Arial" w:hAnsi="Arial"/>
                <w:sz w:val="16"/>
                <w:szCs w:val="16"/>
                <w:color w:val="0000EE"/>
              </w:rPr>
            </w:pPr>
            <w:hyperlink w:anchor="page17">
              <w:r>
                <w:rPr>
                  <w:rFonts w:ascii="Arial" w:cs="Arial" w:eastAsia="Arial" w:hAnsi="Arial"/>
                  <w:sz w:val="16"/>
                  <w:szCs w:val="16"/>
                  <w:color w:val="0000EE"/>
                </w:rPr>
                <w:t>17</w:t>
              </w:r>
            </w:hyperlink>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352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480" w:type="dxa"/>
            <w:vAlign w:val="bottom"/>
            <w:gridSpan w:val="20"/>
          </w:tcPr>
          <w:p>
            <w:pPr>
              <w:spacing w:after="0"/>
              <w:rPr>
                <w:rFonts w:ascii="Arial" w:cs="Arial" w:eastAsia="Arial" w:hAnsi="Arial"/>
                <w:sz w:val="16"/>
                <w:szCs w:val="16"/>
                <w:color w:val="0000EE"/>
              </w:rPr>
            </w:pPr>
            <w:hyperlink w:anchor="page23">
              <w:r>
                <w:rPr>
                  <w:rFonts w:ascii="Arial" w:cs="Arial" w:eastAsia="Arial" w:hAnsi="Arial"/>
                  <w:sz w:val="16"/>
                  <w:szCs w:val="16"/>
                  <w:color w:val="0000EE"/>
                </w:rPr>
                <w:t>Item 3.   Quantitative and Qualitative Disclosures about Market Risk</w:t>
              </w:r>
            </w:hyperlink>
          </w:p>
        </w:tc>
        <w:tc>
          <w:tcPr>
            <w:tcW w:w="3520" w:type="dxa"/>
            <w:vAlign w:val="bottom"/>
            <w:gridSpan w:val="5"/>
          </w:tcPr>
          <w:p>
            <w:pPr>
              <w:spacing w:after="0"/>
              <w:rPr>
                <w:sz w:val="24"/>
                <w:szCs w:val="24"/>
                <w:color w:val="auto"/>
              </w:rPr>
            </w:pPr>
          </w:p>
        </w:tc>
        <w:tc>
          <w:tcPr>
            <w:tcW w:w="1240" w:type="dxa"/>
            <w:vAlign w:val="bottom"/>
            <w:gridSpan w:val="3"/>
          </w:tcPr>
          <w:p>
            <w:pPr>
              <w:jc w:val="right"/>
              <w:spacing w:after="0"/>
              <w:rPr>
                <w:rFonts w:ascii="Arial" w:cs="Arial" w:eastAsia="Arial" w:hAnsi="Arial"/>
                <w:sz w:val="16"/>
                <w:szCs w:val="16"/>
                <w:color w:val="0000EE"/>
              </w:rPr>
            </w:pPr>
            <w:hyperlink w:anchor="page23">
              <w:r>
                <w:rPr>
                  <w:rFonts w:ascii="Arial" w:cs="Arial" w:eastAsia="Arial" w:hAnsi="Arial"/>
                  <w:sz w:val="16"/>
                  <w:szCs w:val="16"/>
                  <w:color w:val="0000EE"/>
                </w:rPr>
                <w:t>23</w:t>
              </w:r>
            </w:hyperlink>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120" w:type="dxa"/>
            <w:vAlign w:val="bottom"/>
            <w:gridSpan w:val="7"/>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540" w:type="dxa"/>
            <w:vAlign w:val="bottom"/>
            <w:gridSpan w:val="17"/>
          </w:tcPr>
          <w:p>
            <w:pPr>
              <w:spacing w:after="0"/>
              <w:rPr>
                <w:rFonts w:ascii="Arial" w:cs="Arial" w:eastAsia="Arial" w:hAnsi="Arial"/>
                <w:sz w:val="16"/>
                <w:szCs w:val="16"/>
                <w:color w:val="0000EE"/>
              </w:rPr>
            </w:pPr>
            <w:hyperlink w:anchor="page23">
              <w:r>
                <w:rPr>
                  <w:rFonts w:ascii="Arial" w:cs="Arial" w:eastAsia="Arial" w:hAnsi="Arial"/>
                  <w:sz w:val="16"/>
                  <w:szCs w:val="16"/>
                  <w:color w:val="0000EE"/>
                </w:rPr>
                <w:t>Item 4.   Controls and Procedures</w:t>
              </w:r>
            </w:hyperlink>
          </w:p>
        </w:tc>
        <w:tc>
          <w:tcPr>
            <w:tcW w:w="5460" w:type="dxa"/>
            <w:vAlign w:val="bottom"/>
            <w:gridSpan w:val="8"/>
          </w:tcPr>
          <w:p>
            <w:pPr>
              <w:spacing w:after="0"/>
              <w:rPr>
                <w:sz w:val="24"/>
                <w:szCs w:val="24"/>
                <w:color w:val="auto"/>
              </w:rPr>
            </w:pPr>
          </w:p>
        </w:tc>
        <w:tc>
          <w:tcPr>
            <w:tcW w:w="1240" w:type="dxa"/>
            <w:vAlign w:val="bottom"/>
            <w:gridSpan w:val="3"/>
          </w:tcPr>
          <w:p>
            <w:pPr>
              <w:jc w:val="right"/>
              <w:spacing w:after="0"/>
              <w:rPr>
                <w:rFonts w:ascii="Arial" w:cs="Arial" w:eastAsia="Arial" w:hAnsi="Arial"/>
                <w:sz w:val="16"/>
                <w:szCs w:val="16"/>
                <w:color w:val="0000EE"/>
              </w:rPr>
            </w:pPr>
            <w:hyperlink w:anchor="page23">
              <w:r>
                <w:rPr>
                  <w:rFonts w:ascii="Arial" w:cs="Arial" w:eastAsia="Arial" w:hAnsi="Arial"/>
                  <w:sz w:val="16"/>
                  <w:szCs w:val="16"/>
                  <w:color w:val="0000EE"/>
                </w:rPr>
                <w:t>23</w:t>
              </w:r>
            </w:hyperlink>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5120" w:type="dxa"/>
            <w:vAlign w:val="bottom"/>
            <w:gridSpan w:val="7"/>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380" w:type="dxa"/>
            <w:vAlign w:val="bottom"/>
            <w:tcBorders>
              <w:bottom w:val="single" w:sz="8" w:color="0000EE"/>
            </w:tcBorders>
            <w:gridSpan w:val="12"/>
          </w:tcPr>
          <w:p>
            <w:pPr>
              <w:spacing w:after="0"/>
              <w:rPr>
                <w:rFonts w:ascii="Arial" w:cs="Arial" w:eastAsia="Arial" w:hAnsi="Arial"/>
                <w:sz w:val="16"/>
                <w:szCs w:val="16"/>
                <w:color w:val="0000EE"/>
                <w:w w:val="97"/>
              </w:rPr>
            </w:pPr>
            <w:hyperlink w:anchor="page24">
              <w:r>
                <w:rPr>
                  <w:rFonts w:ascii="Arial" w:cs="Arial" w:eastAsia="Arial" w:hAnsi="Arial"/>
                  <w:sz w:val="16"/>
                  <w:szCs w:val="16"/>
                  <w:color w:val="0000EE"/>
                  <w:w w:val="97"/>
                </w:rPr>
                <w:t>PART II - OTHER INFORMATION</w:t>
              </w:r>
            </w:hyperlink>
          </w:p>
        </w:tc>
        <w:tc>
          <w:tcPr>
            <w:tcW w:w="7620" w:type="dxa"/>
            <w:vAlign w:val="bottom"/>
            <w:gridSpan w:val="13"/>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40" w:type="dxa"/>
            <w:vAlign w:val="bottom"/>
          </w:tcPr>
          <w:p>
            <w:pPr>
              <w:spacing w:after="0"/>
              <w:rPr>
                <w:sz w:val="24"/>
                <w:szCs w:val="24"/>
                <w:color w:val="auto"/>
              </w:rPr>
            </w:pPr>
          </w:p>
        </w:tc>
        <w:tc>
          <w:tcPr>
            <w:tcW w:w="460" w:type="dxa"/>
            <w:vAlign w:val="bottom"/>
          </w:tcPr>
          <w:p>
            <w:pPr>
              <w:jc w:val="center"/>
              <w:spacing w:after="0"/>
              <w:rPr>
                <w:rFonts w:ascii="Arial" w:cs="Arial" w:eastAsia="Arial" w:hAnsi="Arial"/>
                <w:sz w:val="16"/>
                <w:szCs w:val="16"/>
                <w:color w:val="0000EE"/>
                <w:w w:val="93"/>
              </w:rPr>
            </w:pPr>
            <w:hyperlink w:anchor="page24">
              <w:r>
                <w:rPr>
                  <w:rFonts w:ascii="Arial" w:cs="Arial" w:eastAsia="Arial" w:hAnsi="Arial"/>
                  <w:sz w:val="16"/>
                  <w:szCs w:val="16"/>
                  <w:color w:val="0000EE"/>
                  <w:w w:val="93"/>
                </w:rPr>
                <w:t>Item 1.</w:t>
              </w:r>
            </w:hyperlink>
          </w:p>
        </w:tc>
        <w:tc>
          <w:tcPr>
            <w:tcW w:w="220" w:type="dxa"/>
            <w:vAlign w:val="bottom"/>
            <w:gridSpan w:val="2"/>
          </w:tcPr>
          <w:p>
            <w:pPr>
              <w:spacing w:after="0"/>
              <w:rPr>
                <w:sz w:val="24"/>
                <w:szCs w:val="24"/>
                <w:color w:val="auto"/>
              </w:rPr>
            </w:pPr>
          </w:p>
        </w:tc>
        <w:tc>
          <w:tcPr>
            <w:tcW w:w="9080" w:type="dxa"/>
            <w:vAlign w:val="bottom"/>
            <w:gridSpan w:val="21"/>
          </w:tcPr>
          <w:p>
            <w:pPr>
              <w:spacing w:after="0"/>
              <w:rPr>
                <w:rFonts w:ascii="Arial" w:cs="Arial" w:eastAsia="Arial" w:hAnsi="Arial"/>
                <w:sz w:val="16"/>
                <w:szCs w:val="16"/>
                <w:color w:val="0000EE"/>
              </w:rPr>
            </w:pPr>
            <w:hyperlink w:anchor="page24">
              <w:r>
                <w:rPr>
                  <w:rFonts w:ascii="Arial" w:cs="Arial" w:eastAsia="Arial" w:hAnsi="Arial"/>
                  <w:sz w:val="16"/>
                  <w:szCs w:val="16"/>
                  <w:color w:val="0000EE"/>
                </w:rPr>
                <w:t>Legal Proceedings</w:t>
              </w:r>
            </w:hyperlink>
          </w:p>
        </w:tc>
        <w:tc>
          <w:tcPr>
            <w:tcW w:w="1240" w:type="dxa"/>
            <w:vAlign w:val="bottom"/>
            <w:gridSpan w:val="3"/>
          </w:tcPr>
          <w:p>
            <w:pPr>
              <w:jc w:val="right"/>
              <w:spacing w:after="0"/>
              <w:rPr>
                <w:rFonts w:ascii="Arial" w:cs="Arial" w:eastAsia="Arial" w:hAnsi="Arial"/>
                <w:sz w:val="16"/>
                <w:szCs w:val="16"/>
                <w:color w:val="0000EE"/>
              </w:rPr>
            </w:pPr>
            <w:hyperlink w:anchor="page24">
              <w:r>
                <w:rPr>
                  <w:rFonts w:ascii="Arial" w:cs="Arial" w:eastAsia="Arial" w:hAnsi="Arial"/>
                  <w:sz w:val="16"/>
                  <w:szCs w:val="16"/>
                  <w:color w:val="0000EE"/>
                </w:rPr>
                <w:t>24</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5120" w:type="dxa"/>
            <w:vAlign w:val="bottom"/>
            <w:gridSpan w:val="7"/>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0" w:type="dxa"/>
            <w:vAlign w:val="bottom"/>
            <w:gridSpan w:val="4"/>
          </w:tcPr>
          <w:p>
            <w:pPr>
              <w:jc w:val="center"/>
              <w:spacing w:after="0"/>
              <w:rPr>
                <w:rFonts w:ascii="Arial" w:cs="Arial" w:eastAsia="Arial" w:hAnsi="Arial"/>
                <w:sz w:val="16"/>
                <w:szCs w:val="16"/>
                <w:color w:val="0000EE"/>
                <w:w w:val="97"/>
              </w:rPr>
            </w:pPr>
            <w:hyperlink w:anchor="page24">
              <w:r>
                <w:rPr>
                  <w:rFonts w:ascii="Arial" w:cs="Arial" w:eastAsia="Arial" w:hAnsi="Arial"/>
                  <w:sz w:val="16"/>
                  <w:szCs w:val="16"/>
                  <w:color w:val="0000EE"/>
                  <w:w w:val="97"/>
                </w:rPr>
                <w:t>Item 1A.</w:t>
              </w:r>
            </w:hyperlink>
          </w:p>
        </w:tc>
        <w:tc>
          <w:tcPr>
            <w:tcW w:w="9080" w:type="dxa"/>
            <w:vAlign w:val="bottom"/>
            <w:gridSpan w:val="21"/>
          </w:tcPr>
          <w:p>
            <w:pPr>
              <w:spacing w:after="0"/>
              <w:rPr>
                <w:rFonts w:ascii="Arial" w:cs="Arial" w:eastAsia="Arial" w:hAnsi="Arial"/>
                <w:sz w:val="16"/>
                <w:szCs w:val="16"/>
                <w:color w:val="0000EE"/>
              </w:rPr>
            </w:pPr>
            <w:hyperlink w:anchor="page24">
              <w:r>
                <w:rPr>
                  <w:rFonts w:ascii="Arial" w:cs="Arial" w:eastAsia="Arial" w:hAnsi="Arial"/>
                  <w:sz w:val="16"/>
                  <w:szCs w:val="16"/>
                  <w:color w:val="0000EE"/>
                </w:rPr>
                <w:t>Risk Factors</w:t>
              </w:r>
            </w:hyperlink>
          </w:p>
        </w:tc>
        <w:tc>
          <w:tcPr>
            <w:tcW w:w="1240" w:type="dxa"/>
            <w:vAlign w:val="bottom"/>
            <w:gridSpan w:val="3"/>
          </w:tcPr>
          <w:p>
            <w:pPr>
              <w:jc w:val="right"/>
              <w:spacing w:after="0"/>
              <w:rPr>
                <w:rFonts w:ascii="Arial" w:cs="Arial" w:eastAsia="Arial" w:hAnsi="Arial"/>
                <w:sz w:val="16"/>
                <w:szCs w:val="16"/>
                <w:color w:val="0000EE"/>
              </w:rPr>
            </w:pPr>
            <w:hyperlink w:anchor="page24">
              <w:r>
                <w:rPr>
                  <w:rFonts w:ascii="Arial" w:cs="Arial" w:eastAsia="Arial" w:hAnsi="Arial"/>
                  <w:sz w:val="16"/>
                  <w:szCs w:val="16"/>
                  <w:color w:val="0000EE"/>
                </w:rPr>
                <w:t>24</w:t>
              </w:r>
            </w:hyperlink>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5120" w:type="dxa"/>
            <w:vAlign w:val="bottom"/>
            <w:gridSpan w:val="7"/>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460" w:type="dxa"/>
            <w:vAlign w:val="bottom"/>
          </w:tcPr>
          <w:p>
            <w:pPr>
              <w:jc w:val="center"/>
              <w:spacing w:after="0"/>
              <w:rPr>
                <w:rFonts w:ascii="Arial" w:cs="Arial" w:eastAsia="Arial" w:hAnsi="Arial"/>
                <w:sz w:val="16"/>
                <w:szCs w:val="16"/>
                <w:color w:val="0000EE"/>
                <w:w w:val="93"/>
              </w:rPr>
            </w:pPr>
            <w:hyperlink w:anchor="page25">
              <w:r>
                <w:rPr>
                  <w:rFonts w:ascii="Arial" w:cs="Arial" w:eastAsia="Arial" w:hAnsi="Arial"/>
                  <w:sz w:val="16"/>
                  <w:szCs w:val="16"/>
                  <w:color w:val="0000EE"/>
                  <w:w w:val="93"/>
                </w:rPr>
                <w:t>Item 2.</w:t>
              </w:r>
            </w:hyperlink>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80" w:type="dxa"/>
            <w:vAlign w:val="bottom"/>
            <w:gridSpan w:val="21"/>
          </w:tcPr>
          <w:p>
            <w:pPr>
              <w:spacing w:after="0"/>
              <w:rPr>
                <w:rFonts w:ascii="Arial" w:cs="Arial" w:eastAsia="Arial" w:hAnsi="Arial"/>
                <w:sz w:val="16"/>
                <w:szCs w:val="16"/>
                <w:color w:val="0000EE"/>
              </w:rPr>
            </w:pPr>
            <w:hyperlink w:anchor="page25">
              <w:r>
                <w:rPr>
                  <w:rFonts w:ascii="Arial" w:cs="Arial" w:eastAsia="Arial" w:hAnsi="Arial"/>
                  <w:sz w:val="16"/>
                  <w:szCs w:val="16"/>
                  <w:color w:val="0000EE"/>
                </w:rPr>
                <w:t>Unregistered Sales of Equity Securities and Use of Proceeds.</w:t>
              </w:r>
            </w:hyperlink>
          </w:p>
        </w:tc>
        <w:tc>
          <w:tcPr>
            <w:tcW w:w="1240" w:type="dxa"/>
            <w:vAlign w:val="bottom"/>
            <w:gridSpan w:val="3"/>
          </w:tcPr>
          <w:p>
            <w:pPr>
              <w:jc w:val="right"/>
              <w:spacing w:after="0"/>
              <w:rPr>
                <w:rFonts w:ascii="Arial" w:cs="Arial" w:eastAsia="Arial" w:hAnsi="Arial"/>
                <w:sz w:val="16"/>
                <w:szCs w:val="16"/>
                <w:color w:val="0000EE"/>
              </w:rPr>
            </w:pPr>
            <w:hyperlink w:anchor="page25">
              <w:r>
                <w:rPr>
                  <w:rFonts w:ascii="Arial" w:cs="Arial" w:eastAsia="Arial" w:hAnsi="Arial"/>
                  <w:sz w:val="16"/>
                  <w:szCs w:val="16"/>
                  <w:color w:val="0000EE"/>
                </w:rPr>
                <w:t>25</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5120" w:type="dxa"/>
            <w:vAlign w:val="bottom"/>
            <w:gridSpan w:val="7"/>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460" w:type="dxa"/>
            <w:vAlign w:val="bottom"/>
          </w:tcPr>
          <w:p>
            <w:pPr>
              <w:jc w:val="center"/>
              <w:spacing w:after="0"/>
              <w:rPr>
                <w:rFonts w:ascii="Arial" w:cs="Arial" w:eastAsia="Arial" w:hAnsi="Arial"/>
                <w:sz w:val="16"/>
                <w:szCs w:val="16"/>
                <w:color w:val="0000EE"/>
                <w:w w:val="93"/>
              </w:rPr>
            </w:pPr>
            <w:hyperlink w:anchor="page25">
              <w:r>
                <w:rPr>
                  <w:rFonts w:ascii="Arial" w:cs="Arial" w:eastAsia="Arial" w:hAnsi="Arial"/>
                  <w:sz w:val="16"/>
                  <w:szCs w:val="16"/>
                  <w:color w:val="0000EE"/>
                  <w:w w:val="93"/>
                </w:rPr>
                <w:t>Item 3.</w:t>
              </w:r>
            </w:hyperlink>
          </w:p>
        </w:tc>
        <w:tc>
          <w:tcPr>
            <w:tcW w:w="220" w:type="dxa"/>
            <w:vAlign w:val="bottom"/>
            <w:gridSpan w:val="2"/>
          </w:tcPr>
          <w:p>
            <w:pPr>
              <w:spacing w:after="0"/>
              <w:rPr>
                <w:sz w:val="24"/>
                <w:szCs w:val="24"/>
                <w:color w:val="auto"/>
              </w:rPr>
            </w:pPr>
          </w:p>
        </w:tc>
        <w:tc>
          <w:tcPr>
            <w:tcW w:w="2040" w:type="dxa"/>
            <w:vAlign w:val="bottom"/>
            <w:gridSpan w:val="11"/>
          </w:tcPr>
          <w:p>
            <w:pPr>
              <w:spacing w:after="0"/>
              <w:rPr>
                <w:rFonts w:ascii="Arial" w:cs="Arial" w:eastAsia="Arial" w:hAnsi="Arial"/>
                <w:sz w:val="16"/>
                <w:szCs w:val="16"/>
                <w:color w:val="0000EE"/>
                <w:w w:val="92"/>
              </w:rPr>
            </w:pPr>
            <w:hyperlink w:anchor="page25">
              <w:r>
                <w:rPr>
                  <w:rFonts w:ascii="Arial" w:cs="Arial" w:eastAsia="Arial" w:hAnsi="Arial"/>
                  <w:sz w:val="16"/>
                  <w:szCs w:val="16"/>
                  <w:color w:val="0000EE"/>
                  <w:w w:val="92"/>
                </w:rPr>
                <w:t>Default Upon Senior Securities</w:t>
              </w:r>
            </w:hyperlink>
          </w:p>
        </w:tc>
        <w:tc>
          <w:tcPr>
            <w:tcW w:w="1920" w:type="dxa"/>
            <w:vAlign w:val="bottom"/>
            <w:gridSpan w:val="3"/>
          </w:tcPr>
          <w:p>
            <w:pPr>
              <w:spacing w:after="0"/>
              <w:rPr>
                <w:sz w:val="24"/>
                <w:szCs w:val="24"/>
                <w:color w:val="auto"/>
              </w:rPr>
            </w:pPr>
          </w:p>
        </w:tc>
        <w:tc>
          <w:tcPr>
            <w:tcW w:w="5120" w:type="dxa"/>
            <w:vAlign w:val="bottom"/>
            <w:gridSpan w:val="7"/>
          </w:tcPr>
          <w:p>
            <w:pPr>
              <w:spacing w:after="0"/>
              <w:rPr>
                <w:sz w:val="24"/>
                <w:szCs w:val="24"/>
                <w:color w:val="auto"/>
              </w:rPr>
            </w:pPr>
          </w:p>
        </w:tc>
        <w:tc>
          <w:tcPr>
            <w:tcW w:w="1240" w:type="dxa"/>
            <w:vAlign w:val="bottom"/>
            <w:gridSpan w:val="3"/>
          </w:tcPr>
          <w:p>
            <w:pPr>
              <w:jc w:val="right"/>
              <w:spacing w:after="0"/>
              <w:rPr>
                <w:rFonts w:ascii="Arial" w:cs="Arial" w:eastAsia="Arial" w:hAnsi="Arial"/>
                <w:sz w:val="16"/>
                <w:szCs w:val="16"/>
                <w:color w:val="0000EE"/>
              </w:rPr>
            </w:pPr>
            <w:hyperlink w:anchor="page25">
              <w:r>
                <w:rPr>
                  <w:rFonts w:ascii="Arial" w:cs="Arial" w:eastAsia="Arial" w:hAnsi="Arial"/>
                  <w:sz w:val="16"/>
                  <w:szCs w:val="16"/>
                  <w:color w:val="0000EE"/>
                </w:rPr>
                <w:t>25</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040" w:type="dxa"/>
            <w:vAlign w:val="bottom"/>
            <w:gridSpan w:val="1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460" w:type="dxa"/>
            <w:vAlign w:val="bottom"/>
          </w:tcPr>
          <w:p>
            <w:pPr>
              <w:jc w:val="center"/>
              <w:spacing w:after="0"/>
              <w:rPr>
                <w:rFonts w:ascii="Arial" w:cs="Arial" w:eastAsia="Arial" w:hAnsi="Arial"/>
                <w:sz w:val="16"/>
                <w:szCs w:val="16"/>
                <w:color w:val="0000EE"/>
                <w:w w:val="93"/>
              </w:rPr>
            </w:pPr>
            <w:hyperlink w:anchor="page25">
              <w:r>
                <w:rPr>
                  <w:rFonts w:ascii="Arial" w:cs="Arial" w:eastAsia="Arial" w:hAnsi="Arial"/>
                  <w:sz w:val="16"/>
                  <w:szCs w:val="16"/>
                  <w:color w:val="0000EE"/>
                  <w:w w:val="93"/>
                </w:rPr>
                <w:t>Item 4.</w:t>
              </w:r>
            </w:hyperlink>
          </w:p>
        </w:tc>
        <w:tc>
          <w:tcPr>
            <w:tcW w:w="220" w:type="dxa"/>
            <w:vAlign w:val="bottom"/>
            <w:gridSpan w:val="2"/>
          </w:tcPr>
          <w:p>
            <w:pPr>
              <w:spacing w:after="0"/>
              <w:rPr>
                <w:sz w:val="24"/>
                <w:szCs w:val="24"/>
                <w:color w:val="auto"/>
              </w:rPr>
            </w:pPr>
          </w:p>
        </w:tc>
        <w:tc>
          <w:tcPr>
            <w:tcW w:w="1600" w:type="dxa"/>
            <w:vAlign w:val="bottom"/>
            <w:gridSpan w:val="9"/>
          </w:tcPr>
          <w:p>
            <w:pPr>
              <w:spacing w:after="0"/>
              <w:rPr>
                <w:rFonts w:ascii="Arial" w:cs="Arial" w:eastAsia="Arial" w:hAnsi="Arial"/>
                <w:sz w:val="16"/>
                <w:szCs w:val="16"/>
                <w:color w:val="0000EE"/>
                <w:w w:val="92"/>
              </w:rPr>
            </w:pPr>
            <w:hyperlink w:anchor="page25">
              <w:r>
                <w:rPr>
                  <w:rFonts w:ascii="Arial" w:cs="Arial" w:eastAsia="Arial" w:hAnsi="Arial"/>
                  <w:sz w:val="16"/>
                  <w:szCs w:val="16"/>
                  <w:color w:val="0000EE"/>
                  <w:w w:val="92"/>
                </w:rPr>
                <w:t>Mine Safety Disclosures</w:t>
              </w:r>
            </w:hyperlink>
          </w:p>
        </w:tc>
        <w:tc>
          <w:tcPr>
            <w:tcW w:w="440" w:type="dxa"/>
            <w:vAlign w:val="bottom"/>
            <w:gridSpan w:val="2"/>
          </w:tcPr>
          <w:p>
            <w:pPr>
              <w:spacing w:after="0"/>
              <w:rPr>
                <w:sz w:val="24"/>
                <w:szCs w:val="24"/>
                <w:color w:val="auto"/>
              </w:rPr>
            </w:pPr>
          </w:p>
        </w:tc>
        <w:tc>
          <w:tcPr>
            <w:tcW w:w="7040" w:type="dxa"/>
            <w:vAlign w:val="bottom"/>
            <w:gridSpan w:val="10"/>
          </w:tcPr>
          <w:p>
            <w:pPr>
              <w:spacing w:after="0"/>
              <w:rPr>
                <w:sz w:val="24"/>
                <w:szCs w:val="24"/>
                <w:color w:val="auto"/>
              </w:rPr>
            </w:pPr>
          </w:p>
        </w:tc>
        <w:tc>
          <w:tcPr>
            <w:tcW w:w="1240" w:type="dxa"/>
            <w:vAlign w:val="bottom"/>
            <w:gridSpan w:val="3"/>
          </w:tcPr>
          <w:p>
            <w:pPr>
              <w:jc w:val="right"/>
              <w:spacing w:after="0"/>
              <w:rPr>
                <w:rFonts w:ascii="Arial" w:cs="Arial" w:eastAsia="Arial" w:hAnsi="Arial"/>
                <w:sz w:val="16"/>
                <w:szCs w:val="16"/>
                <w:color w:val="0000EE"/>
              </w:rPr>
            </w:pPr>
            <w:hyperlink w:anchor="page25">
              <w:r>
                <w:rPr>
                  <w:rFonts w:ascii="Arial" w:cs="Arial" w:eastAsia="Arial" w:hAnsi="Arial"/>
                  <w:sz w:val="16"/>
                  <w:szCs w:val="16"/>
                  <w:color w:val="0000EE"/>
                </w:rPr>
                <w:t>25</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7480" w:type="dxa"/>
            <w:vAlign w:val="bottom"/>
            <w:gridSpan w:val="1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460" w:type="dxa"/>
            <w:vAlign w:val="bottom"/>
          </w:tcPr>
          <w:p>
            <w:pPr>
              <w:jc w:val="center"/>
              <w:spacing w:after="0"/>
              <w:rPr>
                <w:rFonts w:ascii="Arial" w:cs="Arial" w:eastAsia="Arial" w:hAnsi="Arial"/>
                <w:sz w:val="16"/>
                <w:szCs w:val="16"/>
                <w:color w:val="0000EE"/>
                <w:w w:val="93"/>
              </w:rPr>
            </w:pPr>
            <w:hyperlink w:anchor="page25">
              <w:r>
                <w:rPr>
                  <w:rFonts w:ascii="Arial" w:cs="Arial" w:eastAsia="Arial" w:hAnsi="Arial"/>
                  <w:sz w:val="16"/>
                  <w:szCs w:val="16"/>
                  <w:color w:val="0000EE"/>
                  <w:w w:val="93"/>
                </w:rPr>
                <w:t>Item 5.</w:t>
              </w:r>
            </w:hyperlink>
          </w:p>
        </w:tc>
        <w:tc>
          <w:tcPr>
            <w:tcW w:w="220" w:type="dxa"/>
            <w:vAlign w:val="bottom"/>
            <w:gridSpan w:val="2"/>
          </w:tcPr>
          <w:p>
            <w:pPr>
              <w:spacing w:after="0"/>
              <w:rPr>
                <w:sz w:val="24"/>
                <w:szCs w:val="24"/>
                <w:color w:val="auto"/>
              </w:rPr>
            </w:pPr>
          </w:p>
        </w:tc>
        <w:tc>
          <w:tcPr>
            <w:tcW w:w="1600" w:type="dxa"/>
            <w:vAlign w:val="bottom"/>
            <w:gridSpan w:val="9"/>
          </w:tcPr>
          <w:p>
            <w:pPr>
              <w:spacing w:after="0"/>
              <w:rPr>
                <w:rFonts w:ascii="Arial" w:cs="Arial" w:eastAsia="Arial" w:hAnsi="Arial"/>
                <w:sz w:val="16"/>
                <w:szCs w:val="16"/>
                <w:color w:val="0000EE"/>
              </w:rPr>
            </w:pPr>
            <w:hyperlink w:anchor="page25">
              <w:r>
                <w:rPr>
                  <w:rFonts w:ascii="Arial" w:cs="Arial" w:eastAsia="Arial" w:hAnsi="Arial"/>
                  <w:sz w:val="16"/>
                  <w:szCs w:val="16"/>
                  <w:color w:val="0000EE"/>
                </w:rPr>
                <w:t>Other Information</w:t>
              </w:r>
            </w:hyperlink>
          </w:p>
        </w:tc>
        <w:tc>
          <w:tcPr>
            <w:tcW w:w="7480" w:type="dxa"/>
            <w:vAlign w:val="bottom"/>
            <w:gridSpan w:val="12"/>
          </w:tcPr>
          <w:p>
            <w:pPr>
              <w:spacing w:after="0"/>
              <w:rPr>
                <w:sz w:val="24"/>
                <w:szCs w:val="24"/>
                <w:color w:val="auto"/>
              </w:rPr>
            </w:pPr>
          </w:p>
        </w:tc>
        <w:tc>
          <w:tcPr>
            <w:tcW w:w="1240" w:type="dxa"/>
            <w:vAlign w:val="bottom"/>
            <w:gridSpan w:val="3"/>
          </w:tcPr>
          <w:p>
            <w:pPr>
              <w:jc w:val="right"/>
              <w:spacing w:after="0"/>
              <w:rPr>
                <w:rFonts w:ascii="Arial" w:cs="Arial" w:eastAsia="Arial" w:hAnsi="Arial"/>
                <w:sz w:val="16"/>
                <w:szCs w:val="16"/>
                <w:color w:val="0000EE"/>
              </w:rPr>
            </w:pPr>
            <w:hyperlink w:anchor="page25">
              <w:r>
                <w:rPr>
                  <w:rFonts w:ascii="Arial" w:cs="Arial" w:eastAsia="Arial" w:hAnsi="Arial"/>
                  <w:sz w:val="16"/>
                  <w:szCs w:val="16"/>
                  <w:color w:val="0000EE"/>
                </w:rPr>
                <w:t>25</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7900" w:type="dxa"/>
            <w:vAlign w:val="bottom"/>
            <w:gridSpan w:val="1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460" w:type="dxa"/>
            <w:vAlign w:val="bottom"/>
          </w:tcPr>
          <w:p>
            <w:pPr>
              <w:jc w:val="center"/>
              <w:spacing w:after="0"/>
              <w:rPr>
                <w:rFonts w:ascii="Arial" w:cs="Arial" w:eastAsia="Arial" w:hAnsi="Arial"/>
                <w:sz w:val="16"/>
                <w:szCs w:val="16"/>
                <w:color w:val="0000EE"/>
                <w:w w:val="93"/>
              </w:rPr>
            </w:pPr>
            <w:hyperlink w:anchor="page25">
              <w:r>
                <w:rPr>
                  <w:rFonts w:ascii="Arial" w:cs="Arial" w:eastAsia="Arial" w:hAnsi="Arial"/>
                  <w:sz w:val="16"/>
                  <w:szCs w:val="16"/>
                  <w:color w:val="0000EE"/>
                  <w:w w:val="93"/>
                </w:rPr>
                <w:t>Item 6.</w:t>
              </w:r>
            </w:hyperlink>
          </w:p>
        </w:tc>
        <w:tc>
          <w:tcPr>
            <w:tcW w:w="220" w:type="dxa"/>
            <w:vAlign w:val="bottom"/>
            <w:gridSpan w:val="2"/>
          </w:tcPr>
          <w:p>
            <w:pPr>
              <w:spacing w:after="0"/>
              <w:rPr>
                <w:sz w:val="24"/>
                <w:szCs w:val="24"/>
                <w:color w:val="auto"/>
              </w:rPr>
            </w:pPr>
          </w:p>
        </w:tc>
        <w:tc>
          <w:tcPr>
            <w:tcW w:w="1180" w:type="dxa"/>
            <w:vAlign w:val="bottom"/>
            <w:gridSpan w:val="6"/>
          </w:tcPr>
          <w:p>
            <w:pPr>
              <w:spacing w:after="0"/>
              <w:rPr>
                <w:rFonts w:ascii="Arial" w:cs="Arial" w:eastAsia="Arial" w:hAnsi="Arial"/>
                <w:sz w:val="16"/>
                <w:szCs w:val="16"/>
                <w:color w:val="0000EE"/>
              </w:rPr>
            </w:pPr>
            <w:hyperlink w:anchor="page25">
              <w:r>
                <w:rPr>
                  <w:rFonts w:ascii="Arial" w:cs="Arial" w:eastAsia="Arial" w:hAnsi="Arial"/>
                  <w:sz w:val="16"/>
                  <w:szCs w:val="16"/>
                  <w:color w:val="0000EE"/>
                </w:rPr>
                <w:t>Exhibits</w:t>
              </w:r>
            </w:hyperlink>
          </w:p>
        </w:tc>
        <w:tc>
          <w:tcPr>
            <w:tcW w:w="7900" w:type="dxa"/>
            <w:vAlign w:val="bottom"/>
            <w:gridSpan w:val="15"/>
          </w:tcPr>
          <w:p>
            <w:pPr>
              <w:spacing w:after="0"/>
              <w:rPr>
                <w:sz w:val="24"/>
                <w:szCs w:val="24"/>
                <w:color w:val="auto"/>
              </w:rPr>
            </w:pPr>
          </w:p>
        </w:tc>
        <w:tc>
          <w:tcPr>
            <w:tcW w:w="1240" w:type="dxa"/>
            <w:vAlign w:val="bottom"/>
            <w:gridSpan w:val="3"/>
          </w:tcPr>
          <w:p>
            <w:pPr>
              <w:jc w:val="right"/>
              <w:spacing w:after="0"/>
              <w:rPr>
                <w:rFonts w:ascii="Arial" w:cs="Arial" w:eastAsia="Arial" w:hAnsi="Arial"/>
                <w:sz w:val="16"/>
                <w:szCs w:val="16"/>
                <w:color w:val="0000EE"/>
              </w:rPr>
            </w:pPr>
            <w:hyperlink w:anchor="page25">
              <w:r>
                <w:rPr>
                  <w:rFonts w:ascii="Arial" w:cs="Arial" w:eastAsia="Arial" w:hAnsi="Arial"/>
                  <w:sz w:val="16"/>
                  <w:szCs w:val="16"/>
                  <w:color w:val="0000EE"/>
                </w:rPr>
                <w:t>25</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540" w:type="dxa"/>
            <w:vAlign w:val="bottom"/>
            <w:gridSpan w:val="18"/>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00" w:type="dxa"/>
            <w:vAlign w:val="bottom"/>
            <w:gridSpan w:val="5"/>
          </w:tcPr>
          <w:p>
            <w:pPr>
              <w:spacing w:after="0"/>
              <w:rPr>
                <w:rFonts w:ascii="Arial" w:cs="Arial" w:eastAsia="Arial" w:hAnsi="Arial"/>
                <w:sz w:val="16"/>
                <w:szCs w:val="16"/>
                <w:color w:val="0000EE"/>
                <w:w w:val="94"/>
              </w:rPr>
            </w:pPr>
            <w:hyperlink w:anchor="page26">
              <w:r>
                <w:rPr>
                  <w:rFonts w:ascii="Arial" w:cs="Arial" w:eastAsia="Arial" w:hAnsi="Arial"/>
                  <w:sz w:val="16"/>
                  <w:szCs w:val="16"/>
                  <w:color w:val="0000EE"/>
                  <w:w w:val="94"/>
                </w:rPr>
                <w:t>SIGNATURES</w:t>
              </w:r>
            </w:hyperlink>
          </w:p>
        </w:tc>
        <w:tc>
          <w:tcPr>
            <w:tcW w:w="9000" w:type="dxa"/>
            <w:vAlign w:val="bottom"/>
            <w:gridSpan w:val="20"/>
          </w:tcPr>
          <w:p>
            <w:pPr>
              <w:spacing w:after="0"/>
              <w:rPr>
                <w:sz w:val="24"/>
                <w:szCs w:val="24"/>
                <w:color w:val="auto"/>
              </w:rPr>
            </w:pPr>
          </w:p>
        </w:tc>
        <w:tc>
          <w:tcPr>
            <w:tcW w:w="1240" w:type="dxa"/>
            <w:vAlign w:val="bottom"/>
            <w:gridSpan w:val="3"/>
          </w:tcPr>
          <w:p>
            <w:pPr>
              <w:jc w:val="right"/>
              <w:spacing w:after="0"/>
              <w:rPr>
                <w:rFonts w:ascii="Arial" w:cs="Arial" w:eastAsia="Arial" w:hAnsi="Arial"/>
                <w:sz w:val="16"/>
                <w:szCs w:val="16"/>
                <w:color w:val="0000EE"/>
              </w:rPr>
            </w:pPr>
            <w:hyperlink w:anchor="page26">
              <w:r>
                <w:rPr>
                  <w:rFonts w:ascii="Arial" w:cs="Arial" w:eastAsia="Arial" w:hAnsi="Arial"/>
                  <w:sz w:val="16"/>
                  <w:szCs w:val="16"/>
                  <w:color w:val="0000EE"/>
                </w:rPr>
                <w:t>26</w:t>
              </w:r>
            </w:hyperlink>
          </w:p>
        </w:tc>
        <w:tc>
          <w:tcPr>
            <w:tcW w:w="0" w:type="dxa"/>
            <w:vAlign w:val="bottom"/>
          </w:tcPr>
          <w:p>
            <w:pPr>
              <w:spacing w:after="0"/>
              <w:rPr>
                <w:sz w:val="1"/>
                <w:szCs w:val="1"/>
                <w:color w:val="auto"/>
              </w:rPr>
            </w:pPr>
          </w:p>
        </w:tc>
      </w:tr>
      <w:tr>
        <w:trPr>
          <w:trHeight w:val="420"/>
        </w:trPr>
        <w:tc>
          <w:tcPr>
            <w:tcW w:w="2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960" w:type="dxa"/>
            <w:vAlign w:val="bottom"/>
            <w:gridSpan w:val="14"/>
          </w:tcPr>
          <w:p>
            <w:pPr>
              <w:jc w:val="right"/>
              <w:ind w:right="219"/>
              <w:spacing w:after="0"/>
              <w:rPr>
                <w:sz w:val="20"/>
                <w:szCs w:val="20"/>
                <w:color w:val="auto"/>
              </w:rPr>
            </w:pPr>
            <w:r>
              <w:rPr>
                <w:rFonts w:ascii="Arial" w:cs="Arial" w:eastAsia="Arial" w:hAnsi="Arial"/>
                <w:sz w:val="16"/>
                <w:szCs w:val="16"/>
                <w:color w:val="auto"/>
              </w:rPr>
              <w:t>2</w:t>
            </w: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0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580" w:type="dxa"/>
            <w:vAlign w:val="bottom"/>
          </w:tcPr>
          <w:p>
            <w:pPr>
              <w:jc w:val="center"/>
              <w:ind w:left="939"/>
              <w:spacing w:after="0"/>
              <w:rPr>
                <w:sz w:val="20"/>
                <w:szCs w:val="20"/>
                <w:color w:val="auto"/>
              </w:rPr>
            </w:pPr>
            <w:r>
              <w:rPr>
                <w:rFonts w:ascii="Arial" w:cs="Arial" w:eastAsia="Arial" w:hAnsi="Arial"/>
                <w:sz w:val="16"/>
                <w:szCs w:val="16"/>
                <w:b w:val="1"/>
                <w:bCs w:val="1"/>
                <w:color w:val="auto"/>
              </w:rPr>
              <w:t>PART I. FINANCIAL INFORMATION</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405"/>
        </w:trPr>
        <w:tc>
          <w:tcPr>
            <w:tcW w:w="1100" w:type="dxa"/>
            <w:vAlign w:val="bottom"/>
            <w:gridSpan w:val="2"/>
          </w:tcPr>
          <w:p>
            <w:pPr>
              <w:ind w:left="280"/>
              <w:spacing w:after="0"/>
              <w:rPr>
                <w:sz w:val="20"/>
                <w:szCs w:val="20"/>
                <w:color w:val="auto"/>
              </w:rPr>
            </w:pPr>
            <w:r>
              <w:rPr>
                <w:rFonts w:ascii="Arial" w:cs="Arial" w:eastAsia="Arial" w:hAnsi="Arial"/>
                <w:sz w:val="16"/>
                <w:szCs w:val="16"/>
                <w:b w:val="1"/>
                <w:bCs w:val="1"/>
                <w:color w:val="auto"/>
              </w:rPr>
              <w:t>Item 1.</w:t>
            </w:r>
          </w:p>
        </w:tc>
        <w:tc>
          <w:tcPr>
            <w:tcW w:w="6800" w:type="dxa"/>
            <w:vAlign w:val="bottom"/>
            <w:gridSpan w:val="2"/>
          </w:tcPr>
          <w:p>
            <w:pPr>
              <w:ind w:left="20"/>
              <w:spacing w:after="0"/>
              <w:rPr>
                <w:sz w:val="20"/>
                <w:szCs w:val="20"/>
                <w:color w:val="auto"/>
              </w:rPr>
            </w:pPr>
            <w:r>
              <w:rPr>
                <w:rFonts w:ascii="Arial" w:cs="Arial" w:eastAsia="Arial" w:hAnsi="Arial"/>
                <w:sz w:val="16"/>
                <w:szCs w:val="16"/>
                <w:b w:val="1"/>
                <w:bCs w:val="1"/>
                <w:color w:val="auto"/>
              </w:rPr>
              <w:t>Financial Statements.</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600"/>
        </w:trPr>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580" w:type="dxa"/>
            <w:vAlign w:val="bottom"/>
          </w:tcPr>
          <w:p>
            <w:pPr>
              <w:jc w:val="center"/>
              <w:ind w:left="939"/>
              <w:spacing w:after="0"/>
              <w:rPr>
                <w:sz w:val="20"/>
                <w:szCs w:val="20"/>
                <w:color w:val="auto"/>
              </w:rPr>
            </w:pPr>
            <w:r>
              <w:rPr>
                <w:rFonts w:ascii="Arial" w:cs="Arial" w:eastAsia="Arial" w:hAnsi="Arial"/>
                <w:sz w:val="16"/>
                <w:szCs w:val="16"/>
                <w:b w:val="1"/>
                <w:bCs w:val="1"/>
                <w:color w:val="auto"/>
              </w:rPr>
              <w:t>HARVARD BIOSCIENCE, INC.</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3"/>
        </w:trPr>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580" w:type="dxa"/>
            <w:vAlign w:val="bottom"/>
          </w:tcPr>
          <w:p>
            <w:pPr>
              <w:ind w:left="1880"/>
              <w:spacing w:after="0"/>
              <w:rPr>
                <w:sz w:val="20"/>
                <w:szCs w:val="20"/>
                <w:color w:val="auto"/>
              </w:rPr>
            </w:pPr>
            <w:r>
              <w:rPr>
                <w:rFonts w:ascii="Arial" w:cs="Arial" w:eastAsia="Arial" w:hAnsi="Arial"/>
                <w:sz w:val="16"/>
                <w:szCs w:val="16"/>
                <w:b w:val="1"/>
                <w:bCs w:val="1"/>
                <w:color w:val="auto"/>
              </w:rPr>
              <w:t>CONSOLIDATED BALANCE SHEETS</w:t>
            </w: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10"/>
        </w:trPr>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580" w:type="dxa"/>
            <w:vAlign w:val="bottom"/>
          </w:tcPr>
          <w:p>
            <w:pPr>
              <w:jc w:val="center"/>
              <w:ind w:left="899"/>
              <w:spacing w:after="0"/>
              <w:rPr>
                <w:sz w:val="20"/>
                <w:szCs w:val="20"/>
                <w:color w:val="auto"/>
              </w:rPr>
            </w:pPr>
            <w:r>
              <w:rPr>
                <w:rFonts w:ascii="Arial" w:cs="Arial" w:eastAsia="Arial" w:hAnsi="Arial"/>
                <w:sz w:val="16"/>
                <w:szCs w:val="16"/>
                <w:b w:val="1"/>
                <w:bCs w:val="1"/>
                <w:color w:val="auto"/>
                <w:w w:val="90"/>
              </w:rPr>
              <w:t>(Unaudited, in thousands, except share and per share data)</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97"/>
        </w:trPr>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jc w:val="right"/>
              <w:ind w:right="279"/>
              <w:spacing w:after="0"/>
              <w:rPr>
                <w:sz w:val="20"/>
                <w:szCs w:val="20"/>
                <w:color w:val="auto"/>
              </w:rPr>
            </w:pPr>
            <w:r>
              <w:rPr>
                <w:rFonts w:ascii="Arial" w:cs="Arial" w:eastAsia="Arial" w:hAnsi="Arial"/>
                <w:sz w:val="16"/>
                <w:szCs w:val="16"/>
                <w:b w:val="1"/>
                <w:bCs w:val="1"/>
                <w:color w:val="auto"/>
                <w:w w:val="96"/>
              </w:rPr>
              <w:t>September 30,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right"/>
              <w:ind w:right="319"/>
              <w:spacing w:after="0"/>
              <w:rPr>
                <w:sz w:val="20"/>
                <w:szCs w:val="20"/>
                <w:color w:val="auto"/>
              </w:rPr>
            </w:pPr>
            <w:r>
              <w:rPr>
                <w:rFonts w:ascii="Arial" w:cs="Arial" w:eastAsia="Arial" w:hAnsi="Arial"/>
                <w:sz w:val="16"/>
                <w:szCs w:val="16"/>
                <w:b w:val="1"/>
                <w:bCs w:val="1"/>
                <w:color w:val="auto"/>
                <w:w w:val="99"/>
              </w:rPr>
              <w:t>December 31,</w:t>
            </w:r>
          </w:p>
        </w:tc>
      </w:tr>
      <w:tr>
        <w:trPr>
          <w:trHeight w:val="213"/>
        </w:trPr>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2020</w:t>
            </w:r>
          </w:p>
        </w:tc>
      </w:tr>
      <w:tr>
        <w:trPr>
          <w:trHeight w:val="179"/>
        </w:trPr>
        <w:tc>
          <w:tcPr>
            <w:tcW w:w="440" w:type="dxa"/>
            <w:vAlign w:val="bottom"/>
            <w:tcBorders>
              <w:bottom w:val="single" w:sz="8" w:color="auto"/>
            </w:tcBorders>
            <w:shd w:val="clear" w:color="auto" w:fill="CCEEFF"/>
          </w:tcPr>
          <w:p>
            <w:pPr>
              <w:spacing w:after="0" w:line="158" w:lineRule="exact"/>
              <w:rPr>
                <w:sz w:val="20"/>
                <w:szCs w:val="20"/>
                <w:color w:val="auto"/>
              </w:rPr>
            </w:pPr>
            <w:r>
              <w:rPr>
                <w:rFonts w:ascii="Arial" w:cs="Arial" w:eastAsia="Arial" w:hAnsi="Arial"/>
                <w:sz w:val="16"/>
                <w:szCs w:val="16"/>
                <w:color w:val="auto"/>
                <w:w w:val="87"/>
              </w:rPr>
              <w:t>Assets</w:t>
            </w:r>
          </w:p>
        </w:tc>
        <w:tc>
          <w:tcPr>
            <w:tcW w:w="6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55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r>
      <w:tr>
        <w:trPr>
          <w:trHeight w:val="203"/>
        </w:trPr>
        <w:tc>
          <w:tcPr>
            <w:tcW w:w="1100" w:type="dxa"/>
            <w:vAlign w:val="bottom"/>
            <w:gridSpan w:val="2"/>
          </w:tcPr>
          <w:p>
            <w:pPr>
              <w:spacing w:after="0"/>
              <w:rPr>
                <w:sz w:val="20"/>
                <w:szCs w:val="20"/>
                <w:color w:val="auto"/>
              </w:rPr>
            </w:pPr>
            <w:r>
              <w:rPr>
                <w:rFonts w:ascii="Arial" w:cs="Arial" w:eastAsia="Arial" w:hAnsi="Arial"/>
                <w:sz w:val="16"/>
                <w:szCs w:val="16"/>
                <w:color w:val="auto"/>
                <w:w w:val="99"/>
              </w:rPr>
              <w:t>Current assets:</w:t>
            </w:r>
          </w:p>
        </w:tc>
        <w:tc>
          <w:tcPr>
            <w:tcW w:w="122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7900" w:type="dxa"/>
            <w:vAlign w:val="bottom"/>
            <w:gridSpan w:val="4"/>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5,548</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8,317</w:t>
            </w:r>
          </w:p>
        </w:tc>
      </w:tr>
      <w:tr>
        <w:trPr>
          <w:trHeight w:val="203"/>
        </w:trPr>
        <w:tc>
          <w:tcPr>
            <w:tcW w:w="7900" w:type="dxa"/>
            <w:vAlign w:val="bottom"/>
            <w:gridSpan w:val="4"/>
          </w:tcPr>
          <w:p>
            <w:pPr>
              <w:ind w:left="180"/>
              <w:spacing w:after="0"/>
              <w:rPr>
                <w:sz w:val="20"/>
                <w:szCs w:val="20"/>
                <w:color w:val="auto"/>
              </w:rPr>
            </w:pPr>
            <w:r>
              <w:rPr>
                <w:rFonts w:ascii="Arial" w:cs="Arial" w:eastAsia="Arial" w:hAnsi="Arial"/>
                <w:sz w:val="16"/>
                <w:szCs w:val="16"/>
                <w:color w:val="auto"/>
              </w:rPr>
              <w:t>Accounts receivable, net</w:t>
            </w:r>
          </w:p>
        </w:tc>
        <w:tc>
          <w:tcPr>
            <w:tcW w:w="160" w:type="dxa"/>
            <w:vAlign w:val="bottom"/>
          </w:tcPr>
          <w:p>
            <w:pPr>
              <w:spacing w:after="0"/>
              <w:rPr>
                <w:sz w:val="17"/>
                <w:szCs w:val="17"/>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18,340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17,766</w:t>
            </w:r>
          </w:p>
        </w:tc>
      </w:tr>
      <w:tr>
        <w:trPr>
          <w:trHeight w:val="203"/>
        </w:trPr>
        <w:tc>
          <w:tcPr>
            <w:tcW w:w="11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Inventories</w:t>
            </w:r>
          </w:p>
        </w:tc>
        <w:tc>
          <w:tcPr>
            <w:tcW w:w="1220" w:type="dxa"/>
            <w:vAlign w:val="bottom"/>
            <w:shd w:val="clear" w:color="auto" w:fill="CCEEFF"/>
          </w:tcPr>
          <w:p>
            <w:pPr>
              <w:spacing w:after="0"/>
              <w:rPr>
                <w:sz w:val="17"/>
                <w:szCs w:val="17"/>
                <w:color w:val="auto"/>
              </w:rPr>
            </w:pPr>
          </w:p>
        </w:tc>
        <w:tc>
          <w:tcPr>
            <w:tcW w:w="5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25,978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22,262</w:t>
            </w:r>
          </w:p>
        </w:tc>
      </w:tr>
      <w:tr>
        <w:trPr>
          <w:trHeight w:val="203"/>
        </w:trPr>
        <w:tc>
          <w:tcPr>
            <w:tcW w:w="7900" w:type="dxa"/>
            <w:vAlign w:val="bottom"/>
            <w:gridSpan w:val="4"/>
          </w:tcPr>
          <w:p>
            <w:pPr>
              <w:ind w:left="180"/>
              <w:spacing w:after="0"/>
              <w:rPr>
                <w:sz w:val="20"/>
                <w:szCs w:val="20"/>
                <w:color w:val="auto"/>
              </w:rPr>
            </w:pPr>
            <w:r>
              <w:rPr>
                <w:rFonts w:ascii="Arial" w:cs="Arial" w:eastAsia="Arial" w:hAnsi="Arial"/>
                <w:sz w:val="16"/>
                <w:szCs w:val="16"/>
                <w:color w:val="auto"/>
              </w:rPr>
              <w:t>Other current assets</w:t>
            </w: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5,820</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3,355</w:t>
            </w:r>
          </w:p>
        </w:tc>
      </w:tr>
      <w:tr>
        <w:trPr>
          <w:trHeight w:val="196"/>
        </w:trPr>
        <w:tc>
          <w:tcPr>
            <w:tcW w:w="7900" w:type="dxa"/>
            <w:vAlign w:val="bottom"/>
            <w:gridSpan w:val="4"/>
            <w:shd w:val="clear" w:color="auto" w:fill="CCEEFF"/>
          </w:tcPr>
          <w:p>
            <w:pPr>
              <w:ind w:left="340"/>
              <w:spacing w:after="0"/>
              <w:rPr>
                <w:sz w:val="20"/>
                <w:szCs w:val="20"/>
                <w:color w:val="auto"/>
              </w:rPr>
            </w:pPr>
            <w:r>
              <w:rPr>
                <w:rFonts w:ascii="Arial" w:cs="Arial" w:eastAsia="Arial" w:hAnsi="Arial"/>
                <w:sz w:val="16"/>
                <w:szCs w:val="16"/>
                <w:color w:val="auto"/>
              </w:rPr>
              <w:t>Total current assets</w:t>
            </w: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55,686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51,700</w:t>
            </w:r>
          </w:p>
        </w:tc>
      </w:tr>
      <w:tr>
        <w:trPr>
          <w:trHeight w:val="203"/>
        </w:trPr>
        <w:tc>
          <w:tcPr>
            <w:tcW w:w="7900" w:type="dxa"/>
            <w:vAlign w:val="bottom"/>
            <w:gridSpan w:val="4"/>
          </w:tcPr>
          <w:p>
            <w:pPr>
              <w:ind w:left="180"/>
              <w:spacing w:after="0"/>
              <w:rPr>
                <w:sz w:val="20"/>
                <w:szCs w:val="20"/>
                <w:color w:val="auto"/>
              </w:rPr>
            </w:pPr>
            <w:r>
              <w:rPr>
                <w:rFonts w:ascii="Arial" w:cs="Arial" w:eastAsia="Arial" w:hAnsi="Arial"/>
                <w:sz w:val="16"/>
                <w:szCs w:val="16"/>
                <w:color w:val="auto"/>
              </w:rPr>
              <w:t>Property, plant and equipment, net</w:t>
            </w:r>
          </w:p>
        </w:tc>
        <w:tc>
          <w:tcPr>
            <w:tcW w:w="160" w:type="dxa"/>
            <w:vAlign w:val="bottom"/>
          </w:tcPr>
          <w:p>
            <w:pPr>
              <w:spacing w:after="0"/>
              <w:rPr>
                <w:sz w:val="17"/>
                <w:szCs w:val="17"/>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3,453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3,960</w:t>
            </w:r>
          </w:p>
        </w:tc>
      </w:tr>
      <w:tr>
        <w:trPr>
          <w:trHeight w:val="203"/>
        </w:trPr>
        <w:tc>
          <w:tcPr>
            <w:tcW w:w="7900" w:type="dxa"/>
            <w:vAlign w:val="bottom"/>
            <w:gridSpan w:val="4"/>
            <w:shd w:val="clear" w:color="auto" w:fill="CCEEFF"/>
          </w:tcPr>
          <w:p>
            <w:pPr>
              <w:ind w:left="180"/>
              <w:spacing w:after="0"/>
              <w:rPr>
                <w:sz w:val="20"/>
                <w:szCs w:val="20"/>
                <w:color w:val="auto"/>
              </w:rPr>
            </w:pPr>
            <w:r>
              <w:rPr>
                <w:rFonts w:ascii="Arial" w:cs="Arial" w:eastAsia="Arial" w:hAnsi="Arial"/>
                <w:sz w:val="16"/>
                <w:szCs w:val="16"/>
                <w:color w:val="auto"/>
              </w:rPr>
              <w:t>Operating lease right-of-use assets</w:t>
            </w: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7,081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7,761</w:t>
            </w:r>
          </w:p>
        </w:tc>
      </w:tr>
      <w:tr>
        <w:trPr>
          <w:trHeight w:val="203"/>
        </w:trPr>
        <w:tc>
          <w:tcPr>
            <w:tcW w:w="1100" w:type="dxa"/>
            <w:vAlign w:val="bottom"/>
            <w:gridSpan w:val="2"/>
          </w:tcPr>
          <w:p>
            <w:pPr>
              <w:ind w:left="180"/>
              <w:spacing w:after="0"/>
              <w:rPr>
                <w:sz w:val="20"/>
                <w:szCs w:val="20"/>
                <w:color w:val="auto"/>
              </w:rPr>
            </w:pPr>
            <w:r>
              <w:rPr>
                <w:rFonts w:ascii="Arial" w:cs="Arial" w:eastAsia="Arial" w:hAnsi="Arial"/>
                <w:sz w:val="16"/>
                <w:szCs w:val="16"/>
                <w:color w:val="auto"/>
              </w:rPr>
              <w:t>Goodwill</w:t>
            </w:r>
          </w:p>
        </w:tc>
        <w:tc>
          <w:tcPr>
            <w:tcW w:w="122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57,987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58,590</w:t>
            </w:r>
          </w:p>
        </w:tc>
      </w:tr>
      <w:tr>
        <w:trPr>
          <w:trHeight w:val="203"/>
        </w:trPr>
        <w:tc>
          <w:tcPr>
            <w:tcW w:w="7900" w:type="dxa"/>
            <w:vAlign w:val="bottom"/>
            <w:gridSpan w:val="4"/>
            <w:shd w:val="clear" w:color="auto" w:fill="CCEEFF"/>
          </w:tcPr>
          <w:p>
            <w:pPr>
              <w:ind w:left="180"/>
              <w:spacing w:after="0"/>
              <w:rPr>
                <w:sz w:val="20"/>
                <w:szCs w:val="20"/>
                <w:color w:val="auto"/>
              </w:rPr>
            </w:pPr>
            <w:r>
              <w:rPr>
                <w:rFonts w:ascii="Arial" w:cs="Arial" w:eastAsia="Arial" w:hAnsi="Arial"/>
                <w:sz w:val="16"/>
                <w:szCs w:val="16"/>
                <w:color w:val="auto"/>
              </w:rPr>
              <w:t>Intangible assets, net</w:t>
            </w: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28,941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33,151</w:t>
            </w:r>
          </w:p>
        </w:tc>
      </w:tr>
      <w:tr>
        <w:trPr>
          <w:trHeight w:val="203"/>
        </w:trPr>
        <w:tc>
          <w:tcPr>
            <w:tcW w:w="7900" w:type="dxa"/>
            <w:vAlign w:val="bottom"/>
            <w:gridSpan w:val="4"/>
          </w:tcPr>
          <w:p>
            <w:pPr>
              <w:ind w:left="180"/>
              <w:spacing w:after="0"/>
              <w:rPr>
                <w:sz w:val="20"/>
                <w:szCs w:val="20"/>
                <w:color w:val="auto"/>
              </w:rPr>
            </w:pPr>
            <w:r>
              <w:rPr>
                <w:rFonts w:ascii="Arial" w:cs="Arial" w:eastAsia="Arial" w:hAnsi="Arial"/>
                <w:sz w:val="16"/>
                <w:szCs w:val="16"/>
                <w:color w:val="auto"/>
              </w:rPr>
              <w:t>Other long-term assets</w:t>
            </w: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724</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1,092</w:t>
            </w:r>
          </w:p>
        </w:tc>
      </w:tr>
      <w:tr>
        <w:trPr>
          <w:trHeight w:val="236"/>
        </w:trPr>
        <w:tc>
          <w:tcPr>
            <w:tcW w:w="11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w w:val="85"/>
              </w:rPr>
              <w:t>Total assets</w:t>
            </w:r>
          </w:p>
        </w:tc>
        <w:tc>
          <w:tcPr>
            <w:tcW w:w="1220" w:type="dxa"/>
            <w:vAlign w:val="bottom"/>
            <w:shd w:val="clear" w:color="auto" w:fill="CCEEFF"/>
          </w:tcPr>
          <w:p>
            <w:pPr>
              <w:spacing w:after="0"/>
              <w:rPr>
                <w:sz w:val="20"/>
                <w:szCs w:val="20"/>
                <w:color w:val="auto"/>
              </w:rPr>
            </w:pPr>
          </w:p>
        </w:tc>
        <w:tc>
          <w:tcPr>
            <w:tcW w:w="558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153,872</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156,254</w:t>
            </w:r>
          </w:p>
        </w:tc>
      </w:tr>
      <w:tr>
        <w:trPr>
          <w:trHeight w:val="143"/>
        </w:trPr>
        <w:tc>
          <w:tcPr>
            <w:tcW w:w="7900" w:type="dxa"/>
            <w:vAlign w:val="bottom"/>
            <w:tcBorders>
              <w:top w:val="single" w:sz="8" w:color="CCEEFF"/>
            </w:tcBorders>
            <w:gridSpan w:val="4"/>
          </w:tcPr>
          <w:p>
            <w:pPr>
              <w:spacing w:after="0" w:line="142" w:lineRule="exact"/>
              <w:rPr>
                <w:sz w:val="20"/>
                <w:szCs w:val="20"/>
                <w:color w:val="auto"/>
              </w:rPr>
            </w:pPr>
            <w:r>
              <w:rPr>
                <w:rFonts w:ascii="Arial" w:cs="Arial" w:eastAsia="Arial" w:hAnsi="Arial"/>
                <w:sz w:val="16"/>
                <w:szCs w:val="16"/>
                <w:color w:val="auto"/>
              </w:rPr>
              <w:t>Liabilities and Stockholders' Equity</w:t>
            </w:r>
          </w:p>
        </w:tc>
        <w:tc>
          <w:tcPr>
            <w:tcW w:w="16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r>
      <w:tr>
        <w:trPr>
          <w:trHeight w:val="20"/>
        </w:trPr>
        <w:tc>
          <w:tcPr>
            <w:tcW w:w="44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03"/>
        </w:trPr>
        <w:tc>
          <w:tcPr>
            <w:tcW w:w="79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03"/>
        </w:trPr>
        <w:tc>
          <w:tcPr>
            <w:tcW w:w="7900" w:type="dxa"/>
            <w:vAlign w:val="bottom"/>
            <w:gridSpan w:val="4"/>
          </w:tcPr>
          <w:p>
            <w:pPr>
              <w:ind w:left="180"/>
              <w:spacing w:after="0"/>
              <w:rPr>
                <w:sz w:val="20"/>
                <w:szCs w:val="20"/>
                <w:color w:val="auto"/>
              </w:rPr>
            </w:pPr>
            <w:r>
              <w:rPr>
                <w:rFonts w:ascii="Arial" w:cs="Arial" w:eastAsia="Arial" w:hAnsi="Arial"/>
                <w:sz w:val="16"/>
                <w:szCs w:val="16"/>
                <w:color w:val="auto"/>
              </w:rPr>
              <w:t>Current portion of long-term debt</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2,470</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1,721</w:t>
            </w:r>
          </w:p>
        </w:tc>
      </w:tr>
      <w:tr>
        <w:trPr>
          <w:trHeight w:val="203"/>
        </w:trPr>
        <w:tc>
          <w:tcPr>
            <w:tcW w:w="79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Current portion of operating lease liabilities</w:t>
            </w: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2,127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2,111</w:t>
            </w:r>
          </w:p>
        </w:tc>
      </w:tr>
      <w:tr>
        <w:trPr>
          <w:trHeight w:val="203"/>
        </w:trPr>
        <w:tc>
          <w:tcPr>
            <w:tcW w:w="7900" w:type="dxa"/>
            <w:vAlign w:val="bottom"/>
            <w:gridSpan w:val="4"/>
          </w:tcPr>
          <w:p>
            <w:pPr>
              <w:ind w:left="180"/>
              <w:spacing w:after="0"/>
              <w:rPr>
                <w:sz w:val="20"/>
                <w:szCs w:val="20"/>
                <w:color w:val="auto"/>
              </w:rPr>
            </w:pPr>
            <w:r>
              <w:rPr>
                <w:rFonts w:ascii="Arial" w:cs="Arial" w:eastAsia="Arial" w:hAnsi="Arial"/>
                <w:sz w:val="16"/>
                <w:szCs w:val="16"/>
                <w:color w:val="auto"/>
              </w:rPr>
              <w:t>Accounts payable</w:t>
            </w:r>
          </w:p>
        </w:tc>
        <w:tc>
          <w:tcPr>
            <w:tcW w:w="160" w:type="dxa"/>
            <w:vAlign w:val="bottom"/>
          </w:tcPr>
          <w:p>
            <w:pPr>
              <w:spacing w:after="0"/>
              <w:rPr>
                <w:sz w:val="17"/>
                <w:szCs w:val="17"/>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5,616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5,972</w:t>
            </w:r>
          </w:p>
        </w:tc>
      </w:tr>
      <w:tr>
        <w:trPr>
          <w:trHeight w:val="203"/>
        </w:trPr>
        <w:tc>
          <w:tcPr>
            <w:tcW w:w="7900" w:type="dxa"/>
            <w:vAlign w:val="bottom"/>
            <w:gridSpan w:val="4"/>
            <w:shd w:val="clear" w:color="auto" w:fill="CCEEFF"/>
          </w:tcPr>
          <w:p>
            <w:pPr>
              <w:ind w:left="180"/>
              <w:spacing w:after="0"/>
              <w:rPr>
                <w:sz w:val="20"/>
                <w:szCs w:val="20"/>
                <w:color w:val="auto"/>
              </w:rPr>
            </w:pPr>
            <w:r>
              <w:rPr>
                <w:rFonts w:ascii="Arial" w:cs="Arial" w:eastAsia="Arial" w:hAnsi="Arial"/>
                <w:sz w:val="16"/>
                <w:szCs w:val="16"/>
                <w:color w:val="auto"/>
              </w:rPr>
              <w:t>Deferred revenue</w:t>
            </w: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3,623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3,771</w:t>
            </w:r>
          </w:p>
        </w:tc>
      </w:tr>
      <w:tr>
        <w:trPr>
          <w:trHeight w:val="203"/>
        </w:trPr>
        <w:tc>
          <w:tcPr>
            <w:tcW w:w="7900" w:type="dxa"/>
            <w:vAlign w:val="bottom"/>
            <w:gridSpan w:val="4"/>
          </w:tcPr>
          <w:p>
            <w:pPr>
              <w:ind w:left="180"/>
              <w:spacing w:after="0"/>
              <w:rPr>
                <w:sz w:val="20"/>
                <w:szCs w:val="20"/>
                <w:color w:val="auto"/>
              </w:rPr>
            </w:pPr>
            <w:r>
              <w:rPr>
                <w:rFonts w:ascii="Arial" w:cs="Arial" w:eastAsia="Arial" w:hAnsi="Arial"/>
                <w:sz w:val="16"/>
                <w:szCs w:val="16"/>
                <w:color w:val="auto"/>
              </w:rPr>
              <w:t>Other current liabilities</w:t>
            </w: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9,670</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7,478</w:t>
            </w:r>
          </w:p>
        </w:tc>
      </w:tr>
      <w:tr>
        <w:trPr>
          <w:trHeight w:val="196"/>
        </w:trPr>
        <w:tc>
          <w:tcPr>
            <w:tcW w:w="7900" w:type="dxa"/>
            <w:vAlign w:val="bottom"/>
            <w:gridSpan w:val="4"/>
            <w:shd w:val="clear" w:color="auto" w:fill="CCEEFF"/>
          </w:tcPr>
          <w:p>
            <w:pPr>
              <w:ind w:left="340"/>
              <w:spacing w:after="0"/>
              <w:rPr>
                <w:sz w:val="20"/>
                <w:szCs w:val="20"/>
                <w:color w:val="auto"/>
              </w:rPr>
            </w:pPr>
            <w:r>
              <w:rPr>
                <w:rFonts w:ascii="Arial" w:cs="Arial" w:eastAsia="Arial" w:hAnsi="Arial"/>
                <w:sz w:val="16"/>
                <w:szCs w:val="16"/>
                <w:color w:val="auto"/>
              </w:rPr>
              <w:t>Total current liabilities</w:t>
            </w: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23,506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21,053</w:t>
            </w:r>
          </w:p>
        </w:tc>
      </w:tr>
      <w:tr>
        <w:trPr>
          <w:trHeight w:val="203"/>
        </w:trPr>
        <w:tc>
          <w:tcPr>
            <w:tcW w:w="1100" w:type="dxa"/>
            <w:vAlign w:val="bottom"/>
            <w:gridSpan w:val="2"/>
          </w:tcPr>
          <w:p>
            <w:pPr>
              <w:spacing w:after="0"/>
              <w:rPr>
                <w:sz w:val="20"/>
                <w:szCs w:val="20"/>
                <w:color w:val="auto"/>
              </w:rPr>
            </w:pPr>
            <w:r>
              <w:rPr>
                <w:rFonts w:ascii="Arial" w:cs="Arial" w:eastAsia="Arial" w:hAnsi="Arial"/>
                <w:sz w:val="16"/>
                <w:szCs w:val="16"/>
                <w:color w:val="auto"/>
                <w:w w:val="99"/>
              </w:rPr>
              <w:t>Long-term debt</w:t>
            </w:r>
          </w:p>
        </w:tc>
        <w:tc>
          <w:tcPr>
            <w:tcW w:w="122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42,740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46,286</w:t>
            </w:r>
          </w:p>
        </w:tc>
      </w:tr>
      <w:tr>
        <w:trPr>
          <w:trHeight w:val="203"/>
        </w:trPr>
        <w:tc>
          <w:tcPr>
            <w:tcW w:w="79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Deferred tax liability</w:t>
            </w: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1,549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1,899</w:t>
            </w:r>
          </w:p>
        </w:tc>
      </w:tr>
      <w:tr>
        <w:trPr>
          <w:trHeight w:val="203"/>
        </w:trPr>
        <w:tc>
          <w:tcPr>
            <w:tcW w:w="7900" w:type="dxa"/>
            <w:vAlign w:val="bottom"/>
            <w:gridSpan w:val="4"/>
          </w:tcPr>
          <w:p>
            <w:pPr>
              <w:spacing w:after="0"/>
              <w:rPr>
                <w:sz w:val="20"/>
                <w:szCs w:val="20"/>
                <w:color w:val="auto"/>
              </w:rPr>
            </w:pPr>
            <w:r>
              <w:rPr>
                <w:rFonts w:ascii="Arial" w:cs="Arial" w:eastAsia="Arial" w:hAnsi="Arial"/>
                <w:sz w:val="16"/>
                <w:szCs w:val="16"/>
                <w:color w:val="auto"/>
              </w:rPr>
              <w:t>Operating lease liabilities</w:t>
            </w:r>
          </w:p>
        </w:tc>
        <w:tc>
          <w:tcPr>
            <w:tcW w:w="160" w:type="dxa"/>
            <w:vAlign w:val="bottom"/>
          </w:tcPr>
          <w:p>
            <w:pPr>
              <w:spacing w:after="0"/>
              <w:rPr>
                <w:sz w:val="17"/>
                <w:szCs w:val="17"/>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6,716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7,481</w:t>
            </w:r>
          </w:p>
        </w:tc>
      </w:tr>
      <w:tr>
        <w:trPr>
          <w:trHeight w:val="203"/>
        </w:trPr>
        <w:tc>
          <w:tcPr>
            <w:tcW w:w="79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Other long-term liabilities</w:t>
            </w:r>
          </w:p>
        </w:tc>
        <w:tc>
          <w:tcPr>
            <w:tcW w:w="1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2,474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2,854</w:t>
            </w:r>
          </w:p>
        </w:tc>
      </w:tr>
      <w:tr>
        <w:trPr>
          <w:trHeight w:val="196"/>
        </w:trPr>
        <w:tc>
          <w:tcPr>
            <w:tcW w:w="7900" w:type="dxa"/>
            <w:vAlign w:val="bottom"/>
            <w:gridSpan w:val="4"/>
          </w:tcPr>
          <w:p>
            <w:pPr>
              <w:ind w:left="340"/>
              <w:spacing w:after="0"/>
              <w:rPr>
                <w:sz w:val="20"/>
                <w:szCs w:val="20"/>
                <w:color w:val="auto"/>
              </w:rPr>
            </w:pPr>
            <w:r>
              <w:rPr>
                <w:rFonts w:ascii="Arial" w:cs="Arial" w:eastAsia="Arial" w:hAnsi="Arial"/>
                <w:sz w:val="16"/>
                <w:szCs w:val="16"/>
                <w:color w:val="auto"/>
              </w:rPr>
              <w:t>Total liabilities</w:t>
            </w: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76,985</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79,573</w:t>
            </w:r>
          </w:p>
        </w:tc>
      </w:tr>
      <w:tr>
        <w:trPr>
          <w:trHeight w:val="196"/>
        </w:trPr>
        <w:tc>
          <w:tcPr>
            <w:tcW w:w="79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Commitments and contingencies - Note 13</w:t>
            </w: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03"/>
        </w:trPr>
        <w:tc>
          <w:tcPr>
            <w:tcW w:w="7900" w:type="dxa"/>
            <w:vAlign w:val="bottom"/>
            <w:gridSpan w:val="4"/>
          </w:tcPr>
          <w:p>
            <w:pPr>
              <w:spacing w:after="0"/>
              <w:rPr>
                <w:sz w:val="20"/>
                <w:szCs w:val="20"/>
                <w:color w:val="auto"/>
              </w:rPr>
            </w:pPr>
            <w:r>
              <w:rPr>
                <w:rFonts w:ascii="Arial" w:cs="Arial" w:eastAsia="Arial" w:hAnsi="Arial"/>
                <w:sz w:val="16"/>
                <w:szCs w:val="16"/>
                <w:color w:val="auto"/>
              </w:rPr>
              <w:t>Stockholders' equity:</w:t>
            </w: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7900" w:type="dxa"/>
            <w:vAlign w:val="bottom"/>
            <w:gridSpan w:val="4"/>
            <w:shd w:val="clear" w:color="auto" w:fill="CCEEFF"/>
          </w:tcPr>
          <w:p>
            <w:pPr>
              <w:ind w:left="180"/>
              <w:spacing w:after="0"/>
              <w:rPr>
                <w:sz w:val="20"/>
                <w:szCs w:val="20"/>
                <w:color w:val="auto"/>
              </w:rPr>
            </w:pPr>
            <w:r>
              <w:rPr>
                <w:rFonts w:ascii="Arial" w:cs="Arial" w:eastAsia="Arial" w:hAnsi="Arial"/>
                <w:sz w:val="16"/>
                <w:szCs w:val="16"/>
                <w:color w:val="auto"/>
              </w:rPr>
              <w:t>Preferred stock, par value $0.01 per share, 5,000,000 shares authorized</w:t>
            </w: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193"/>
        </w:trPr>
        <w:tc>
          <w:tcPr>
            <w:tcW w:w="7900" w:type="dxa"/>
            <w:vAlign w:val="bottom"/>
            <w:gridSpan w:val="4"/>
          </w:tcPr>
          <w:p>
            <w:pPr>
              <w:ind w:left="180"/>
              <w:spacing w:after="0"/>
              <w:rPr>
                <w:sz w:val="20"/>
                <w:szCs w:val="20"/>
                <w:color w:val="auto"/>
              </w:rPr>
            </w:pPr>
            <w:r>
              <w:rPr>
                <w:rFonts w:ascii="Arial" w:cs="Arial" w:eastAsia="Arial" w:hAnsi="Arial"/>
                <w:sz w:val="16"/>
                <w:szCs w:val="16"/>
                <w:color w:val="auto"/>
                <w:w w:val="93"/>
              </w:rPr>
              <w:t>Common stock, par value $0.01 per share, 80,000,000 shares authorized; 40,809,018 and 47,152,587 shares issued</w:t>
            </w: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09"/>
        </w:trPr>
        <w:tc>
          <w:tcPr>
            <w:tcW w:w="7900" w:type="dxa"/>
            <w:vAlign w:val="bottom"/>
            <w:gridSpan w:val="4"/>
          </w:tcPr>
          <w:p>
            <w:pPr>
              <w:ind w:left="180"/>
              <w:spacing w:after="0"/>
              <w:rPr>
                <w:sz w:val="20"/>
                <w:szCs w:val="20"/>
                <w:color w:val="auto"/>
              </w:rPr>
            </w:pPr>
            <w:r>
              <w:rPr>
                <w:rFonts w:ascii="Arial" w:cs="Arial" w:eastAsia="Arial" w:hAnsi="Arial"/>
                <w:sz w:val="16"/>
                <w:szCs w:val="16"/>
                <w:color w:val="auto"/>
              </w:rPr>
              <w:t>and 40,809,018 and 39,407,080 shares outstanding, respectively</w:t>
            </w:r>
          </w:p>
        </w:tc>
        <w:tc>
          <w:tcPr>
            <w:tcW w:w="160" w:type="dxa"/>
            <w:vAlign w:val="bottom"/>
          </w:tcPr>
          <w:p>
            <w:pPr>
              <w:spacing w:after="0"/>
              <w:rPr>
                <w:sz w:val="18"/>
                <w:szCs w:val="18"/>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451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444</w:t>
            </w:r>
          </w:p>
        </w:tc>
      </w:tr>
      <w:tr>
        <w:trPr>
          <w:trHeight w:val="205"/>
        </w:trPr>
        <w:tc>
          <w:tcPr>
            <w:tcW w:w="7900" w:type="dxa"/>
            <w:vAlign w:val="bottom"/>
            <w:gridSpan w:val="4"/>
            <w:shd w:val="clear" w:color="auto" w:fill="CCEEFF"/>
          </w:tcPr>
          <w:p>
            <w:pPr>
              <w:ind w:left="180"/>
              <w:spacing w:after="0"/>
              <w:rPr>
                <w:sz w:val="20"/>
                <w:szCs w:val="20"/>
                <w:color w:val="auto"/>
              </w:rPr>
            </w:pPr>
            <w:r>
              <w:rPr>
                <w:rFonts w:ascii="Arial" w:cs="Arial" w:eastAsia="Arial" w:hAnsi="Arial"/>
                <w:sz w:val="16"/>
                <w:szCs w:val="16"/>
                <w:color w:val="auto"/>
              </w:rPr>
              <w:t>Additional paid-in-capital</w:t>
            </w: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225,074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232,357</w:t>
            </w:r>
          </w:p>
        </w:tc>
      </w:tr>
      <w:tr>
        <w:trPr>
          <w:trHeight w:val="203"/>
        </w:trPr>
        <w:tc>
          <w:tcPr>
            <w:tcW w:w="7900" w:type="dxa"/>
            <w:vAlign w:val="bottom"/>
            <w:gridSpan w:val="4"/>
          </w:tcPr>
          <w:p>
            <w:pPr>
              <w:ind w:left="180"/>
              <w:spacing w:after="0"/>
              <w:rPr>
                <w:sz w:val="20"/>
                <w:szCs w:val="20"/>
                <w:color w:val="auto"/>
              </w:rPr>
            </w:pPr>
            <w:r>
              <w:rPr>
                <w:rFonts w:ascii="Arial" w:cs="Arial" w:eastAsia="Arial" w:hAnsi="Arial"/>
                <w:sz w:val="16"/>
                <w:szCs w:val="16"/>
                <w:color w:val="auto"/>
              </w:rPr>
              <w:t>Accumulated deficit</w:t>
            </w: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(133,635)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(132,386)</w:t>
            </w:r>
          </w:p>
        </w:tc>
      </w:tr>
      <w:tr>
        <w:trPr>
          <w:trHeight w:val="203"/>
        </w:trPr>
        <w:tc>
          <w:tcPr>
            <w:tcW w:w="7900" w:type="dxa"/>
            <w:vAlign w:val="bottom"/>
            <w:gridSpan w:val="4"/>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(13,066)</w:t>
            </w:r>
          </w:p>
        </w:tc>
      </w:tr>
      <w:tr>
        <w:trPr>
          <w:trHeight w:val="203"/>
        </w:trPr>
        <w:tc>
          <w:tcPr>
            <w:tcW w:w="7900" w:type="dxa"/>
            <w:vAlign w:val="bottom"/>
            <w:gridSpan w:val="4"/>
          </w:tcPr>
          <w:p>
            <w:pPr>
              <w:ind w:left="180"/>
              <w:spacing w:after="0"/>
              <w:rPr>
                <w:sz w:val="20"/>
                <w:szCs w:val="20"/>
                <w:color w:val="auto"/>
              </w:rPr>
            </w:pPr>
            <w:r>
              <w:rPr>
                <w:rFonts w:ascii="Arial" w:cs="Arial" w:eastAsia="Arial" w:hAnsi="Arial"/>
                <w:sz w:val="16"/>
                <w:szCs w:val="16"/>
                <w:color w:val="auto"/>
              </w:rPr>
              <w:t>Treasury stock at cost, -0- and 7,745,507 common shares, respectively</w:t>
            </w: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(10,668)</w:t>
            </w:r>
          </w:p>
        </w:tc>
      </w:tr>
      <w:tr>
        <w:trPr>
          <w:trHeight w:val="196"/>
        </w:trPr>
        <w:tc>
          <w:tcPr>
            <w:tcW w:w="790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6"/>
                <w:szCs w:val="16"/>
                <w:color w:val="auto"/>
              </w:rPr>
              <w:t>Total stockholders' equity</w:t>
            </w:r>
          </w:p>
        </w:tc>
        <w:tc>
          <w:tcPr>
            <w:tcW w:w="1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76,887</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76,681</w:t>
            </w:r>
          </w:p>
        </w:tc>
      </w:tr>
      <w:tr>
        <w:trPr>
          <w:trHeight w:val="196"/>
        </w:trPr>
        <w:tc>
          <w:tcPr>
            <w:tcW w:w="7900" w:type="dxa"/>
            <w:vAlign w:val="bottom"/>
            <w:gridSpan w:val="4"/>
          </w:tcPr>
          <w:p>
            <w:pPr>
              <w:ind w:left="340"/>
              <w:spacing w:after="0"/>
              <w:rPr>
                <w:sz w:val="20"/>
                <w:szCs w:val="20"/>
                <w:color w:val="auto"/>
              </w:rPr>
            </w:pPr>
            <w:r>
              <w:rPr>
                <w:rFonts w:ascii="Arial" w:cs="Arial" w:eastAsia="Arial" w:hAnsi="Arial"/>
                <w:sz w:val="16"/>
                <w:szCs w:val="16"/>
                <w:color w:val="auto"/>
              </w:rPr>
              <w:t>Total liabilities and stockholders' equity</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153,872</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156,254</w:t>
            </w:r>
          </w:p>
        </w:tc>
      </w:tr>
      <w:tr>
        <w:trPr>
          <w:trHeight w:val="20"/>
        </w:trPr>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HARVARD BIOSCIENCE, INC.</w:t>
      </w:r>
    </w:p>
    <w:p>
      <w:pPr>
        <w:spacing w:after="0" w:line="26" w:lineRule="exact"/>
        <w:rPr>
          <w:sz w:val="20"/>
          <w:szCs w:val="20"/>
          <w:color w:val="auto"/>
        </w:rPr>
      </w:pPr>
    </w:p>
    <w:p>
      <w:pPr>
        <w:ind w:left="3720"/>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19" w:lineRule="exact"/>
        <w:rPr>
          <w:sz w:val="20"/>
          <w:szCs w:val="20"/>
          <w:color w:val="auto"/>
        </w:rPr>
      </w:pPr>
    </w:p>
    <w:p>
      <w:pPr>
        <w:ind w:left="3920"/>
        <w:spacing w:after="0"/>
        <w:rPr>
          <w:sz w:val="20"/>
          <w:szCs w:val="20"/>
          <w:color w:val="auto"/>
        </w:rPr>
      </w:pPr>
      <w:r>
        <w:rPr>
          <w:rFonts w:ascii="Arial" w:cs="Arial" w:eastAsia="Arial" w:hAnsi="Arial"/>
          <w:sz w:val="16"/>
          <w:szCs w:val="16"/>
          <w:b w:val="1"/>
          <w:bCs w:val="1"/>
          <w:color w:val="auto"/>
        </w:rPr>
        <w:t>(Unaudited, in thousands, except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80" w:type="dxa"/>
            <w:vAlign w:val="bottom"/>
          </w:tcPr>
          <w:p>
            <w:pPr>
              <w:spacing w:after="0"/>
              <w:rPr>
                <w:sz w:val="18"/>
                <w:szCs w:val="18"/>
                <w:color w:val="auto"/>
              </w:rPr>
            </w:pPr>
          </w:p>
        </w:tc>
        <w:tc>
          <w:tcPr>
            <w:tcW w:w="264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w w:val="95"/>
              </w:rPr>
              <w:t>Three Months Ended September 30,</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6"/>
                <w:szCs w:val="16"/>
                <w:b w:val="1"/>
                <w:bCs w:val="1"/>
                <w:color w:val="auto"/>
                <w:w w:val="91"/>
              </w:rPr>
              <w:t>Nine Months Ended September 30,</w:t>
            </w:r>
          </w:p>
        </w:tc>
      </w:tr>
      <w:tr>
        <w:trPr>
          <w:trHeight w:val="199"/>
        </w:trPr>
        <w:tc>
          <w:tcPr>
            <w:tcW w:w="5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196"/>
        </w:trPr>
        <w:tc>
          <w:tcPr>
            <w:tcW w:w="5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78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2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29,663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24,037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85,849</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71,116</w:t>
            </w:r>
          </w:p>
        </w:tc>
      </w:tr>
      <w:tr>
        <w:trPr>
          <w:trHeight w:val="203"/>
        </w:trPr>
        <w:tc>
          <w:tcPr>
            <w:tcW w:w="5780" w:type="dxa"/>
            <w:vAlign w:val="bottom"/>
          </w:tcPr>
          <w:p>
            <w:pPr>
              <w:spacing w:after="0"/>
              <w:rPr>
                <w:sz w:val="20"/>
                <w:szCs w:val="20"/>
                <w:color w:val="auto"/>
              </w:rPr>
            </w:pPr>
            <w:r>
              <w:rPr>
                <w:rFonts w:ascii="Arial" w:cs="Arial" w:eastAsia="Arial" w:hAnsi="Arial"/>
                <w:sz w:val="16"/>
                <w:szCs w:val="16"/>
                <w:color w:val="auto"/>
              </w:rPr>
              <w:t>Cost of revenues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13,355</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10,542</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37,757</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30,783</w:t>
            </w:r>
          </w:p>
        </w:tc>
      </w:tr>
      <w:tr>
        <w:trPr>
          <w:trHeight w:val="196"/>
        </w:trPr>
        <w:tc>
          <w:tcPr>
            <w:tcW w:w="5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Gross profit</w:t>
            </w: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16,308</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13,495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48,092</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40,333</w:t>
            </w:r>
          </w:p>
        </w:tc>
      </w:tr>
      <w:tr>
        <w:trPr>
          <w:trHeight w:val="196"/>
        </w:trPr>
        <w:tc>
          <w:tcPr>
            <w:tcW w:w="5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Sales and marketing expenses</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6,183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4,588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17,299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14,446</w:t>
            </w:r>
          </w:p>
        </w:tc>
      </w:tr>
      <w:tr>
        <w:trPr>
          <w:trHeight w:val="203"/>
        </w:trPr>
        <w:tc>
          <w:tcPr>
            <w:tcW w:w="5780" w:type="dxa"/>
            <w:vAlign w:val="bottom"/>
          </w:tcPr>
          <w:p>
            <w:pPr>
              <w:ind w:left="180"/>
              <w:spacing w:after="0"/>
              <w:rPr>
                <w:sz w:val="20"/>
                <w:szCs w:val="20"/>
                <w:color w:val="auto"/>
              </w:rPr>
            </w:pPr>
            <w:r>
              <w:rPr>
                <w:rFonts w:ascii="Arial" w:cs="Arial" w:eastAsia="Arial" w:hAnsi="Arial"/>
                <w:sz w:val="16"/>
                <w:szCs w:val="16"/>
                <w:color w:val="auto"/>
              </w:rPr>
              <w:t>General and administrative expenses</w:t>
            </w:r>
          </w:p>
        </w:tc>
        <w:tc>
          <w:tcPr>
            <w:tcW w:w="26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5,458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5,399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18,190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17,828</w:t>
            </w:r>
          </w:p>
        </w:tc>
      </w:tr>
      <w:tr>
        <w:trPr>
          <w:trHeight w:val="203"/>
        </w:trPr>
        <w:tc>
          <w:tcPr>
            <w:tcW w:w="5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Research and development expenses</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2,660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1,949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7,848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6,336</w:t>
            </w:r>
          </w:p>
        </w:tc>
      </w:tr>
      <w:tr>
        <w:trPr>
          <w:trHeight w:val="203"/>
        </w:trPr>
        <w:tc>
          <w:tcPr>
            <w:tcW w:w="5780" w:type="dxa"/>
            <w:vAlign w:val="bottom"/>
          </w:tcPr>
          <w:p>
            <w:pPr>
              <w:ind w:left="18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1,459</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1,377</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4,388</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4,258</w:t>
            </w:r>
          </w:p>
        </w:tc>
      </w:tr>
      <w:tr>
        <w:trPr>
          <w:trHeight w:val="196"/>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15,760</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13,313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47,725</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42,868</w:t>
            </w:r>
          </w:p>
        </w:tc>
      </w:tr>
      <w:tr>
        <w:trPr>
          <w:trHeight w:val="196"/>
        </w:trPr>
        <w:tc>
          <w:tcPr>
            <w:tcW w:w="5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Operating income (loss)</w:t>
            </w: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548</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367</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(2,535)</w:t>
            </w:r>
          </w:p>
        </w:tc>
      </w:tr>
      <w:tr>
        <w:trPr>
          <w:trHeight w:val="196"/>
        </w:trPr>
        <w:tc>
          <w:tcPr>
            <w:tcW w:w="5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780" w:type="dxa"/>
            <w:vAlign w:val="bottom"/>
            <w:shd w:val="clear" w:color="auto" w:fill="CCEEFF"/>
          </w:tcPr>
          <w:p>
            <w:pPr>
              <w:spacing w:after="0"/>
              <w:rPr>
                <w:sz w:val="20"/>
                <w:szCs w:val="20"/>
                <w:color w:val="auto"/>
              </w:rPr>
            </w:pPr>
            <w:r>
              <w:rPr>
                <w:rFonts w:ascii="Arial" w:cs="Arial" w:eastAsia="Arial" w:hAnsi="Arial"/>
                <w:sz w:val="16"/>
                <w:szCs w:val="16"/>
                <w:color w:val="auto"/>
              </w:rPr>
              <w:t>Other (expense) income:</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3"/>
        </w:trPr>
        <w:tc>
          <w:tcPr>
            <w:tcW w:w="5780" w:type="dxa"/>
            <w:vAlign w:val="bottom"/>
          </w:tcPr>
          <w:p>
            <w:pPr>
              <w:ind w:left="34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(1,205)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(1,161)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(3,737)</w:t>
            </w:r>
          </w:p>
        </w:tc>
      </w:tr>
      <w:tr>
        <w:trPr>
          <w:trHeight w:val="203"/>
        </w:trPr>
        <w:tc>
          <w:tcPr>
            <w:tcW w:w="5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Other, net</w:t>
            </w: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w:t>
            </w:r>
          </w:p>
        </w:tc>
      </w:tr>
      <w:tr>
        <w:trPr>
          <w:trHeight w:val="196"/>
        </w:trPr>
        <w:tc>
          <w:tcPr>
            <w:tcW w:w="5780" w:type="dxa"/>
            <w:vAlign w:val="bottom"/>
          </w:tcPr>
          <w:p>
            <w:pPr>
              <w:spacing w:after="0"/>
              <w:rPr>
                <w:sz w:val="20"/>
                <w:szCs w:val="20"/>
                <w:color w:val="auto"/>
              </w:rPr>
            </w:pPr>
            <w:r>
              <w:rPr>
                <w:rFonts w:ascii="Arial" w:cs="Arial" w:eastAsia="Arial" w:hAnsi="Arial"/>
                <w:sz w:val="16"/>
                <w:szCs w:val="16"/>
                <w:color w:val="auto"/>
              </w:rPr>
              <w:t>Total other expense</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(1,597)</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(1,638)</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(4,209)</w:t>
            </w:r>
          </w:p>
        </w:tc>
      </w:tr>
      <w:tr>
        <w:trPr>
          <w:trHeight w:val="196"/>
        </w:trPr>
        <w:tc>
          <w:tcPr>
            <w:tcW w:w="5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3"/>
        </w:trPr>
        <w:tc>
          <w:tcPr>
            <w:tcW w:w="5780" w:type="dxa"/>
            <w:vAlign w:val="bottom"/>
          </w:tcPr>
          <w:p>
            <w:pPr>
              <w:spacing w:after="0"/>
              <w:rPr>
                <w:sz w:val="20"/>
                <w:szCs w:val="20"/>
                <w:color w:val="auto"/>
              </w:rPr>
            </w:pPr>
            <w:r>
              <w:rPr>
                <w:rFonts w:ascii="Arial" w:cs="Arial" w:eastAsia="Arial" w:hAnsi="Arial"/>
                <w:sz w:val="16"/>
                <w:szCs w:val="16"/>
                <w:color w:val="auto"/>
              </w:rPr>
              <w:t>Income (loss) before income taxes</w:t>
            </w:r>
          </w:p>
        </w:tc>
        <w:tc>
          <w:tcPr>
            <w:tcW w:w="26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(1,415)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(1,271)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(6,744)</w:t>
            </w:r>
          </w:p>
        </w:tc>
      </w:tr>
      <w:tr>
        <w:trPr>
          <w:trHeight w:val="203"/>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Income tax expense (benefit)</w:t>
            </w: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215</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451</w:t>
            </w:r>
          </w:p>
        </w:tc>
      </w:tr>
      <w:tr>
        <w:trPr>
          <w:trHeight w:val="196"/>
        </w:trPr>
        <w:tc>
          <w:tcPr>
            <w:tcW w:w="5780" w:type="dxa"/>
            <w:vAlign w:val="bottom"/>
          </w:tcPr>
          <w:p>
            <w:pPr>
              <w:spacing w:after="0"/>
              <w:rPr>
                <w:sz w:val="20"/>
                <w:szCs w:val="20"/>
                <w:color w:val="auto"/>
              </w:rPr>
            </w:pPr>
            <w:r>
              <w:rPr>
                <w:rFonts w:ascii="Arial" w:cs="Arial" w:eastAsia="Arial" w:hAnsi="Arial"/>
                <w:sz w:val="16"/>
                <w:szCs w:val="16"/>
                <w:color w:val="auto"/>
              </w:rPr>
              <w:t>Net loss</w:t>
            </w: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(170)</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(1,098)</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(1,249)</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(7,195)</w:t>
            </w:r>
          </w:p>
        </w:tc>
      </w:tr>
      <w:tr>
        <w:trPr>
          <w:trHeight w:val="20"/>
        </w:trPr>
        <w:tc>
          <w:tcPr>
            <w:tcW w:w="5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5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03"/>
        </w:trPr>
        <w:tc>
          <w:tcPr>
            <w:tcW w:w="5780" w:type="dxa"/>
            <w:vAlign w:val="bottom"/>
          </w:tcPr>
          <w:p>
            <w:pPr>
              <w:spacing w:after="0"/>
              <w:rPr>
                <w:sz w:val="20"/>
                <w:szCs w:val="20"/>
                <w:color w:val="auto"/>
              </w:rPr>
            </w:pPr>
            <w:r>
              <w:rPr>
                <w:rFonts w:ascii="Arial" w:cs="Arial" w:eastAsia="Arial" w:hAnsi="Arial"/>
                <w:sz w:val="16"/>
                <w:szCs w:val="16"/>
                <w:color w:val="auto"/>
              </w:rPr>
              <w:t>Loss per share:</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236"/>
        </w:trPr>
        <w:tc>
          <w:tcPr>
            <w:tcW w:w="5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Basic and diluted loss per common share</w:t>
            </w:r>
          </w:p>
        </w:tc>
        <w:tc>
          <w:tcPr>
            <w:tcW w:w="2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w:t>
            </w:r>
          </w:p>
        </w:tc>
      </w:tr>
      <w:tr>
        <w:trPr>
          <w:trHeight w:val="183"/>
        </w:trPr>
        <w:tc>
          <w:tcPr>
            <w:tcW w:w="578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r>
      <w:tr>
        <w:trPr>
          <w:trHeight w:val="203"/>
        </w:trPr>
        <w:tc>
          <w:tcPr>
            <w:tcW w:w="5780" w:type="dxa"/>
            <w:vAlign w:val="bottom"/>
            <w:shd w:val="clear" w:color="auto" w:fill="CCEEFF"/>
          </w:tcPr>
          <w:p>
            <w:pPr>
              <w:spacing w:after="0"/>
              <w:rPr>
                <w:sz w:val="20"/>
                <w:szCs w:val="20"/>
                <w:color w:val="auto"/>
              </w:rPr>
            </w:pPr>
            <w:r>
              <w:rPr>
                <w:rFonts w:ascii="Arial" w:cs="Arial" w:eastAsia="Arial" w:hAnsi="Arial"/>
                <w:sz w:val="16"/>
                <w:szCs w:val="16"/>
                <w:color w:val="auto"/>
              </w:rPr>
              <w:t>Weighted-average common shares:</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3"/>
        </w:trPr>
        <w:tc>
          <w:tcPr>
            <w:tcW w:w="5780" w:type="dxa"/>
            <w:vAlign w:val="bottom"/>
          </w:tcPr>
          <w:p>
            <w:pPr>
              <w:ind w:left="340"/>
              <w:spacing w:after="0"/>
              <w:rPr>
                <w:sz w:val="20"/>
                <w:szCs w:val="20"/>
                <w:color w:val="auto"/>
              </w:rPr>
            </w:pPr>
            <w:r>
              <w:rPr>
                <w:rFonts w:ascii="Arial" w:cs="Arial" w:eastAsia="Arial" w:hAnsi="Arial"/>
                <w:sz w:val="16"/>
                <w:szCs w:val="16"/>
                <w:color w:val="auto"/>
              </w:rPr>
              <w:t>Basic and diluted</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40,754</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38,920</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40,202</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38,540</w:t>
            </w:r>
          </w:p>
        </w:tc>
      </w:tr>
      <w:tr>
        <w:trPr>
          <w:trHeight w:val="20"/>
        </w:trPr>
        <w:tc>
          <w:tcPr>
            <w:tcW w:w="5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HARVARD BIOSCIENCE,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INCOME (LOSS)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80" w:type="dxa"/>
            <w:vAlign w:val="bottom"/>
          </w:tcPr>
          <w:p>
            <w:pPr>
              <w:spacing w:after="0"/>
              <w:rPr>
                <w:sz w:val="18"/>
                <w:szCs w:val="18"/>
                <w:color w:val="auto"/>
              </w:rPr>
            </w:pPr>
          </w:p>
        </w:tc>
        <w:tc>
          <w:tcPr>
            <w:tcW w:w="262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w w:val="95"/>
              </w:rPr>
              <w:t>Three Months Ended September 30,</w:t>
            </w:r>
          </w:p>
        </w:tc>
        <w:tc>
          <w:tcPr>
            <w:tcW w:w="100" w:type="dxa"/>
            <w:vAlign w:val="bottom"/>
          </w:tcPr>
          <w:p>
            <w:pPr>
              <w:spacing w:after="0"/>
              <w:rPr>
                <w:sz w:val="18"/>
                <w:szCs w:val="18"/>
                <w:color w:val="auto"/>
              </w:rPr>
            </w:pPr>
          </w:p>
        </w:tc>
        <w:tc>
          <w:tcPr>
            <w:tcW w:w="254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w w:val="95"/>
              </w:rPr>
              <w:t>Nine Months Ended September 30,</w:t>
            </w:r>
          </w:p>
        </w:tc>
      </w:tr>
      <w:tr>
        <w:trPr>
          <w:trHeight w:val="199"/>
        </w:trPr>
        <w:tc>
          <w:tcPr>
            <w:tcW w:w="59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r>
      <w:tr>
        <w:trPr>
          <w:trHeight w:val="196"/>
        </w:trPr>
        <w:tc>
          <w:tcPr>
            <w:tcW w:w="5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(7,195)</w:t>
            </w:r>
          </w:p>
        </w:tc>
      </w:tr>
      <w:tr>
        <w:trPr>
          <w:trHeight w:val="203"/>
        </w:trPr>
        <w:tc>
          <w:tcPr>
            <w:tcW w:w="5980" w:type="dxa"/>
            <w:vAlign w:val="bottom"/>
          </w:tcPr>
          <w:p>
            <w:pPr>
              <w:spacing w:after="0"/>
              <w:rPr>
                <w:sz w:val="20"/>
                <w:szCs w:val="20"/>
                <w:color w:val="auto"/>
              </w:rPr>
            </w:pPr>
            <w:r>
              <w:rPr>
                <w:rFonts w:ascii="Arial" w:cs="Arial" w:eastAsia="Arial" w:hAnsi="Arial"/>
                <w:sz w:val="16"/>
                <w:szCs w:val="16"/>
                <w:color w:val="auto"/>
              </w:rPr>
              <w:t>Other comprehensive (loss) income:</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5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adjustments</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1,638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681</w:t>
            </w:r>
          </w:p>
        </w:tc>
      </w:tr>
      <w:tr>
        <w:trPr>
          <w:trHeight w:val="203"/>
        </w:trPr>
        <w:tc>
          <w:tcPr>
            <w:tcW w:w="5980" w:type="dxa"/>
            <w:vAlign w:val="bottom"/>
          </w:tcPr>
          <w:p>
            <w:pPr>
              <w:ind w:left="180"/>
              <w:spacing w:after="0"/>
              <w:rPr>
                <w:sz w:val="20"/>
                <w:szCs w:val="20"/>
                <w:color w:val="auto"/>
              </w:rPr>
            </w:pPr>
            <w:r>
              <w:rPr>
                <w:rFonts w:ascii="Arial" w:cs="Arial" w:eastAsia="Arial" w:hAnsi="Arial"/>
                <w:sz w:val="16"/>
                <w:szCs w:val="16"/>
                <w:color w:val="auto"/>
              </w:rPr>
              <w:t>Derivatives qualifying as hedges, net of tax</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w:t>
            </w:r>
          </w:p>
        </w:tc>
      </w:tr>
      <w:tr>
        <w:trPr>
          <w:trHeight w:val="196"/>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comprehensive (loss) income</w:t>
            </w:r>
          </w:p>
        </w:tc>
        <w:tc>
          <w:tcPr>
            <w:tcW w:w="2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(1,135)</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1,730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715</w:t>
            </w:r>
          </w:p>
        </w:tc>
      </w:tr>
      <w:tr>
        <w:trPr>
          <w:trHeight w:val="196"/>
        </w:trPr>
        <w:tc>
          <w:tcPr>
            <w:tcW w:w="5980" w:type="dxa"/>
            <w:vAlign w:val="bottom"/>
          </w:tcPr>
          <w:p>
            <w:pPr>
              <w:spacing w:after="0"/>
              <w:rPr>
                <w:sz w:val="20"/>
                <w:szCs w:val="20"/>
                <w:color w:val="auto"/>
              </w:rPr>
            </w:pPr>
            <w:r>
              <w:rPr>
                <w:rFonts w:ascii="Arial" w:cs="Arial" w:eastAsia="Arial" w:hAnsi="Arial"/>
                <w:sz w:val="16"/>
                <w:szCs w:val="16"/>
                <w:color w:val="auto"/>
              </w:rPr>
              <w:t>Comprehensive (loss) income</w:t>
            </w: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(1,305)</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632</w:t>
            </w:r>
          </w:p>
        </w:tc>
        <w:tc>
          <w:tcPr>
            <w:tcW w:w="3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(3,186)</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(6,480)</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HARVARD BIOSCIENCE,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STOCKHOLDERS' EQUITY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center"/>
              <w:ind w:right="119"/>
              <w:spacing w:after="0"/>
              <w:rPr>
                <w:sz w:val="20"/>
                <w:szCs w:val="20"/>
                <w:color w:val="auto"/>
              </w:rPr>
            </w:pPr>
            <w:r>
              <w:rPr>
                <w:rFonts w:ascii="Arial" w:cs="Arial" w:eastAsia="Arial" w:hAnsi="Arial"/>
                <w:sz w:val="16"/>
                <w:szCs w:val="16"/>
                <w:b w:val="1"/>
                <w:bCs w:val="1"/>
                <w:color w:val="auto"/>
                <w:w w:val="91"/>
              </w:rPr>
              <w:t>Accumulated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360" w:type="dxa"/>
            <w:vAlign w:val="bottom"/>
          </w:tcPr>
          <w:p>
            <w:pPr>
              <w:jc w:val="center"/>
              <w:ind w:right="19"/>
              <w:spacing w:after="0"/>
              <w:rPr>
                <w:sz w:val="20"/>
                <w:szCs w:val="20"/>
                <w:color w:val="auto"/>
              </w:rPr>
            </w:pPr>
            <w:r>
              <w:rPr>
                <w:rFonts w:ascii="Arial" w:cs="Arial" w:eastAsia="Arial" w:hAnsi="Arial"/>
                <w:sz w:val="16"/>
                <w:szCs w:val="16"/>
                <w:b w:val="1"/>
                <w:bCs w:val="1"/>
                <w:color w:val="auto"/>
                <w:w w:val="92"/>
              </w:rPr>
              <w:t>Three Months Ended</w:t>
            </w:r>
          </w:p>
        </w:tc>
        <w:tc>
          <w:tcPr>
            <w:tcW w:w="980" w:type="dxa"/>
            <w:vAlign w:val="bottom"/>
          </w:tcPr>
          <w:p>
            <w:pPr>
              <w:jc w:val="center"/>
              <w:ind w:right="39"/>
              <w:spacing w:after="0"/>
              <w:rPr>
                <w:sz w:val="20"/>
                <w:szCs w:val="20"/>
                <w:color w:val="auto"/>
              </w:rPr>
            </w:pPr>
            <w:r>
              <w:rPr>
                <w:rFonts w:ascii="Arial" w:cs="Arial" w:eastAsia="Arial" w:hAnsi="Arial"/>
                <w:sz w:val="16"/>
                <w:szCs w:val="16"/>
                <w:b w:val="1"/>
                <w:bCs w:val="1"/>
                <w:color w:val="auto"/>
                <w:w w:val="95"/>
              </w:rPr>
              <w:t>Number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w w:val="94"/>
              </w:rPr>
              <w:t>Additional</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center"/>
              <w:ind w:right="99"/>
              <w:spacing w:after="0"/>
              <w:rPr>
                <w:sz w:val="20"/>
                <w:szCs w:val="20"/>
                <w:color w:val="auto"/>
              </w:rPr>
            </w:pPr>
            <w:r>
              <w:rPr>
                <w:rFonts w:ascii="Arial" w:cs="Arial" w:eastAsia="Arial" w:hAnsi="Arial"/>
                <w:sz w:val="16"/>
                <w:szCs w:val="16"/>
                <w:b w:val="1"/>
                <w:bCs w:val="1"/>
                <w:color w:val="auto"/>
                <w:w w:val="98"/>
              </w:rPr>
              <w:t>Other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center"/>
              <w:ind w:right="179"/>
              <w:spacing w:after="0"/>
              <w:rPr>
                <w:sz w:val="20"/>
                <w:szCs w:val="20"/>
                <w:color w:val="auto"/>
              </w:rPr>
            </w:pPr>
            <w:r>
              <w:rPr>
                <w:rFonts w:ascii="Arial" w:cs="Arial" w:eastAsia="Arial" w:hAnsi="Arial"/>
                <w:sz w:val="16"/>
                <w:szCs w:val="16"/>
                <w:b w:val="1"/>
                <w:bCs w:val="1"/>
                <w:color w:val="auto"/>
                <w:w w:val="94"/>
              </w:rPr>
              <w:t>Total</w:t>
            </w:r>
          </w:p>
        </w:tc>
      </w:tr>
      <w:tr>
        <w:trPr>
          <w:trHeight w:val="203"/>
        </w:trPr>
        <w:tc>
          <w:tcPr>
            <w:tcW w:w="3360" w:type="dxa"/>
            <w:vAlign w:val="bottom"/>
          </w:tcPr>
          <w:p>
            <w:pPr>
              <w:jc w:val="center"/>
              <w:ind w:right="19"/>
              <w:spacing w:after="0"/>
              <w:rPr>
                <w:sz w:val="20"/>
                <w:szCs w:val="20"/>
                <w:color w:val="auto"/>
              </w:rPr>
            </w:pPr>
            <w:r>
              <w:rPr>
                <w:rFonts w:ascii="Arial" w:cs="Arial" w:eastAsia="Arial" w:hAnsi="Arial"/>
                <w:sz w:val="16"/>
                <w:szCs w:val="16"/>
                <w:b w:val="1"/>
                <w:bCs w:val="1"/>
                <w:color w:val="auto"/>
                <w:w w:val="89"/>
              </w:rPr>
              <w:t>September 30, 2021</w:t>
            </w:r>
          </w:p>
        </w:tc>
        <w:tc>
          <w:tcPr>
            <w:tcW w:w="980" w:type="dxa"/>
            <w:vAlign w:val="bottom"/>
          </w:tcPr>
          <w:p>
            <w:pPr>
              <w:jc w:val="center"/>
              <w:ind w:right="19"/>
              <w:spacing w:after="0"/>
              <w:rPr>
                <w:sz w:val="20"/>
                <w:szCs w:val="20"/>
                <w:color w:val="auto"/>
              </w:rPr>
            </w:pPr>
            <w:r>
              <w:rPr>
                <w:rFonts w:ascii="Arial" w:cs="Arial" w:eastAsia="Arial" w:hAnsi="Arial"/>
                <w:sz w:val="16"/>
                <w:szCs w:val="16"/>
                <w:b w:val="1"/>
                <w:bCs w:val="1"/>
                <w:color w:val="auto"/>
                <w:w w:val="87"/>
              </w:rPr>
              <w:t>of Shares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ind w:right="119"/>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ind w:right="159"/>
              <w:spacing w:after="0"/>
              <w:rPr>
                <w:sz w:val="20"/>
                <w:szCs w:val="20"/>
                <w:color w:val="auto"/>
              </w:rPr>
            </w:pPr>
            <w:r>
              <w:rPr>
                <w:rFonts w:ascii="Arial" w:cs="Arial" w:eastAsia="Arial" w:hAnsi="Arial"/>
                <w:sz w:val="16"/>
                <w:szCs w:val="16"/>
                <w:b w:val="1"/>
                <w:bCs w:val="1"/>
                <w:color w:val="auto"/>
                <w:w w:val="93"/>
              </w:rPr>
              <w:t>Paid-in</w:t>
            </w:r>
          </w:p>
        </w:tc>
        <w:tc>
          <w:tcPr>
            <w:tcW w:w="1120" w:type="dxa"/>
            <w:vAlign w:val="bottom"/>
            <w:gridSpan w:val="3"/>
          </w:tcPr>
          <w:p>
            <w:pPr>
              <w:ind w:left="100"/>
              <w:spacing w:after="0"/>
              <w:rPr>
                <w:sz w:val="20"/>
                <w:szCs w:val="20"/>
                <w:color w:val="auto"/>
              </w:rPr>
            </w:pPr>
            <w:r>
              <w:rPr>
                <w:rFonts w:ascii="Arial" w:cs="Arial" w:eastAsia="Arial" w:hAnsi="Arial"/>
                <w:sz w:val="16"/>
                <w:szCs w:val="16"/>
                <w:b w:val="1"/>
                <w:bCs w:val="1"/>
                <w:color w:val="auto"/>
                <w:w w:val="99"/>
              </w:rPr>
              <w:t>Accumulated</w:t>
            </w:r>
          </w:p>
        </w:tc>
        <w:tc>
          <w:tcPr>
            <w:tcW w:w="100" w:type="dxa"/>
            <w:vAlign w:val="bottom"/>
          </w:tcPr>
          <w:p>
            <w:pPr>
              <w:spacing w:after="0"/>
              <w:rPr>
                <w:sz w:val="17"/>
                <w:szCs w:val="17"/>
                <w:color w:val="auto"/>
              </w:rPr>
            </w:pPr>
          </w:p>
        </w:tc>
        <w:tc>
          <w:tcPr>
            <w:tcW w:w="1200" w:type="dxa"/>
            <w:vAlign w:val="bottom"/>
            <w:gridSpan w:val="2"/>
          </w:tcPr>
          <w:p>
            <w:pPr>
              <w:spacing w:after="0"/>
              <w:rPr>
                <w:sz w:val="20"/>
                <w:szCs w:val="20"/>
                <w:color w:val="auto"/>
              </w:rPr>
            </w:pPr>
            <w:r>
              <w:rPr>
                <w:rFonts w:ascii="Arial" w:cs="Arial" w:eastAsia="Arial" w:hAnsi="Arial"/>
                <w:sz w:val="16"/>
                <w:szCs w:val="16"/>
                <w:b w:val="1"/>
                <w:bCs w:val="1"/>
                <w:color w:val="auto"/>
                <w:w w:val="98"/>
              </w:rPr>
              <w:t>Comprehensive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ind w:right="119"/>
              <w:spacing w:after="0"/>
              <w:rPr>
                <w:sz w:val="20"/>
                <w:szCs w:val="20"/>
                <w:color w:val="auto"/>
              </w:rPr>
            </w:pPr>
            <w:r>
              <w:rPr>
                <w:rFonts w:ascii="Arial" w:cs="Arial" w:eastAsia="Arial" w:hAnsi="Arial"/>
                <w:sz w:val="16"/>
                <w:szCs w:val="16"/>
                <w:b w:val="1"/>
                <w:bCs w:val="1"/>
                <w:color w:val="auto"/>
                <w:w w:val="91"/>
              </w:rPr>
              <w:t>Treasury</w:t>
            </w:r>
          </w:p>
        </w:tc>
        <w:tc>
          <w:tcPr>
            <w:tcW w:w="10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Arial" w:cs="Arial" w:eastAsia="Arial" w:hAnsi="Arial"/>
                <w:sz w:val="16"/>
                <w:szCs w:val="16"/>
                <w:b w:val="1"/>
                <w:bCs w:val="1"/>
                <w:color w:val="auto"/>
                <w:w w:val="98"/>
              </w:rPr>
              <w:t>Stockholders’</w:t>
            </w:r>
          </w:p>
        </w:tc>
      </w:tr>
      <w:tr>
        <w:trPr>
          <w:trHeight w:val="213"/>
        </w:trPr>
        <w:tc>
          <w:tcPr>
            <w:tcW w:w="3360" w:type="dxa"/>
            <w:vAlign w:val="bottom"/>
          </w:tcPr>
          <w:p>
            <w:pPr>
              <w:spacing w:after="0"/>
              <w:rPr>
                <w:sz w:val="18"/>
                <w:szCs w:val="18"/>
                <w:color w:val="auto"/>
              </w:rPr>
            </w:pPr>
          </w:p>
        </w:tc>
        <w:tc>
          <w:tcPr>
            <w:tcW w:w="9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6"/>
              </w:rPr>
              <w:t>Issued</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w w:val="97"/>
              </w:rPr>
              <w:t>Capital</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Deficit</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85"/>
              </w:rPr>
              <w:t>Loss</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87"/>
              </w:rPr>
              <w:t>Stock</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w w:val="98"/>
              </w:rPr>
              <w:t>Equity</w:t>
            </w:r>
          </w:p>
        </w:tc>
      </w:tr>
      <w:tr>
        <w:trPr>
          <w:trHeight w:val="199"/>
        </w:trPr>
        <w:tc>
          <w:tcPr>
            <w:tcW w:w="3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Balance at June 30, 2021</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40,486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225,583</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(133,465)</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(13,868)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78,701</w:t>
            </w:r>
          </w:p>
        </w:tc>
      </w:tr>
      <w:tr>
        <w:trPr>
          <w:trHeight w:val="203"/>
        </w:trPr>
        <w:tc>
          <w:tcPr>
            <w:tcW w:w="3360" w:type="dxa"/>
            <w:vAlign w:val="bottom"/>
          </w:tcPr>
          <w:p>
            <w:pPr>
              <w:ind w:left="180"/>
              <w:spacing w:after="0"/>
              <w:rPr>
                <w:sz w:val="20"/>
                <w:szCs w:val="20"/>
                <w:color w:val="auto"/>
              </w:rPr>
            </w:pPr>
            <w:r>
              <w:rPr>
                <w:rFonts w:ascii="Arial" w:cs="Arial" w:eastAsia="Arial" w:hAnsi="Arial"/>
                <w:sz w:val="16"/>
                <w:szCs w:val="16"/>
                <w:color w:val="auto"/>
              </w:rPr>
              <w:t>Stock option exercises</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150</w:t>
            </w:r>
          </w:p>
        </w:tc>
      </w:tr>
      <w:tr>
        <w:trPr>
          <w:trHeight w:val="203"/>
        </w:trPr>
        <w:tc>
          <w:tcPr>
            <w:tcW w:w="3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Vesting of restricted stock units</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3"/>
        </w:trPr>
        <w:tc>
          <w:tcPr>
            <w:tcW w:w="3360" w:type="dxa"/>
            <w:vAlign w:val="bottom"/>
          </w:tcPr>
          <w:p>
            <w:pPr>
              <w:ind w:left="180"/>
              <w:spacing w:after="0"/>
              <w:rPr>
                <w:sz w:val="20"/>
                <w:szCs w:val="20"/>
                <w:color w:val="auto"/>
              </w:rPr>
            </w:pPr>
            <w:r>
              <w:rPr>
                <w:rFonts w:ascii="Arial" w:cs="Arial" w:eastAsia="Arial" w:hAnsi="Arial"/>
                <w:sz w:val="16"/>
                <w:szCs w:val="16"/>
                <w:color w:val="auto"/>
              </w:rPr>
              <w:t>Shares withheld for taxes</w:t>
            </w:r>
          </w:p>
        </w:tc>
        <w:tc>
          <w:tcPr>
            <w:tcW w:w="980" w:type="dxa"/>
            <w:vAlign w:val="bottom"/>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(1,663)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(1,663)</w:t>
            </w:r>
          </w:p>
        </w:tc>
      </w:tr>
      <w:tr>
        <w:trPr>
          <w:trHeight w:val="203"/>
        </w:trPr>
        <w:tc>
          <w:tcPr>
            <w:tcW w:w="3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 compensation expense</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1,004</w:t>
            </w:r>
          </w:p>
        </w:tc>
      </w:tr>
      <w:tr>
        <w:trPr>
          <w:trHeight w:val="203"/>
        </w:trPr>
        <w:tc>
          <w:tcPr>
            <w:tcW w:w="3360" w:type="dxa"/>
            <w:vAlign w:val="bottom"/>
          </w:tcPr>
          <w:p>
            <w:pPr>
              <w:ind w:left="180"/>
              <w:spacing w:after="0"/>
              <w:rPr>
                <w:sz w:val="20"/>
                <w:szCs w:val="20"/>
                <w:color w:val="auto"/>
              </w:rPr>
            </w:pPr>
            <w:r>
              <w:rPr>
                <w:rFonts w:ascii="Arial" w:cs="Arial" w:eastAsia="Arial" w:hAnsi="Arial"/>
                <w:sz w:val="16"/>
                <w:szCs w:val="16"/>
                <w:color w:val="auto"/>
              </w:rPr>
              <w:t>Net loss</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(170)</w:t>
            </w:r>
          </w:p>
        </w:tc>
      </w:tr>
      <w:tr>
        <w:trPr>
          <w:trHeight w:val="203"/>
        </w:trPr>
        <w:tc>
          <w:tcPr>
            <w:tcW w:w="3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comprehensive loss</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(1,135)</w:t>
            </w:r>
          </w:p>
        </w:tc>
      </w:tr>
      <w:tr>
        <w:trPr>
          <w:trHeight w:val="196"/>
        </w:trPr>
        <w:tc>
          <w:tcPr>
            <w:tcW w:w="3360" w:type="dxa"/>
            <w:vAlign w:val="bottom"/>
          </w:tcPr>
          <w:p>
            <w:pPr>
              <w:spacing w:after="0"/>
              <w:rPr>
                <w:sz w:val="20"/>
                <w:szCs w:val="20"/>
                <w:color w:val="auto"/>
              </w:rPr>
            </w:pPr>
            <w:r>
              <w:rPr>
                <w:rFonts w:ascii="Arial" w:cs="Arial" w:eastAsia="Arial" w:hAnsi="Arial"/>
                <w:sz w:val="16"/>
                <w:szCs w:val="16"/>
                <w:color w:val="auto"/>
              </w:rPr>
              <w:t>Balance at September 30, 2021</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40,809</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451</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225,074</w:t>
            </w:r>
          </w:p>
        </w:tc>
        <w:tc>
          <w:tcPr>
            <w:tcW w:w="26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(133,635)</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(15,003)</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76,887</w:t>
            </w:r>
          </w:p>
        </w:tc>
      </w:tr>
      <w:tr>
        <w:trPr>
          <w:trHeight w:val="20"/>
        </w:trPr>
        <w:tc>
          <w:tcPr>
            <w:tcW w:w="33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372"/>
        </w:trPr>
        <w:tc>
          <w:tcPr>
            <w:tcW w:w="3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jc w:val="center"/>
              <w:ind w:right="119"/>
              <w:spacing w:after="0"/>
              <w:rPr>
                <w:sz w:val="20"/>
                <w:szCs w:val="20"/>
                <w:color w:val="auto"/>
              </w:rPr>
            </w:pPr>
            <w:r>
              <w:rPr>
                <w:rFonts w:ascii="Arial" w:cs="Arial" w:eastAsia="Arial" w:hAnsi="Arial"/>
                <w:sz w:val="16"/>
                <w:szCs w:val="16"/>
                <w:b w:val="1"/>
                <w:bCs w:val="1"/>
                <w:color w:val="auto"/>
                <w:w w:val="91"/>
              </w:rPr>
              <w:t>Accumulated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3360" w:type="dxa"/>
            <w:vAlign w:val="bottom"/>
          </w:tcPr>
          <w:p>
            <w:pPr>
              <w:jc w:val="center"/>
              <w:ind w:right="19"/>
              <w:spacing w:after="0"/>
              <w:rPr>
                <w:sz w:val="20"/>
                <w:szCs w:val="20"/>
                <w:color w:val="auto"/>
              </w:rPr>
            </w:pPr>
            <w:r>
              <w:rPr>
                <w:rFonts w:ascii="Arial" w:cs="Arial" w:eastAsia="Arial" w:hAnsi="Arial"/>
                <w:sz w:val="16"/>
                <w:szCs w:val="16"/>
                <w:b w:val="1"/>
                <w:bCs w:val="1"/>
                <w:color w:val="auto"/>
                <w:w w:val="92"/>
              </w:rPr>
              <w:t>Three Months Ended</w:t>
            </w:r>
          </w:p>
        </w:tc>
        <w:tc>
          <w:tcPr>
            <w:tcW w:w="980" w:type="dxa"/>
            <w:vAlign w:val="bottom"/>
          </w:tcPr>
          <w:p>
            <w:pPr>
              <w:jc w:val="center"/>
              <w:ind w:right="39"/>
              <w:spacing w:after="0"/>
              <w:rPr>
                <w:sz w:val="20"/>
                <w:szCs w:val="20"/>
                <w:color w:val="auto"/>
              </w:rPr>
            </w:pPr>
            <w:r>
              <w:rPr>
                <w:rFonts w:ascii="Arial" w:cs="Arial" w:eastAsia="Arial" w:hAnsi="Arial"/>
                <w:sz w:val="16"/>
                <w:szCs w:val="16"/>
                <w:b w:val="1"/>
                <w:bCs w:val="1"/>
                <w:color w:val="auto"/>
                <w:w w:val="95"/>
              </w:rPr>
              <w:t>Number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w w:val="94"/>
              </w:rPr>
              <w:t>Additional</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center"/>
              <w:ind w:right="99"/>
              <w:spacing w:after="0"/>
              <w:rPr>
                <w:sz w:val="20"/>
                <w:szCs w:val="20"/>
                <w:color w:val="auto"/>
              </w:rPr>
            </w:pPr>
            <w:r>
              <w:rPr>
                <w:rFonts w:ascii="Arial" w:cs="Arial" w:eastAsia="Arial" w:hAnsi="Arial"/>
                <w:sz w:val="16"/>
                <w:szCs w:val="16"/>
                <w:b w:val="1"/>
                <w:bCs w:val="1"/>
                <w:color w:val="auto"/>
                <w:w w:val="98"/>
              </w:rPr>
              <w:t>Other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center"/>
              <w:ind w:right="179"/>
              <w:spacing w:after="0"/>
              <w:rPr>
                <w:sz w:val="20"/>
                <w:szCs w:val="20"/>
                <w:color w:val="auto"/>
              </w:rPr>
            </w:pPr>
            <w:r>
              <w:rPr>
                <w:rFonts w:ascii="Arial" w:cs="Arial" w:eastAsia="Arial" w:hAnsi="Arial"/>
                <w:sz w:val="16"/>
                <w:szCs w:val="16"/>
                <w:b w:val="1"/>
                <w:bCs w:val="1"/>
                <w:color w:val="auto"/>
                <w:w w:val="94"/>
              </w:rPr>
              <w:t>Total</w:t>
            </w:r>
          </w:p>
        </w:tc>
      </w:tr>
      <w:tr>
        <w:trPr>
          <w:trHeight w:val="203"/>
        </w:trPr>
        <w:tc>
          <w:tcPr>
            <w:tcW w:w="3360" w:type="dxa"/>
            <w:vAlign w:val="bottom"/>
          </w:tcPr>
          <w:p>
            <w:pPr>
              <w:jc w:val="center"/>
              <w:ind w:right="19"/>
              <w:spacing w:after="0"/>
              <w:rPr>
                <w:sz w:val="20"/>
                <w:szCs w:val="20"/>
                <w:color w:val="auto"/>
              </w:rPr>
            </w:pPr>
            <w:r>
              <w:rPr>
                <w:rFonts w:ascii="Arial" w:cs="Arial" w:eastAsia="Arial" w:hAnsi="Arial"/>
                <w:sz w:val="16"/>
                <w:szCs w:val="16"/>
                <w:b w:val="1"/>
                <w:bCs w:val="1"/>
                <w:color w:val="auto"/>
                <w:w w:val="89"/>
              </w:rPr>
              <w:t>September 30, 2020</w:t>
            </w:r>
          </w:p>
        </w:tc>
        <w:tc>
          <w:tcPr>
            <w:tcW w:w="980" w:type="dxa"/>
            <w:vAlign w:val="bottom"/>
          </w:tcPr>
          <w:p>
            <w:pPr>
              <w:jc w:val="center"/>
              <w:ind w:right="19"/>
              <w:spacing w:after="0"/>
              <w:rPr>
                <w:sz w:val="20"/>
                <w:szCs w:val="20"/>
                <w:color w:val="auto"/>
              </w:rPr>
            </w:pPr>
            <w:r>
              <w:rPr>
                <w:rFonts w:ascii="Arial" w:cs="Arial" w:eastAsia="Arial" w:hAnsi="Arial"/>
                <w:sz w:val="16"/>
                <w:szCs w:val="16"/>
                <w:b w:val="1"/>
                <w:bCs w:val="1"/>
                <w:color w:val="auto"/>
                <w:w w:val="87"/>
              </w:rPr>
              <w:t>of Shares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ind w:right="119"/>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ind w:right="159"/>
              <w:spacing w:after="0"/>
              <w:rPr>
                <w:sz w:val="20"/>
                <w:szCs w:val="20"/>
                <w:color w:val="auto"/>
              </w:rPr>
            </w:pPr>
            <w:r>
              <w:rPr>
                <w:rFonts w:ascii="Arial" w:cs="Arial" w:eastAsia="Arial" w:hAnsi="Arial"/>
                <w:sz w:val="16"/>
                <w:szCs w:val="16"/>
                <w:b w:val="1"/>
                <w:bCs w:val="1"/>
                <w:color w:val="auto"/>
                <w:w w:val="93"/>
              </w:rPr>
              <w:t>Paid-in</w:t>
            </w:r>
          </w:p>
        </w:tc>
        <w:tc>
          <w:tcPr>
            <w:tcW w:w="1120" w:type="dxa"/>
            <w:vAlign w:val="bottom"/>
            <w:gridSpan w:val="3"/>
          </w:tcPr>
          <w:p>
            <w:pPr>
              <w:ind w:left="100"/>
              <w:spacing w:after="0"/>
              <w:rPr>
                <w:sz w:val="20"/>
                <w:szCs w:val="20"/>
                <w:color w:val="auto"/>
              </w:rPr>
            </w:pPr>
            <w:r>
              <w:rPr>
                <w:rFonts w:ascii="Arial" w:cs="Arial" w:eastAsia="Arial" w:hAnsi="Arial"/>
                <w:sz w:val="16"/>
                <w:szCs w:val="16"/>
                <w:b w:val="1"/>
                <w:bCs w:val="1"/>
                <w:color w:val="auto"/>
                <w:w w:val="99"/>
              </w:rPr>
              <w:t>Accumulated</w:t>
            </w:r>
          </w:p>
        </w:tc>
        <w:tc>
          <w:tcPr>
            <w:tcW w:w="100" w:type="dxa"/>
            <w:vAlign w:val="bottom"/>
          </w:tcPr>
          <w:p>
            <w:pPr>
              <w:spacing w:after="0"/>
              <w:rPr>
                <w:sz w:val="17"/>
                <w:szCs w:val="17"/>
                <w:color w:val="auto"/>
              </w:rPr>
            </w:pPr>
          </w:p>
        </w:tc>
        <w:tc>
          <w:tcPr>
            <w:tcW w:w="1200" w:type="dxa"/>
            <w:vAlign w:val="bottom"/>
            <w:gridSpan w:val="2"/>
          </w:tcPr>
          <w:p>
            <w:pPr>
              <w:spacing w:after="0"/>
              <w:rPr>
                <w:sz w:val="20"/>
                <w:szCs w:val="20"/>
                <w:color w:val="auto"/>
              </w:rPr>
            </w:pPr>
            <w:r>
              <w:rPr>
                <w:rFonts w:ascii="Arial" w:cs="Arial" w:eastAsia="Arial" w:hAnsi="Arial"/>
                <w:sz w:val="16"/>
                <w:szCs w:val="16"/>
                <w:b w:val="1"/>
                <w:bCs w:val="1"/>
                <w:color w:val="auto"/>
                <w:w w:val="98"/>
              </w:rPr>
              <w:t>Comprehensive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ind w:right="119"/>
              <w:spacing w:after="0"/>
              <w:rPr>
                <w:sz w:val="20"/>
                <w:szCs w:val="20"/>
                <w:color w:val="auto"/>
              </w:rPr>
            </w:pPr>
            <w:r>
              <w:rPr>
                <w:rFonts w:ascii="Arial" w:cs="Arial" w:eastAsia="Arial" w:hAnsi="Arial"/>
                <w:sz w:val="16"/>
                <w:szCs w:val="16"/>
                <w:b w:val="1"/>
                <w:bCs w:val="1"/>
                <w:color w:val="auto"/>
                <w:w w:val="91"/>
              </w:rPr>
              <w:t>Treasury</w:t>
            </w:r>
          </w:p>
        </w:tc>
        <w:tc>
          <w:tcPr>
            <w:tcW w:w="10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Arial" w:cs="Arial" w:eastAsia="Arial" w:hAnsi="Arial"/>
                <w:sz w:val="16"/>
                <w:szCs w:val="16"/>
                <w:b w:val="1"/>
                <w:bCs w:val="1"/>
                <w:color w:val="auto"/>
                <w:w w:val="98"/>
              </w:rPr>
              <w:t>Stockholders’</w:t>
            </w:r>
          </w:p>
        </w:tc>
      </w:tr>
      <w:tr>
        <w:trPr>
          <w:trHeight w:val="213"/>
        </w:trPr>
        <w:tc>
          <w:tcPr>
            <w:tcW w:w="3360" w:type="dxa"/>
            <w:vAlign w:val="bottom"/>
          </w:tcPr>
          <w:p>
            <w:pPr>
              <w:spacing w:after="0"/>
              <w:rPr>
                <w:sz w:val="18"/>
                <w:szCs w:val="18"/>
                <w:color w:val="auto"/>
              </w:rPr>
            </w:pPr>
          </w:p>
        </w:tc>
        <w:tc>
          <w:tcPr>
            <w:tcW w:w="9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6"/>
              </w:rPr>
              <w:t>Issued</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w w:val="97"/>
              </w:rPr>
              <w:t>Capital</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Deficit</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85"/>
              </w:rPr>
              <w:t>Loss</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87"/>
              </w:rPr>
              <w:t>Stock</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w w:val="98"/>
              </w:rPr>
              <w:t>Equity</w:t>
            </w:r>
          </w:p>
        </w:tc>
      </w:tr>
      <w:tr>
        <w:trPr>
          <w:trHeight w:val="199"/>
        </w:trPr>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Balance at June 30, 2020</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46,414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230,675</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(130,673)</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(13,704)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(10,668)</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76,068</w:t>
            </w:r>
          </w:p>
        </w:tc>
      </w:tr>
      <w:tr>
        <w:trPr>
          <w:trHeight w:val="203"/>
        </w:trPr>
        <w:tc>
          <w:tcPr>
            <w:tcW w:w="3360" w:type="dxa"/>
            <w:vAlign w:val="bottom"/>
          </w:tcPr>
          <w:p>
            <w:pPr>
              <w:ind w:left="180"/>
              <w:spacing w:after="0"/>
              <w:rPr>
                <w:sz w:val="20"/>
                <w:szCs w:val="20"/>
                <w:color w:val="auto"/>
              </w:rPr>
            </w:pPr>
            <w:r>
              <w:rPr>
                <w:rFonts w:ascii="Arial" w:cs="Arial" w:eastAsia="Arial" w:hAnsi="Arial"/>
                <w:sz w:val="16"/>
                <w:szCs w:val="16"/>
                <w:color w:val="auto"/>
              </w:rPr>
              <w:t>Stock option exercises</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w:t>
            </w:r>
          </w:p>
        </w:tc>
      </w:tr>
      <w:tr>
        <w:trPr>
          <w:trHeight w:val="203"/>
        </w:trPr>
        <w:tc>
          <w:tcPr>
            <w:tcW w:w="3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 purchase plan</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03"/>
        </w:trPr>
        <w:tc>
          <w:tcPr>
            <w:tcW w:w="3360" w:type="dxa"/>
            <w:vAlign w:val="bottom"/>
          </w:tcPr>
          <w:p>
            <w:pPr>
              <w:ind w:left="180"/>
              <w:spacing w:after="0"/>
              <w:rPr>
                <w:sz w:val="20"/>
                <w:szCs w:val="20"/>
                <w:color w:val="auto"/>
              </w:rPr>
            </w:pPr>
            <w:r>
              <w:rPr>
                <w:rFonts w:ascii="Arial" w:cs="Arial" w:eastAsia="Arial" w:hAnsi="Arial"/>
                <w:sz w:val="16"/>
                <w:szCs w:val="16"/>
                <w:color w:val="auto"/>
              </w:rPr>
              <w:t>Vesting of restricted stock units</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467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03"/>
        </w:trPr>
        <w:tc>
          <w:tcPr>
            <w:tcW w:w="3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Shares withheld for taxes</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w:t>
            </w:r>
          </w:p>
        </w:tc>
      </w:tr>
      <w:tr>
        <w:trPr>
          <w:trHeight w:val="203"/>
        </w:trPr>
        <w:tc>
          <w:tcPr>
            <w:tcW w:w="3360" w:type="dxa"/>
            <w:vAlign w:val="bottom"/>
          </w:tcPr>
          <w:p>
            <w:pPr>
              <w:ind w:left="180"/>
              <w:spacing w:after="0"/>
              <w:rPr>
                <w:sz w:val="20"/>
                <w:szCs w:val="20"/>
                <w:color w:val="auto"/>
              </w:rPr>
            </w:pPr>
            <w:r>
              <w:rPr>
                <w:rFonts w:ascii="Arial" w:cs="Arial" w:eastAsia="Arial" w:hAnsi="Arial"/>
                <w:sz w:val="16"/>
                <w:szCs w:val="16"/>
                <w:color w:val="auto"/>
              </w:rPr>
              <w:t>Stock compensation expense</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1,079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1,079</w:t>
            </w:r>
          </w:p>
        </w:tc>
      </w:tr>
      <w:tr>
        <w:trPr>
          <w:trHeight w:val="203"/>
        </w:trPr>
        <w:tc>
          <w:tcPr>
            <w:tcW w:w="3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loss</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w:t>
            </w:r>
          </w:p>
        </w:tc>
      </w:tr>
      <w:tr>
        <w:trPr>
          <w:trHeight w:val="203"/>
        </w:trPr>
        <w:tc>
          <w:tcPr>
            <w:tcW w:w="3360" w:type="dxa"/>
            <w:vAlign w:val="bottom"/>
          </w:tcPr>
          <w:p>
            <w:pPr>
              <w:ind w:left="180"/>
              <w:spacing w:after="0"/>
              <w:rPr>
                <w:sz w:val="20"/>
                <w:szCs w:val="20"/>
                <w:color w:val="auto"/>
              </w:rPr>
            </w:pPr>
            <w:r>
              <w:rPr>
                <w:rFonts w:ascii="Arial" w:cs="Arial" w:eastAsia="Arial" w:hAnsi="Arial"/>
                <w:sz w:val="16"/>
                <w:szCs w:val="16"/>
                <w:color w:val="auto"/>
              </w:rPr>
              <w:t>Other comprehensive income</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1,730</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1,730</w:t>
            </w:r>
          </w:p>
        </w:tc>
      </w:tr>
      <w:tr>
        <w:trPr>
          <w:trHeight w:val="236"/>
        </w:trPr>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Balance at September 30, 2020</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46,720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231,142</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(131,771)</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(11,974)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(10,668)</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77,167</w:t>
            </w:r>
          </w:p>
        </w:tc>
      </w:tr>
      <w:tr>
        <w:trPr>
          <w:trHeight w:val="372"/>
        </w:trPr>
        <w:tc>
          <w:tcPr>
            <w:tcW w:w="3360" w:type="dxa"/>
            <w:vAlign w:val="bottom"/>
            <w:tcBorders>
              <w:top w:val="single" w:sz="8" w:color="CCEEFF"/>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1"/>
              </w:rPr>
              <w:t>Accumulated</w:t>
            </w: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r>
      <w:tr>
        <w:trPr>
          <w:trHeight w:val="203"/>
        </w:trPr>
        <w:tc>
          <w:tcPr>
            <w:tcW w:w="3360" w:type="dxa"/>
            <w:vAlign w:val="bottom"/>
          </w:tcPr>
          <w:p>
            <w:pPr>
              <w:jc w:val="center"/>
              <w:ind w:right="19"/>
              <w:spacing w:after="0"/>
              <w:rPr>
                <w:sz w:val="20"/>
                <w:szCs w:val="20"/>
                <w:color w:val="auto"/>
              </w:rPr>
            </w:pPr>
            <w:r>
              <w:rPr>
                <w:rFonts w:ascii="Arial" w:cs="Arial" w:eastAsia="Arial" w:hAnsi="Arial"/>
                <w:sz w:val="16"/>
                <w:szCs w:val="16"/>
                <w:b w:val="1"/>
                <w:bCs w:val="1"/>
                <w:color w:val="auto"/>
                <w:w w:val="92"/>
              </w:rPr>
              <w:t>Nine Months Ended</w:t>
            </w:r>
          </w:p>
        </w:tc>
        <w:tc>
          <w:tcPr>
            <w:tcW w:w="980" w:type="dxa"/>
            <w:vAlign w:val="bottom"/>
          </w:tcPr>
          <w:p>
            <w:pPr>
              <w:jc w:val="center"/>
              <w:ind w:right="39"/>
              <w:spacing w:after="0"/>
              <w:rPr>
                <w:sz w:val="20"/>
                <w:szCs w:val="20"/>
                <w:color w:val="auto"/>
              </w:rPr>
            </w:pPr>
            <w:r>
              <w:rPr>
                <w:rFonts w:ascii="Arial" w:cs="Arial" w:eastAsia="Arial" w:hAnsi="Arial"/>
                <w:sz w:val="16"/>
                <w:szCs w:val="16"/>
                <w:b w:val="1"/>
                <w:bCs w:val="1"/>
                <w:color w:val="auto"/>
                <w:w w:val="95"/>
              </w:rPr>
              <w:t>Number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w w:val="94"/>
              </w:rPr>
              <w:t>Additional</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center"/>
              <w:ind w:right="99"/>
              <w:spacing w:after="0"/>
              <w:rPr>
                <w:sz w:val="20"/>
                <w:szCs w:val="20"/>
                <w:color w:val="auto"/>
              </w:rPr>
            </w:pPr>
            <w:r>
              <w:rPr>
                <w:rFonts w:ascii="Arial" w:cs="Arial" w:eastAsia="Arial" w:hAnsi="Arial"/>
                <w:sz w:val="16"/>
                <w:szCs w:val="16"/>
                <w:b w:val="1"/>
                <w:bCs w:val="1"/>
                <w:color w:val="auto"/>
                <w:w w:val="98"/>
              </w:rPr>
              <w:t>Other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center"/>
              <w:ind w:right="179"/>
              <w:spacing w:after="0"/>
              <w:rPr>
                <w:sz w:val="20"/>
                <w:szCs w:val="20"/>
                <w:color w:val="auto"/>
              </w:rPr>
            </w:pPr>
            <w:r>
              <w:rPr>
                <w:rFonts w:ascii="Arial" w:cs="Arial" w:eastAsia="Arial" w:hAnsi="Arial"/>
                <w:sz w:val="16"/>
                <w:szCs w:val="16"/>
                <w:b w:val="1"/>
                <w:bCs w:val="1"/>
                <w:color w:val="auto"/>
                <w:w w:val="94"/>
              </w:rPr>
              <w:t>Total</w:t>
            </w:r>
          </w:p>
        </w:tc>
      </w:tr>
      <w:tr>
        <w:trPr>
          <w:trHeight w:val="203"/>
        </w:trPr>
        <w:tc>
          <w:tcPr>
            <w:tcW w:w="3360" w:type="dxa"/>
            <w:vAlign w:val="bottom"/>
          </w:tcPr>
          <w:p>
            <w:pPr>
              <w:jc w:val="center"/>
              <w:ind w:right="19"/>
              <w:spacing w:after="0"/>
              <w:rPr>
                <w:sz w:val="20"/>
                <w:szCs w:val="20"/>
                <w:color w:val="auto"/>
              </w:rPr>
            </w:pPr>
            <w:r>
              <w:rPr>
                <w:rFonts w:ascii="Arial" w:cs="Arial" w:eastAsia="Arial" w:hAnsi="Arial"/>
                <w:sz w:val="16"/>
                <w:szCs w:val="16"/>
                <w:b w:val="1"/>
                <w:bCs w:val="1"/>
                <w:color w:val="auto"/>
                <w:w w:val="89"/>
              </w:rPr>
              <w:t>September 30, 2021</w:t>
            </w:r>
          </w:p>
        </w:tc>
        <w:tc>
          <w:tcPr>
            <w:tcW w:w="980" w:type="dxa"/>
            <w:vAlign w:val="bottom"/>
          </w:tcPr>
          <w:p>
            <w:pPr>
              <w:jc w:val="center"/>
              <w:ind w:right="19"/>
              <w:spacing w:after="0"/>
              <w:rPr>
                <w:sz w:val="20"/>
                <w:szCs w:val="20"/>
                <w:color w:val="auto"/>
              </w:rPr>
            </w:pPr>
            <w:r>
              <w:rPr>
                <w:rFonts w:ascii="Arial" w:cs="Arial" w:eastAsia="Arial" w:hAnsi="Arial"/>
                <w:sz w:val="16"/>
                <w:szCs w:val="16"/>
                <w:b w:val="1"/>
                <w:bCs w:val="1"/>
                <w:color w:val="auto"/>
                <w:w w:val="87"/>
              </w:rPr>
              <w:t>of Shares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ind w:right="119"/>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ind w:right="159"/>
              <w:spacing w:after="0"/>
              <w:rPr>
                <w:sz w:val="20"/>
                <w:szCs w:val="20"/>
                <w:color w:val="auto"/>
              </w:rPr>
            </w:pPr>
            <w:r>
              <w:rPr>
                <w:rFonts w:ascii="Arial" w:cs="Arial" w:eastAsia="Arial" w:hAnsi="Arial"/>
                <w:sz w:val="16"/>
                <w:szCs w:val="16"/>
                <w:b w:val="1"/>
                <w:bCs w:val="1"/>
                <w:color w:val="auto"/>
                <w:w w:val="93"/>
              </w:rPr>
              <w:t>Paid-in</w:t>
            </w:r>
          </w:p>
        </w:tc>
        <w:tc>
          <w:tcPr>
            <w:tcW w:w="1120" w:type="dxa"/>
            <w:vAlign w:val="bottom"/>
            <w:gridSpan w:val="3"/>
          </w:tcPr>
          <w:p>
            <w:pPr>
              <w:ind w:left="100"/>
              <w:spacing w:after="0"/>
              <w:rPr>
                <w:sz w:val="20"/>
                <w:szCs w:val="20"/>
                <w:color w:val="auto"/>
              </w:rPr>
            </w:pPr>
            <w:r>
              <w:rPr>
                <w:rFonts w:ascii="Arial" w:cs="Arial" w:eastAsia="Arial" w:hAnsi="Arial"/>
                <w:sz w:val="16"/>
                <w:szCs w:val="16"/>
                <w:b w:val="1"/>
                <w:bCs w:val="1"/>
                <w:color w:val="auto"/>
                <w:w w:val="99"/>
              </w:rPr>
              <w:t>Accumulated</w:t>
            </w:r>
          </w:p>
        </w:tc>
        <w:tc>
          <w:tcPr>
            <w:tcW w:w="100" w:type="dxa"/>
            <w:vAlign w:val="bottom"/>
          </w:tcPr>
          <w:p>
            <w:pPr>
              <w:spacing w:after="0"/>
              <w:rPr>
                <w:sz w:val="17"/>
                <w:szCs w:val="17"/>
                <w:color w:val="auto"/>
              </w:rPr>
            </w:pPr>
          </w:p>
        </w:tc>
        <w:tc>
          <w:tcPr>
            <w:tcW w:w="1200" w:type="dxa"/>
            <w:vAlign w:val="bottom"/>
            <w:gridSpan w:val="2"/>
          </w:tcPr>
          <w:p>
            <w:pPr>
              <w:spacing w:after="0"/>
              <w:rPr>
                <w:sz w:val="20"/>
                <w:szCs w:val="20"/>
                <w:color w:val="auto"/>
              </w:rPr>
            </w:pPr>
            <w:r>
              <w:rPr>
                <w:rFonts w:ascii="Arial" w:cs="Arial" w:eastAsia="Arial" w:hAnsi="Arial"/>
                <w:sz w:val="16"/>
                <w:szCs w:val="16"/>
                <w:b w:val="1"/>
                <w:bCs w:val="1"/>
                <w:color w:val="auto"/>
                <w:w w:val="98"/>
              </w:rPr>
              <w:t>Comprehensive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ind w:right="119"/>
              <w:spacing w:after="0"/>
              <w:rPr>
                <w:sz w:val="20"/>
                <w:szCs w:val="20"/>
                <w:color w:val="auto"/>
              </w:rPr>
            </w:pPr>
            <w:r>
              <w:rPr>
                <w:rFonts w:ascii="Arial" w:cs="Arial" w:eastAsia="Arial" w:hAnsi="Arial"/>
                <w:sz w:val="16"/>
                <w:szCs w:val="16"/>
                <w:b w:val="1"/>
                <w:bCs w:val="1"/>
                <w:color w:val="auto"/>
                <w:w w:val="91"/>
              </w:rPr>
              <w:t>Treasury</w:t>
            </w:r>
          </w:p>
        </w:tc>
        <w:tc>
          <w:tcPr>
            <w:tcW w:w="10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Arial" w:cs="Arial" w:eastAsia="Arial" w:hAnsi="Arial"/>
                <w:sz w:val="16"/>
                <w:szCs w:val="16"/>
                <w:b w:val="1"/>
                <w:bCs w:val="1"/>
                <w:color w:val="auto"/>
                <w:w w:val="98"/>
              </w:rPr>
              <w:t>Stockholders’</w:t>
            </w:r>
          </w:p>
        </w:tc>
      </w:tr>
      <w:tr>
        <w:trPr>
          <w:trHeight w:val="213"/>
        </w:trPr>
        <w:tc>
          <w:tcPr>
            <w:tcW w:w="3360" w:type="dxa"/>
            <w:vAlign w:val="bottom"/>
          </w:tcPr>
          <w:p>
            <w:pPr>
              <w:spacing w:after="0"/>
              <w:rPr>
                <w:sz w:val="18"/>
                <w:szCs w:val="18"/>
                <w:color w:val="auto"/>
              </w:rPr>
            </w:pPr>
          </w:p>
        </w:tc>
        <w:tc>
          <w:tcPr>
            <w:tcW w:w="9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6"/>
              </w:rPr>
              <w:t>Issued</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w w:val="97"/>
              </w:rPr>
              <w:t>Capital</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Deficit</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85"/>
              </w:rPr>
              <w:t>Loss</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87"/>
              </w:rPr>
              <w:t>Stock</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w w:val="98"/>
              </w:rPr>
              <w:t>Equity</w:t>
            </w:r>
          </w:p>
        </w:tc>
      </w:tr>
      <w:tr>
        <w:trPr>
          <w:trHeight w:val="199"/>
        </w:trPr>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Balance at December 31, 2020</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47,153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232,357</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(132,386)</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(13,066)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(10,668)</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76,681</w:t>
            </w:r>
          </w:p>
        </w:tc>
      </w:tr>
      <w:tr>
        <w:trPr>
          <w:trHeight w:val="203"/>
        </w:trPr>
        <w:tc>
          <w:tcPr>
            <w:tcW w:w="3360" w:type="dxa"/>
            <w:vAlign w:val="bottom"/>
          </w:tcPr>
          <w:p>
            <w:pPr>
              <w:ind w:left="180"/>
              <w:spacing w:after="0"/>
              <w:rPr>
                <w:sz w:val="20"/>
                <w:szCs w:val="20"/>
                <w:color w:val="auto"/>
              </w:rPr>
            </w:pPr>
            <w:r>
              <w:rPr>
                <w:rFonts w:ascii="Arial" w:cs="Arial" w:eastAsia="Arial" w:hAnsi="Arial"/>
                <w:sz w:val="16"/>
                <w:szCs w:val="16"/>
                <w:color w:val="auto"/>
              </w:rPr>
              <w:t>Retirement of treasury stock</w:t>
            </w:r>
          </w:p>
        </w:tc>
        <w:tc>
          <w:tcPr>
            <w:tcW w:w="980" w:type="dxa"/>
            <w:vAlign w:val="bottom"/>
          </w:tcPr>
          <w:p>
            <w:pPr>
              <w:jc w:val="right"/>
              <w:spacing w:after="0"/>
              <w:rPr>
                <w:sz w:val="20"/>
                <w:szCs w:val="20"/>
                <w:color w:val="auto"/>
              </w:rPr>
            </w:pPr>
            <w:r>
              <w:rPr>
                <w:rFonts w:ascii="Arial" w:cs="Arial" w:eastAsia="Arial" w:hAnsi="Arial"/>
                <w:sz w:val="16"/>
                <w:szCs w:val="16"/>
                <w:color w:val="auto"/>
              </w:rPr>
              <w:t>(7,746)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(10,668)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10,668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03"/>
        </w:trPr>
        <w:tc>
          <w:tcPr>
            <w:tcW w:w="3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 option exercises</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2,707</w:t>
            </w:r>
          </w:p>
        </w:tc>
      </w:tr>
      <w:tr>
        <w:trPr>
          <w:trHeight w:val="203"/>
        </w:trPr>
        <w:tc>
          <w:tcPr>
            <w:tcW w:w="3360" w:type="dxa"/>
            <w:vAlign w:val="bottom"/>
          </w:tcPr>
          <w:p>
            <w:pPr>
              <w:ind w:left="180"/>
              <w:spacing w:after="0"/>
              <w:rPr>
                <w:sz w:val="20"/>
                <w:szCs w:val="20"/>
                <w:color w:val="auto"/>
              </w:rPr>
            </w:pPr>
            <w:r>
              <w:rPr>
                <w:rFonts w:ascii="Arial" w:cs="Arial" w:eastAsia="Arial" w:hAnsi="Arial"/>
                <w:sz w:val="16"/>
                <w:szCs w:val="16"/>
                <w:color w:val="auto"/>
              </w:rPr>
              <w:t>Stock purchase plan</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202</w:t>
            </w:r>
          </w:p>
        </w:tc>
      </w:tr>
      <w:tr>
        <w:trPr>
          <w:trHeight w:val="203"/>
        </w:trPr>
        <w:tc>
          <w:tcPr>
            <w:tcW w:w="3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Vesting of restricted stock units</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1,196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3"/>
        </w:trPr>
        <w:tc>
          <w:tcPr>
            <w:tcW w:w="3360" w:type="dxa"/>
            <w:vAlign w:val="bottom"/>
          </w:tcPr>
          <w:p>
            <w:pPr>
              <w:ind w:left="180"/>
              <w:spacing w:after="0"/>
              <w:rPr>
                <w:sz w:val="20"/>
                <w:szCs w:val="20"/>
                <w:color w:val="auto"/>
              </w:rPr>
            </w:pPr>
            <w:r>
              <w:rPr>
                <w:rFonts w:ascii="Arial" w:cs="Arial" w:eastAsia="Arial" w:hAnsi="Arial"/>
                <w:sz w:val="16"/>
                <w:szCs w:val="16"/>
                <w:color w:val="auto"/>
              </w:rPr>
              <w:t>Shares withheld for taxes</w:t>
            </w:r>
          </w:p>
        </w:tc>
        <w:tc>
          <w:tcPr>
            <w:tcW w:w="980" w:type="dxa"/>
            <w:vAlign w:val="bottom"/>
          </w:tcPr>
          <w:p>
            <w:pPr>
              <w:jc w:val="right"/>
              <w:spacing w:after="0"/>
              <w:rPr>
                <w:sz w:val="20"/>
                <w:szCs w:val="20"/>
                <w:color w:val="auto"/>
              </w:rPr>
            </w:pPr>
            <w:r>
              <w:rPr>
                <w:rFonts w:ascii="Arial" w:cs="Arial" w:eastAsia="Arial" w:hAnsi="Arial"/>
                <w:sz w:val="16"/>
                <w:szCs w:val="16"/>
                <w:color w:val="auto"/>
              </w:rPr>
              <w:t>(385)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(2,653)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(2,653)</w:t>
            </w:r>
          </w:p>
        </w:tc>
      </w:tr>
      <w:tr>
        <w:trPr>
          <w:trHeight w:val="203"/>
        </w:trPr>
        <w:tc>
          <w:tcPr>
            <w:tcW w:w="3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 compensation expense</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3,136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3,136</w:t>
            </w:r>
          </w:p>
        </w:tc>
      </w:tr>
      <w:tr>
        <w:trPr>
          <w:trHeight w:val="203"/>
        </w:trPr>
        <w:tc>
          <w:tcPr>
            <w:tcW w:w="3360" w:type="dxa"/>
            <w:vAlign w:val="bottom"/>
          </w:tcPr>
          <w:p>
            <w:pPr>
              <w:ind w:left="180"/>
              <w:spacing w:after="0"/>
              <w:rPr>
                <w:sz w:val="20"/>
                <w:szCs w:val="20"/>
                <w:color w:val="auto"/>
              </w:rPr>
            </w:pPr>
            <w:r>
              <w:rPr>
                <w:rFonts w:ascii="Arial" w:cs="Arial" w:eastAsia="Arial" w:hAnsi="Arial"/>
                <w:sz w:val="16"/>
                <w:szCs w:val="16"/>
                <w:color w:val="auto"/>
              </w:rPr>
              <w:t>Net loss</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(1,249)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(1,249)</w:t>
            </w:r>
          </w:p>
        </w:tc>
      </w:tr>
      <w:tr>
        <w:trPr>
          <w:trHeight w:val="203"/>
        </w:trPr>
        <w:tc>
          <w:tcPr>
            <w:tcW w:w="3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comprehensive loss</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(1,937)</w:t>
            </w:r>
          </w:p>
        </w:tc>
      </w:tr>
      <w:tr>
        <w:trPr>
          <w:trHeight w:val="196"/>
        </w:trPr>
        <w:tc>
          <w:tcPr>
            <w:tcW w:w="3360" w:type="dxa"/>
            <w:vAlign w:val="bottom"/>
          </w:tcPr>
          <w:p>
            <w:pPr>
              <w:spacing w:after="0"/>
              <w:rPr>
                <w:sz w:val="20"/>
                <w:szCs w:val="20"/>
                <w:color w:val="auto"/>
              </w:rPr>
            </w:pPr>
            <w:r>
              <w:rPr>
                <w:rFonts w:ascii="Arial" w:cs="Arial" w:eastAsia="Arial" w:hAnsi="Arial"/>
                <w:sz w:val="16"/>
                <w:szCs w:val="16"/>
                <w:color w:val="auto"/>
              </w:rPr>
              <w:t>Balance at September 30, 2021</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40,809</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451</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225,074</w:t>
            </w:r>
          </w:p>
        </w:tc>
        <w:tc>
          <w:tcPr>
            <w:tcW w:w="26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(133,635)</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(15,003)</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76,887</w:t>
            </w:r>
          </w:p>
        </w:tc>
      </w:tr>
      <w:tr>
        <w:trPr>
          <w:trHeight w:val="20"/>
        </w:trPr>
        <w:tc>
          <w:tcPr>
            <w:tcW w:w="33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372"/>
        </w:trPr>
        <w:tc>
          <w:tcPr>
            <w:tcW w:w="3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jc w:val="center"/>
              <w:ind w:right="119"/>
              <w:spacing w:after="0"/>
              <w:rPr>
                <w:sz w:val="20"/>
                <w:szCs w:val="20"/>
                <w:color w:val="auto"/>
              </w:rPr>
            </w:pPr>
            <w:r>
              <w:rPr>
                <w:rFonts w:ascii="Arial" w:cs="Arial" w:eastAsia="Arial" w:hAnsi="Arial"/>
                <w:sz w:val="16"/>
                <w:szCs w:val="16"/>
                <w:b w:val="1"/>
                <w:bCs w:val="1"/>
                <w:color w:val="auto"/>
                <w:w w:val="91"/>
              </w:rPr>
              <w:t>Accumulated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3360" w:type="dxa"/>
            <w:vAlign w:val="bottom"/>
          </w:tcPr>
          <w:p>
            <w:pPr>
              <w:jc w:val="center"/>
              <w:ind w:right="19"/>
              <w:spacing w:after="0"/>
              <w:rPr>
                <w:sz w:val="20"/>
                <w:szCs w:val="20"/>
                <w:color w:val="auto"/>
              </w:rPr>
            </w:pPr>
            <w:r>
              <w:rPr>
                <w:rFonts w:ascii="Arial" w:cs="Arial" w:eastAsia="Arial" w:hAnsi="Arial"/>
                <w:sz w:val="16"/>
                <w:szCs w:val="16"/>
                <w:b w:val="1"/>
                <w:bCs w:val="1"/>
                <w:color w:val="auto"/>
                <w:w w:val="92"/>
              </w:rPr>
              <w:t>Nine Months Ended</w:t>
            </w:r>
          </w:p>
        </w:tc>
        <w:tc>
          <w:tcPr>
            <w:tcW w:w="980" w:type="dxa"/>
            <w:vAlign w:val="bottom"/>
          </w:tcPr>
          <w:p>
            <w:pPr>
              <w:jc w:val="center"/>
              <w:ind w:right="39"/>
              <w:spacing w:after="0"/>
              <w:rPr>
                <w:sz w:val="20"/>
                <w:szCs w:val="20"/>
                <w:color w:val="auto"/>
              </w:rPr>
            </w:pPr>
            <w:r>
              <w:rPr>
                <w:rFonts w:ascii="Arial" w:cs="Arial" w:eastAsia="Arial" w:hAnsi="Arial"/>
                <w:sz w:val="16"/>
                <w:szCs w:val="16"/>
                <w:b w:val="1"/>
                <w:bCs w:val="1"/>
                <w:color w:val="auto"/>
                <w:w w:val="95"/>
              </w:rPr>
              <w:t>Number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w w:val="94"/>
              </w:rPr>
              <w:t>Additional</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center"/>
              <w:ind w:right="99"/>
              <w:spacing w:after="0"/>
              <w:rPr>
                <w:sz w:val="20"/>
                <w:szCs w:val="20"/>
                <w:color w:val="auto"/>
              </w:rPr>
            </w:pPr>
            <w:r>
              <w:rPr>
                <w:rFonts w:ascii="Arial" w:cs="Arial" w:eastAsia="Arial" w:hAnsi="Arial"/>
                <w:sz w:val="16"/>
                <w:szCs w:val="16"/>
                <w:b w:val="1"/>
                <w:bCs w:val="1"/>
                <w:color w:val="auto"/>
                <w:w w:val="98"/>
              </w:rPr>
              <w:t>Other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center"/>
              <w:ind w:right="179"/>
              <w:spacing w:after="0"/>
              <w:rPr>
                <w:sz w:val="20"/>
                <w:szCs w:val="20"/>
                <w:color w:val="auto"/>
              </w:rPr>
            </w:pPr>
            <w:r>
              <w:rPr>
                <w:rFonts w:ascii="Arial" w:cs="Arial" w:eastAsia="Arial" w:hAnsi="Arial"/>
                <w:sz w:val="16"/>
                <w:szCs w:val="16"/>
                <w:b w:val="1"/>
                <w:bCs w:val="1"/>
                <w:color w:val="auto"/>
                <w:w w:val="94"/>
              </w:rPr>
              <w:t>Total</w:t>
            </w:r>
          </w:p>
        </w:tc>
      </w:tr>
      <w:tr>
        <w:trPr>
          <w:trHeight w:val="203"/>
        </w:trPr>
        <w:tc>
          <w:tcPr>
            <w:tcW w:w="3360" w:type="dxa"/>
            <w:vAlign w:val="bottom"/>
          </w:tcPr>
          <w:p>
            <w:pPr>
              <w:jc w:val="center"/>
              <w:ind w:right="19"/>
              <w:spacing w:after="0"/>
              <w:rPr>
                <w:sz w:val="20"/>
                <w:szCs w:val="20"/>
                <w:color w:val="auto"/>
              </w:rPr>
            </w:pPr>
            <w:r>
              <w:rPr>
                <w:rFonts w:ascii="Arial" w:cs="Arial" w:eastAsia="Arial" w:hAnsi="Arial"/>
                <w:sz w:val="16"/>
                <w:szCs w:val="16"/>
                <w:b w:val="1"/>
                <w:bCs w:val="1"/>
                <w:color w:val="auto"/>
                <w:w w:val="89"/>
              </w:rPr>
              <w:t>September 30, 2020</w:t>
            </w:r>
          </w:p>
        </w:tc>
        <w:tc>
          <w:tcPr>
            <w:tcW w:w="980" w:type="dxa"/>
            <w:vAlign w:val="bottom"/>
          </w:tcPr>
          <w:p>
            <w:pPr>
              <w:jc w:val="center"/>
              <w:ind w:right="19"/>
              <w:spacing w:after="0"/>
              <w:rPr>
                <w:sz w:val="20"/>
                <w:szCs w:val="20"/>
                <w:color w:val="auto"/>
              </w:rPr>
            </w:pPr>
            <w:r>
              <w:rPr>
                <w:rFonts w:ascii="Arial" w:cs="Arial" w:eastAsia="Arial" w:hAnsi="Arial"/>
                <w:sz w:val="16"/>
                <w:szCs w:val="16"/>
                <w:b w:val="1"/>
                <w:bCs w:val="1"/>
                <w:color w:val="auto"/>
                <w:w w:val="87"/>
              </w:rPr>
              <w:t>of Shares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ind w:right="119"/>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ind w:right="159"/>
              <w:spacing w:after="0"/>
              <w:rPr>
                <w:sz w:val="20"/>
                <w:szCs w:val="20"/>
                <w:color w:val="auto"/>
              </w:rPr>
            </w:pPr>
            <w:r>
              <w:rPr>
                <w:rFonts w:ascii="Arial" w:cs="Arial" w:eastAsia="Arial" w:hAnsi="Arial"/>
                <w:sz w:val="16"/>
                <w:szCs w:val="16"/>
                <w:b w:val="1"/>
                <w:bCs w:val="1"/>
                <w:color w:val="auto"/>
                <w:w w:val="93"/>
              </w:rPr>
              <w:t>Paid-in</w:t>
            </w:r>
          </w:p>
        </w:tc>
        <w:tc>
          <w:tcPr>
            <w:tcW w:w="1120" w:type="dxa"/>
            <w:vAlign w:val="bottom"/>
            <w:gridSpan w:val="3"/>
          </w:tcPr>
          <w:p>
            <w:pPr>
              <w:ind w:left="100"/>
              <w:spacing w:after="0"/>
              <w:rPr>
                <w:sz w:val="20"/>
                <w:szCs w:val="20"/>
                <w:color w:val="auto"/>
              </w:rPr>
            </w:pPr>
            <w:r>
              <w:rPr>
                <w:rFonts w:ascii="Arial" w:cs="Arial" w:eastAsia="Arial" w:hAnsi="Arial"/>
                <w:sz w:val="16"/>
                <w:szCs w:val="16"/>
                <w:b w:val="1"/>
                <w:bCs w:val="1"/>
                <w:color w:val="auto"/>
                <w:w w:val="99"/>
              </w:rPr>
              <w:t>Accumulated</w:t>
            </w:r>
          </w:p>
        </w:tc>
        <w:tc>
          <w:tcPr>
            <w:tcW w:w="100" w:type="dxa"/>
            <w:vAlign w:val="bottom"/>
          </w:tcPr>
          <w:p>
            <w:pPr>
              <w:spacing w:after="0"/>
              <w:rPr>
                <w:sz w:val="17"/>
                <w:szCs w:val="17"/>
                <w:color w:val="auto"/>
              </w:rPr>
            </w:pPr>
          </w:p>
        </w:tc>
        <w:tc>
          <w:tcPr>
            <w:tcW w:w="1200" w:type="dxa"/>
            <w:vAlign w:val="bottom"/>
            <w:gridSpan w:val="2"/>
          </w:tcPr>
          <w:p>
            <w:pPr>
              <w:spacing w:after="0"/>
              <w:rPr>
                <w:sz w:val="20"/>
                <w:szCs w:val="20"/>
                <w:color w:val="auto"/>
              </w:rPr>
            </w:pPr>
            <w:r>
              <w:rPr>
                <w:rFonts w:ascii="Arial" w:cs="Arial" w:eastAsia="Arial" w:hAnsi="Arial"/>
                <w:sz w:val="16"/>
                <w:szCs w:val="16"/>
                <w:b w:val="1"/>
                <w:bCs w:val="1"/>
                <w:color w:val="auto"/>
                <w:w w:val="98"/>
              </w:rPr>
              <w:t>Comprehensive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ind w:right="119"/>
              <w:spacing w:after="0"/>
              <w:rPr>
                <w:sz w:val="20"/>
                <w:szCs w:val="20"/>
                <w:color w:val="auto"/>
              </w:rPr>
            </w:pPr>
            <w:r>
              <w:rPr>
                <w:rFonts w:ascii="Arial" w:cs="Arial" w:eastAsia="Arial" w:hAnsi="Arial"/>
                <w:sz w:val="16"/>
                <w:szCs w:val="16"/>
                <w:b w:val="1"/>
                <w:bCs w:val="1"/>
                <w:color w:val="auto"/>
                <w:w w:val="91"/>
              </w:rPr>
              <w:t>Treasury</w:t>
            </w:r>
          </w:p>
        </w:tc>
        <w:tc>
          <w:tcPr>
            <w:tcW w:w="10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Arial" w:cs="Arial" w:eastAsia="Arial" w:hAnsi="Arial"/>
                <w:sz w:val="16"/>
                <w:szCs w:val="16"/>
                <w:b w:val="1"/>
                <w:bCs w:val="1"/>
                <w:color w:val="auto"/>
                <w:w w:val="98"/>
              </w:rPr>
              <w:t>Stockholders’</w:t>
            </w:r>
          </w:p>
        </w:tc>
      </w:tr>
      <w:tr>
        <w:trPr>
          <w:trHeight w:val="213"/>
        </w:trPr>
        <w:tc>
          <w:tcPr>
            <w:tcW w:w="3360" w:type="dxa"/>
            <w:vAlign w:val="bottom"/>
          </w:tcPr>
          <w:p>
            <w:pPr>
              <w:spacing w:after="0"/>
              <w:rPr>
                <w:sz w:val="18"/>
                <w:szCs w:val="18"/>
                <w:color w:val="auto"/>
              </w:rPr>
            </w:pPr>
          </w:p>
        </w:tc>
        <w:tc>
          <w:tcPr>
            <w:tcW w:w="9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6"/>
              </w:rPr>
              <w:t>Issued</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w w:val="97"/>
              </w:rPr>
              <w:t>Capital</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Deficit</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85"/>
              </w:rPr>
              <w:t>Loss</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87"/>
              </w:rPr>
              <w:t>Stock</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w w:val="98"/>
              </w:rPr>
              <w:t>Equity</w:t>
            </w:r>
          </w:p>
        </w:tc>
      </w:tr>
      <w:tr>
        <w:trPr>
          <w:trHeight w:val="199"/>
        </w:trPr>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Balance at December 31, 2019</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45,934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229,189</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(124,576)</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(12,689)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(10,668)</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81,694</w:t>
            </w:r>
          </w:p>
        </w:tc>
      </w:tr>
      <w:tr>
        <w:trPr>
          <w:trHeight w:val="203"/>
        </w:trPr>
        <w:tc>
          <w:tcPr>
            <w:tcW w:w="3360" w:type="dxa"/>
            <w:vAlign w:val="bottom"/>
          </w:tcPr>
          <w:p>
            <w:pPr>
              <w:ind w:left="180"/>
              <w:spacing w:after="0"/>
              <w:rPr>
                <w:sz w:val="20"/>
                <w:szCs w:val="20"/>
                <w:color w:val="auto"/>
              </w:rPr>
            </w:pPr>
            <w:r>
              <w:rPr>
                <w:rFonts w:ascii="Arial" w:cs="Arial" w:eastAsia="Arial" w:hAnsi="Arial"/>
                <w:sz w:val="16"/>
                <w:szCs w:val="16"/>
                <w:color w:val="auto"/>
              </w:rPr>
              <w:t>Stock option exercises</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26</w:t>
            </w:r>
          </w:p>
        </w:tc>
      </w:tr>
      <w:tr>
        <w:trPr>
          <w:trHeight w:val="203"/>
        </w:trPr>
        <w:tc>
          <w:tcPr>
            <w:tcW w:w="3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 purchase plan</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168</w:t>
            </w:r>
          </w:p>
        </w:tc>
      </w:tr>
      <w:tr>
        <w:trPr>
          <w:trHeight w:val="203"/>
        </w:trPr>
        <w:tc>
          <w:tcPr>
            <w:tcW w:w="3360" w:type="dxa"/>
            <w:vAlign w:val="bottom"/>
          </w:tcPr>
          <w:p>
            <w:pPr>
              <w:ind w:left="180"/>
              <w:spacing w:after="0"/>
              <w:rPr>
                <w:sz w:val="20"/>
                <w:szCs w:val="20"/>
                <w:color w:val="auto"/>
              </w:rPr>
            </w:pPr>
            <w:r>
              <w:rPr>
                <w:rFonts w:ascii="Arial" w:cs="Arial" w:eastAsia="Arial" w:hAnsi="Arial"/>
                <w:sz w:val="16"/>
                <w:szCs w:val="16"/>
                <w:color w:val="auto"/>
              </w:rPr>
              <w:t>Vesting of restricted stock units</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981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02"/>
        </w:trPr>
        <w:tc>
          <w:tcPr>
            <w:tcW w:w="3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Shares withheld for taxes</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w:t>
            </w:r>
          </w:p>
        </w:tc>
      </w:tr>
      <w:tr>
        <w:trPr>
          <w:trHeight w:val="203"/>
        </w:trPr>
        <w:tc>
          <w:tcPr>
            <w:tcW w:w="3360" w:type="dxa"/>
            <w:vAlign w:val="bottom"/>
          </w:tcPr>
          <w:p>
            <w:pPr>
              <w:ind w:left="180"/>
              <w:spacing w:after="0"/>
              <w:rPr>
                <w:sz w:val="20"/>
                <w:szCs w:val="20"/>
                <w:color w:val="auto"/>
              </w:rPr>
            </w:pPr>
            <w:r>
              <w:rPr>
                <w:rFonts w:ascii="Arial" w:cs="Arial" w:eastAsia="Arial" w:hAnsi="Arial"/>
                <w:sz w:val="16"/>
                <w:szCs w:val="16"/>
                <w:color w:val="auto"/>
              </w:rPr>
              <w:t>Stock compensation expense</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2,641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2,641</w:t>
            </w:r>
          </w:p>
        </w:tc>
      </w:tr>
      <w:tr>
        <w:trPr>
          <w:trHeight w:val="203"/>
        </w:trPr>
        <w:tc>
          <w:tcPr>
            <w:tcW w:w="3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loss</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(7,195)</w:t>
            </w:r>
          </w:p>
        </w:tc>
      </w:tr>
      <w:tr>
        <w:trPr>
          <w:trHeight w:val="203"/>
        </w:trPr>
        <w:tc>
          <w:tcPr>
            <w:tcW w:w="3360" w:type="dxa"/>
            <w:vAlign w:val="bottom"/>
          </w:tcPr>
          <w:p>
            <w:pPr>
              <w:ind w:left="180"/>
              <w:spacing w:after="0"/>
              <w:rPr>
                <w:sz w:val="20"/>
                <w:szCs w:val="20"/>
                <w:color w:val="auto"/>
              </w:rPr>
            </w:pPr>
            <w:r>
              <w:rPr>
                <w:rFonts w:ascii="Arial" w:cs="Arial" w:eastAsia="Arial" w:hAnsi="Arial"/>
                <w:sz w:val="16"/>
                <w:szCs w:val="16"/>
                <w:color w:val="auto"/>
              </w:rPr>
              <w:t>Other comprehensive income</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715</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715</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Balance at September 30, 2020</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46,720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231,142</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(131,771)</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(11,974)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(10,668)</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77,167</w:t>
            </w:r>
          </w:p>
        </w:tc>
      </w:tr>
      <w:tr>
        <w:trPr>
          <w:trHeight w:val="20"/>
        </w:trPr>
        <w:tc>
          <w:tcPr>
            <w:tcW w:w="33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r>
    </w:tbl>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HARVARD BIOSCIENCE,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6"/>
                <w:szCs w:val="16"/>
                <w:b w:val="1"/>
                <w:bCs w:val="1"/>
                <w:color w:val="auto"/>
              </w:rPr>
              <w:t>Nine Months Ended September 30,</w:t>
            </w:r>
          </w:p>
        </w:tc>
        <w:tc>
          <w:tcPr>
            <w:tcW w:w="660" w:type="dxa"/>
            <w:vAlign w:val="bottom"/>
            <w:tcBorders>
              <w:bottom w:val="single" w:sz="8" w:color="auto"/>
            </w:tcBorders>
          </w:tcPr>
          <w:p>
            <w:pPr>
              <w:spacing w:after="0"/>
              <w:rPr>
                <w:sz w:val="18"/>
                <w:szCs w:val="18"/>
                <w:color w:val="auto"/>
              </w:rPr>
            </w:pPr>
          </w:p>
        </w:tc>
      </w:tr>
      <w:tr>
        <w:trPr>
          <w:trHeight w:val="202"/>
        </w:trPr>
        <w:tc>
          <w:tcPr>
            <w:tcW w:w="6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2021</w:t>
            </w:r>
          </w:p>
        </w:tc>
        <w:tc>
          <w:tcPr>
            <w:tcW w:w="66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2020</w:t>
            </w:r>
          </w:p>
        </w:tc>
        <w:tc>
          <w:tcPr>
            <w:tcW w:w="660" w:type="dxa"/>
            <w:vAlign w:val="bottom"/>
          </w:tcPr>
          <w:p>
            <w:pPr>
              <w:spacing w:after="0"/>
              <w:rPr>
                <w:sz w:val="17"/>
                <w:szCs w:val="17"/>
                <w:color w:val="auto"/>
              </w:rPr>
            </w:pPr>
          </w:p>
        </w:tc>
      </w:tr>
      <w:tr>
        <w:trPr>
          <w:trHeight w:val="196"/>
        </w:trPr>
        <w:tc>
          <w:tcPr>
            <w:tcW w:w="630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1260" w:type="dxa"/>
            <w:vAlign w:val="bottom"/>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r>
      <w:tr>
        <w:trPr>
          <w:trHeight w:val="203"/>
        </w:trPr>
        <w:tc>
          <w:tcPr>
            <w:tcW w:w="6300" w:type="dxa"/>
            <w:vAlign w:val="bottom"/>
          </w:tcPr>
          <w:p>
            <w:pPr>
              <w:spacing w:after="0"/>
              <w:rPr>
                <w:sz w:val="20"/>
                <w:szCs w:val="20"/>
                <w:color w:val="auto"/>
              </w:rPr>
            </w:pPr>
            <w:r>
              <w:rPr>
                <w:rFonts w:ascii="Arial" w:cs="Arial" w:eastAsia="Arial" w:hAnsi="Arial"/>
                <w:sz w:val="16"/>
                <w:szCs w:val="16"/>
                <w:color w:val="auto"/>
              </w:rPr>
              <w:t>Net loss</w:t>
            </w:r>
          </w:p>
        </w:tc>
        <w:tc>
          <w:tcPr>
            <w:tcW w:w="2360" w:type="dxa"/>
            <w:vAlign w:val="bottom"/>
            <w:gridSpan w:val="2"/>
          </w:tcPr>
          <w:p>
            <w:pPr>
              <w:jc w:val="right"/>
              <w:ind w:right="93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(1,249)</w:t>
            </w:r>
          </w:p>
        </w:tc>
        <w:tc>
          <w:tcPr>
            <w:tcW w:w="1260" w:type="dxa"/>
            <w:vAlign w:val="bottom"/>
            <w:gridSpan w:val="2"/>
          </w:tcPr>
          <w:p>
            <w:pPr>
              <w:jc w:val="right"/>
              <w:ind w:right="106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(7,195)</w:t>
            </w:r>
          </w:p>
        </w:tc>
      </w:tr>
      <w:tr>
        <w:trPr>
          <w:trHeight w:val="203"/>
        </w:trPr>
        <w:tc>
          <w:tcPr>
            <w:tcW w:w="630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1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03"/>
        </w:trPr>
        <w:tc>
          <w:tcPr>
            <w:tcW w:w="6300" w:type="dxa"/>
            <w:vAlign w:val="bottom"/>
          </w:tcPr>
          <w:p>
            <w:pPr>
              <w:ind w:left="180"/>
              <w:spacing w:after="0"/>
              <w:rPr>
                <w:sz w:val="20"/>
                <w:szCs w:val="20"/>
                <w:color w:val="auto"/>
              </w:rPr>
            </w:pPr>
            <w:r>
              <w:rPr>
                <w:rFonts w:ascii="Arial" w:cs="Arial" w:eastAsia="Arial" w:hAnsi="Arial"/>
                <w:sz w:val="16"/>
                <w:szCs w:val="16"/>
                <w:color w:val="auto"/>
              </w:rPr>
              <w:t>Depreciation</w:t>
            </w: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1,311</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1,453</w:t>
            </w:r>
          </w:p>
        </w:tc>
      </w:tr>
      <w:tr>
        <w:trPr>
          <w:trHeight w:val="203"/>
        </w:trPr>
        <w:tc>
          <w:tcPr>
            <w:tcW w:w="6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 of intangible assets</w:t>
            </w:r>
          </w:p>
        </w:tc>
        <w:tc>
          <w:tcPr>
            <w:tcW w:w="1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4,388</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4,258</w:t>
            </w:r>
          </w:p>
        </w:tc>
      </w:tr>
      <w:tr>
        <w:trPr>
          <w:trHeight w:val="203"/>
        </w:trPr>
        <w:tc>
          <w:tcPr>
            <w:tcW w:w="6300" w:type="dxa"/>
            <w:vAlign w:val="bottom"/>
          </w:tcPr>
          <w:p>
            <w:pPr>
              <w:ind w:left="180"/>
              <w:spacing w:after="0"/>
              <w:rPr>
                <w:sz w:val="20"/>
                <w:szCs w:val="20"/>
                <w:color w:val="auto"/>
              </w:rPr>
            </w:pPr>
            <w:r>
              <w:rPr>
                <w:rFonts w:ascii="Arial" w:cs="Arial" w:eastAsia="Arial" w:hAnsi="Arial"/>
                <w:sz w:val="16"/>
                <w:szCs w:val="16"/>
                <w:color w:val="auto"/>
              </w:rPr>
              <w:t>Amortization of deferred financing costs</w:t>
            </w: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295</w:t>
            </w:r>
          </w:p>
        </w:tc>
      </w:tr>
      <w:tr>
        <w:trPr>
          <w:trHeight w:val="203"/>
        </w:trPr>
        <w:tc>
          <w:tcPr>
            <w:tcW w:w="6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Stock-based compensation expense</w:t>
            </w:r>
          </w:p>
        </w:tc>
        <w:tc>
          <w:tcPr>
            <w:tcW w:w="1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3,136</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2,641</w:t>
            </w:r>
          </w:p>
        </w:tc>
      </w:tr>
      <w:tr>
        <w:trPr>
          <w:trHeight w:val="203"/>
        </w:trPr>
        <w:tc>
          <w:tcPr>
            <w:tcW w:w="6300" w:type="dxa"/>
            <w:vAlign w:val="bottom"/>
          </w:tcPr>
          <w:p>
            <w:pPr>
              <w:ind w:left="180"/>
              <w:spacing w:after="0"/>
              <w:rPr>
                <w:sz w:val="20"/>
                <w:szCs w:val="20"/>
                <w:color w:val="auto"/>
              </w:rPr>
            </w:pPr>
            <w:r>
              <w:rPr>
                <w:rFonts w:ascii="Arial" w:cs="Arial" w:eastAsia="Arial" w:hAnsi="Arial"/>
                <w:sz w:val="16"/>
                <w:szCs w:val="16"/>
                <w:color w:val="auto"/>
              </w:rPr>
              <w:t>Deferred income taxes and other</w:t>
            </w: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(498)</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29</w:t>
            </w:r>
          </w:p>
        </w:tc>
      </w:tr>
      <w:tr>
        <w:trPr>
          <w:trHeight w:val="203"/>
        </w:trPr>
        <w:tc>
          <w:tcPr>
            <w:tcW w:w="6300" w:type="dxa"/>
            <w:vAlign w:val="bottom"/>
            <w:shd w:val="clear" w:color="auto" w:fill="CCEEFF"/>
          </w:tcPr>
          <w:p>
            <w:pPr>
              <w:spacing w:after="0"/>
              <w:rPr>
                <w:sz w:val="20"/>
                <w:szCs w:val="20"/>
                <w:color w:val="auto"/>
              </w:rPr>
            </w:pPr>
            <w:r>
              <w:rPr>
                <w:rFonts w:ascii="Arial" w:cs="Arial" w:eastAsia="Arial" w:hAnsi="Arial"/>
                <w:sz w:val="16"/>
                <w:szCs w:val="16"/>
                <w:color w:val="auto"/>
              </w:rPr>
              <w:t>Changes in operating assets and liabilities:</w:t>
            </w:r>
          </w:p>
        </w:tc>
        <w:tc>
          <w:tcPr>
            <w:tcW w:w="1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03"/>
        </w:trPr>
        <w:tc>
          <w:tcPr>
            <w:tcW w:w="6300" w:type="dxa"/>
            <w:vAlign w:val="bottom"/>
          </w:tcPr>
          <w:p>
            <w:pPr>
              <w:ind w:left="340"/>
              <w:spacing w:after="0"/>
              <w:rPr>
                <w:sz w:val="20"/>
                <w:szCs w:val="20"/>
                <w:color w:val="auto"/>
              </w:rPr>
            </w:pPr>
            <w:r>
              <w:rPr>
                <w:rFonts w:ascii="Arial" w:cs="Arial" w:eastAsia="Arial" w:hAnsi="Arial"/>
                <w:sz w:val="16"/>
                <w:szCs w:val="16"/>
                <w:color w:val="auto"/>
              </w:rPr>
              <w:t>Accounts receivable</w:t>
            </w: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(727)</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6,805</w:t>
            </w:r>
          </w:p>
        </w:tc>
      </w:tr>
      <w:tr>
        <w:trPr>
          <w:trHeight w:val="203"/>
        </w:trPr>
        <w:tc>
          <w:tcPr>
            <w:tcW w:w="6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Inventories</w:t>
            </w:r>
          </w:p>
        </w:tc>
        <w:tc>
          <w:tcPr>
            <w:tcW w:w="1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(4,048)</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w:t>
            </w:r>
          </w:p>
        </w:tc>
      </w:tr>
      <w:tr>
        <w:trPr>
          <w:trHeight w:val="203"/>
        </w:trPr>
        <w:tc>
          <w:tcPr>
            <w:tcW w:w="6300" w:type="dxa"/>
            <w:vAlign w:val="bottom"/>
          </w:tcPr>
          <w:p>
            <w:pPr>
              <w:ind w:left="340"/>
              <w:spacing w:after="0"/>
              <w:rPr>
                <w:sz w:val="20"/>
                <w:szCs w:val="20"/>
                <w:color w:val="auto"/>
              </w:rPr>
            </w:pPr>
            <w:r>
              <w:rPr>
                <w:rFonts w:ascii="Arial" w:cs="Arial" w:eastAsia="Arial" w:hAnsi="Arial"/>
                <w:sz w:val="16"/>
                <w:szCs w:val="16"/>
                <w:color w:val="auto"/>
              </w:rPr>
              <w:t>Other assets</w:t>
            </w: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(2,088)</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(878)</w:t>
            </w:r>
          </w:p>
        </w:tc>
      </w:tr>
      <w:tr>
        <w:trPr>
          <w:trHeight w:val="203"/>
        </w:trPr>
        <w:tc>
          <w:tcPr>
            <w:tcW w:w="6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payable and accrued expenses</w:t>
            </w:r>
          </w:p>
        </w:tc>
        <w:tc>
          <w:tcPr>
            <w:tcW w:w="1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1,901</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586</w:t>
            </w:r>
          </w:p>
        </w:tc>
      </w:tr>
      <w:tr>
        <w:trPr>
          <w:trHeight w:val="203"/>
        </w:trPr>
        <w:tc>
          <w:tcPr>
            <w:tcW w:w="6300" w:type="dxa"/>
            <w:vAlign w:val="bottom"/>
          </w:tcPr>
          <w:p>
            <w:pPr>
              <w:ind w:left="340"/>
              <w:spacing w:after="0"/>
              <w:rPr>
                <w:sz w:val="20"/>
                <w:szCs w:val="20"/>
                <w:color w:val="auto"/>
              </w:rPr>
            </w:pPr>
            <w:r>
              <w:rPr>
                <w:rFonts w:ascii="Arial" w:cs="Arial" w:eastAsia="Arial" w:hAnsi="Arial"/>
                <w:sz w:val="16"/>
                <w:szCs w:val="16"/>
                <w:color w:val="auto"/>
              </w:rPr>
              <w:t>Deferred revenue</w:t>
            </w: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(142)</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(380)</w:t>
            </w:r>
          </w:p>
        </w:tc>
      </w:tr>
      <w:tr>
        <w:trPr>
          <w:trHeight w:val="203"/>
        </w:trPr>
        <w:tc>
          <w:tcPr>
            <w:tcW w:w="6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liabilities</w:t>
            </w:r>
          </w:p>
        </w:tc>
        <w:tc>
          <w:tcPr>
            <w:tcW w:w="1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r>
      <w:tr>
        <w:trPr>
          <w:trHeight w:val="203"/>
        </w:trPr>
        <w:tc>
          <w:tcPr>
            <w:tcW w:w="6300" w:type="dxa"/>
            <w:vAlign w:val="bottom"/>
          </w:tcPr>
          <w:p>
            <w:pPr>
              <w:ind w:left="500"/>
              <w:spacing w:after="0"/>
              <w:rPr>
                <w:sz w:val="20"/>
                <w:szCs w:val="20"/>
                <w:color w:val="auto"/>
              </w:rPr>
            </w:pPr>
            <w:r>
              <w:rPr>
                <w:rFonts w:ascii="Arial" w:cs="Arial" w:eastAsia="Arial" w:hAnsi="Arial"/>
                <w:sz w:val="16"/>
                <w:szCs w:val="16"/>
                <w:color w:val="auto"/>
              </w:rPr>
              <w:t>Net cash provided by operating activities</w:t>
            </w:r>
          </w:p>
        </w:tc>
        <w:tc>
          <w:tcPr>
            <w:tcW w:w="126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1,145</w:t>
            </w:r>
          </w:p>
        </w:tc>
        <w:tc>
          <w:tcPr>
            <w:tcW w:w="12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6,841</w:t>
            </w:r>
          </w:p>
        </w:tc>
      </w:tr>
      <w:tr>
        <w:trPr>
          <w:trHeight w:val="196"/>
        </w:trPr>
        <w:tc>
          <w:tcPr>
            <w:tcW w:w="6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03"/>
        </w:trPr>
        <w:tc>
          <w:tcPr>
            <w:tcW w:w="630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Additions to property, plant, and equipment</w:t>
            </w:r>
          </w:p>
        </w:tc>
        <w:tc>
          <w:tcPr>
            <w:tcW w:w="1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(1,088)</w:t>
            </w:r>
          </w:p>
        </w:tc>
      </w:tr>
      <w:tr>
        <w:trPr>
          <w:trHeight w:val="203"/>
        </w:trPr>
        <w:tc>
          <w:tcPr>
            <w:tcW w:w="6300" w:type="dxa"/>
            <w:vAlign w:val="bottom"/>
          </w:tcPr>
          <w:p>
            <w:pPr>
              <w:ind w:left="180"/>
              <w:spacing w:after="0"/>
              <w:rPr>
                <w:sz w:val="20"/>
                <w:szCs w:val="20"/>
                <w:color w:val="auto"/>
              </w:rPr>
            </w:pPr>
            <w:r>
              <w:rPr>
                <w:rFonts w:ascii="Arial" w:cs="Arial" w:eastAsia="Arial" w:hAnsi="Arial"/>
                <w:sz w:val="16"/>
                <w:szCs w:val="16"/>
                <w:color w:val="auto"/>
              </w:rPr>
              <w:t>Additions to intangible assets</w:t>
            </w: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03"/>
        </w:trPr>
        <w:tc>
          <w:tcPr>
            <w:tcW w:w="63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cash used in investing activities</w:t>
            </w:r>
          </w:p>
        </w:tc>
        <w:tc>
          <w:tcPr>
            <w:tcW w:w="12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(987)</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(1,088)</w:t>
            </w:r>
          </w:p>
        </w:tc>
      </w:tr>
      <w:tr>
        <w:trPr>
          <w:trHeight w:val="196"/>
        </w:trPr>
        <w:tc>
          <w:tcPr>
            <w:tcW w:w="6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30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1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03"/>
        </w:trPr>
        <w:tc>
          <w:tcPr>
            <w:tcW w:w="6300" w:type="dxa"/>
            <w:vAlign w:val="bottom"/>
          </w:tcPr>
          <w:p>
            <w:pPr>
              <w:ind w:left="180"/>
              <w:spacing w:after="0"/>
              <w:rPr>
                <w:sz w:val="20"/>
                <w:szCs w:val="20"/>
                <w:color w:val="auto"/>
              </w:rPr>
            </w:pPr>
            <w:r>
              <w:rPr>
                <w:rFonts w:ascii="Arial" w:cs="Arial" w:eastAsia="Arial" w:hAnsi="Arial"/>
                <w:sz w:val="16"/>
                <w:szCs w:val="16"/>
                <w:color w:val="auto"/>
              </w:rPr>
              <w:t>Proceeds from issuance of debt</w:t>
            </w: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2,500</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9,615</w:t>
            </w:r>
          </w:p>
        </w:tc>
      </w:tr>
      <w:tr>
        <w:trPr>
          <w:trHeight w:val="203"/>
        </w:trPr>
        <w:tc>
          <w:tcPr>
            <w:tcW w:w="6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Repayments of debt</w:t>
            </w:r>
          </w:p>
        </w:tc>
        <w:tc>
          <w:tcPr>
            <w:tcW w:w="1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(20,251)</w:t>
            </w:r>
          </w:p>
        </w:tc>
      </w:tr>
      <w:tr>
        <w:trPr>
          <w:trHeight w:val="203"/>
        </w:trPr>
        <w:tc>
          <w:tcPr>
            <w:tcW w:w="6300" w:type="dxa"/>
            <w:vAlign w:val="bottom"/>
          </w:tcPr>
          <w:p>
            <w:pPr>
              <w:ind w:left="180"/>
              <w:spacing w:after="0"/>
              <w:rPr>
                <w:sz w:val="20"/>
                <w:szCs w:val="20"/>
                <w:color w:val="auto"/>
              </w:rPr>
            </w:pPr>
            <w:r>
              <w:rPr>
                <w:rFonts w:ascii="Arial" w:cs="Arial" w:eastAsia="Arial" w:hAnsi="Arial"/>
                <w:sz w:val="16"/>
                <w:szCs w:val="16"/>
                <w:color w:val="auto"/>
              </w:rPr>
              <w:t>Debt issuance costs</w:t>
            </w: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03"/>
        </w:trPr>
        <w:tc>
          <w:tcPr>
            <w:tcW w:w="6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1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2,909</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194</w:t>
            </w:r>
          </w:p>
        </w:tc>
      </w:tr>
      <w:tr>
        <w:trPr>
          <w:trHeight w:val="203"/>
        </w:trPr>
        <w:tc>
          <w:tcPr>
            <w:tcW w:w="6300" w:type="dxa"/>
            <w:vAlign w:val="bottom"/>
          </w:tcPr>
          <w:p>
            <w:pPr>
              <w:ind w:left="180"/>
              <w:spacing w:after="0"/>
              <w:rPr>
                <w:sz w:val="20"/>
                <w:szCs w:val="20"/>
                <w:color w:val="auto"/>
              </w:rPr>
            </w:pPr>
            <w:r>
              <w:rPr>
                <w:rFonts w:ascii="Arial" w:cs="Arial" w:eastAsia="Arial" w:hAnsi="Arial"/>
                <w:sz w:val="16"/>
                <w:szCs w:val="16"/>
                <w:color w:val="auto"/>
              </w:rPr>
              <w:t>Taxes paid related to net share settlement of equity awards</w:t>
            </w: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(2,653)</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(882)</w:t>
            </w:r>
          </w:p>
        </w:tc>
      </w:tr>
      <w:tr>
        <w:trPr>
          <w:trHeight w:val="203"/>
        </w:trPr>
        <w:tc>
          <w:tcPr>
            <w:tcW w:w="6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cash used in financing activities</w:t>
            </w:r>
          </w:p>
        </w:tc>
        <w:tc>
          <w:tcPr>
            <w:tcW w:w="12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(2,846)</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(11,324)</w:t>
            </w:r>
          </w:p>
        </w:tc>
      </w:tr>
      <w:tr>
        <w:trPr>
          <w:trHeight w:val="196"/>
        </w:trPr>
        <w:tc>
          <w:tcPr>
            <w:tcW w:w="6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Effect of exchange rate changes on cash</w:t>
            </w:r>
          </w:p>
        </w:tc>
        <w:tc>
          <w:tcPr>
            <w:tcW w:w="12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42</w:t>
            </w:r>
          </w:p>
        </w:tc>
      </w:tr>
      <w:tr>
        <w:trPr>
          <w:trHeight w:val="196"/>
        </w:trPr>
        <w:tc>
          <w:tcPr>
            <w:tcW w:w="6300" w:type="dxa"/>
            <w:vAlign w:val="bottom"/>
          </w:tcPr>
          <w:p>
            <w:pPr>
              <w:spacing w:after="0"/>
              <w:rPr>
                <w:sz w:val="20"/>
                <w:szCs w:val="20"/>
                <w:color w:val="auto"/>
              </w:rPr>
            </w:pPr>
            <w:r>
              <w:rPr>
                <w:rFonts w:ascii="Arial" w:cs="Arial" w:eastAsia="Arial" w:hAnsi="Arial"/>
                <w:sz w:val="16"/>
                <w:szCs w:val="16"/>
                <w:color w:val="auto"/>
              </w:rPr>
              <w:t>Decrease in cash and cash equivalents</w:t>
            </w: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(2,769)</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(5,529)</w:t>
            </w:r>
          </w:p>
        </w:tc>
      </w:tr>
      <w:tr>
        <w:trPr>
          <w:trHeight w:val="203"/>
        </w:trPr>
        <w:tc>
          <w:tcPr>
            <w:tcW w:w="6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cash equivalents at beginning of period</w:t>
            </w:r>
          </w:p>
        </w:tc>
        <w:tc>
          <w:tcPr>
            <w:tcW w:w="12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8,317</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8,335</w:t>
            </w:r>
          </w:p>
        </w:tc>
      </w:tr>
      <w:tr>
        <w:trPr>
          <w:trHeight w:val="196"/>
        </w:trPr>
        <w:tc>
          <w:tcPr>
            <w:tcW w:w="6300" w:type="dxa"/>
            <w:vAlign w:val="bottom"/>
          </w:tcPr>
          <w:p>
            <w:pPr>
              <w:spacing w:after="0"/>
              <w:rPr>
                <w:sz w:val="20"/>
                <w:szCs w:val="20"/>
                <w:color w:val="auto"/>
              </w:rPr>
            </w:pPr>
            <w:r>
              <w:rPr>
                <w:rFonts w:ascii="Arial" w:cs="Arial" w:eastAsia="Arial" w:hAnsi="Arial"/>
                <w:sz w:val="16"/>
                <w:szCs w:val="16"/>
                <w:color w:val="auto"/>
              </w:rPr>
              <w:t>Cash and cash equivalents at end of period</w:t>
            </w:r>
          </w:p>
        </w:tc>
        <w:tc>
          <w:tcPr>
            <w:tcW w:w="2360" w:type="dxa"/>
            <w:vAlign w:val="bottom"/>
            <w:gridSpan w:val="2"/>
          </w:tcPr>
          <w:p>
            <w:pPr>
              <w:jc w:val="right"/>
              <w:ind w:right="93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5,548</w:t>
            </w:r>
          </w:p>
        </w:tc>
        <w:tc>
          <w:tcPr>
            <w:tcW w:w="1260" w:type="dxa"/>
            <w:vAlign w:val="bottom"/>
            <w:gridSpan w:val="2"/>
          </w:tcPr>
          <w:p>
            <w:pPr>
              <w:jc w:val="right"/>
              <w:ind w:right="106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2,806</w:t>
            </w:r>
          </w:p>
        </w:tc>
      </w:tr>
      <w:tr>
        <w:trPr>
          <w:trHeight w:val="20"/>
        </w:trPr>
        <w:tc>
          <w:tcPr>
            <w:tcW w:w="6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63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203"/>
        </w:trPr>
        <w:tc>
          <w:tcPr>
            <w:tcW w:w="6300" w:type="dxa"/>
            <w:vAlign w:val="bottom"/>
          </w:tcPr>
          <w:p>
            <w:pPr>
              <w:spacing w:after="0"/>
              <w:rPr>
                <w:sz w:val="20"/>
                <w:szCs w:val="20"/>
                <w:color w:val="auto"/>
              </w:rPr>
            </w:pPr>
            <w:r>
              <w:rPr>
                <w:rFonts w:ascii="Arial" w:cs="Arial" w:eastAsia="Arial" w:hAnsi="Arial"/>
                <w:sz w:val="16"/>
                <w:szCs w:val="16"/>
                <w:color w:val="auto"/>
              </w:rPr>
              <w:t>Supplemental disclosures of cash flow information:</w:t>
            </w: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paid for interest</w:t>
            </w:r>
          </w:p>
        </w:tc>
        <w:tc>
          <w:tcPr>
            <w:tcW w:w="2360" w:type="dxa"/>
            <w:vAlign w:val="bottom"/>
            <w:gridSpan w:val="2"/>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836</w:t>
            </w:r>
          </w:p>
        </w:tc>
        <w:tc>
          <w:tcPr>
            <w:tcW w:w="1260" w:type="dxa"/>
            <w:vAlign w:val="bottom"/>
            <w:gridSpan w:val="2"/>
            <w:shd w:val="clear" w:color="auto" w:fill="CCEEFF"/>
          </w:tcPr>
          <w:p>
            <w:pPr>
              <w:jc w:val="right"/>
              <w:ind w:right="106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3,795</w:t>
            </w:r>
          </w:p>
        </w:tc>
      </w:tr>
      <w:tr>
        <w:trPr>
          <w:trHeight w:val="206"/>
        </w:trPr>
        <w:tc>
          <w:tcPr>
            <w:tcW w:w="6300" w:type="dxa"/>
            <w:vAlign w:val="bottom"/>
          </w:tcPr>
          <w:p>
            <w:pPr>
              <w:ind w:left="180"/>
              <w:spacing w:after="0"/>
              <w:rPr>
                <w:sz w:val="20"/>
                <w:szCs w:val="20"/>
                <w:color w:val="auto"/>
              </w:rPr>
            </w:pPr>
            <w:r>
              <w:rPr>
                <w:rFonts w:ascii="Arial" w:cs="Arial" w:eastAsia="Arial" w:hAnsi="Arial"/>
                <w:sz w:val="16"/>
                <w:szCs w:val="16"/>
                <w:color w:val="auto"/>
              </w:rPr>
              <w:t>Cash paid for income taxes, net of refunds</w:t>
            </w:r>
          </w:p>
        </w:tc>
        <w:tc>
          <w:tcPr>
            <w:tcW w:w="2360" w:type="dxa"/>
            <w:vAlign w:val="bottom"/>
            <w:gridSpan w:val="2"/>
          </w:tcPr>
          <w:p>
            <w:pPr>
              <w:jc w:val="right"/>
              <w:ind w:right="93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506</w:t>
            </w:r>
          </w:p>
        </w:tc>
        <w:tc>
          <w:tcPr>
            <w:tcW w:w="1260" w:type="dxa"/>
            <w:vAlign w:val="bottom"/>
            <w:gridSpan w:val="2"/>
          </w:tcPr>
          <w:p>
            <w:pPr>
              <w:jc w:val="right"/>
              <w:ind w:right="106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410</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39"/>
        <w:spacing w:after="0"/>
        <w:rPr>
          <w:sz w:val="20"/>
          <w:szCs w:val="20"/>
          <w:color w:val="auto"/>
        </w:rPr>
      </w:pPr>
      <w:r>
        <w:rPr>
          <w:rFonts w:ascii="Arial" w:cs="Arial" w:eastAsia="Arial" w:hAnsi="Arial"/>
          <w:sz w:val="16"/>
          <w:szCs w:val="16"/>
          <w:b w:val="1"/>
          <w:bCs w:val="1"/>
          <w:color w:val="auto"/>
        </w:rPr>
        <w:t>NOTES TO UNAUDITED CONSOLIDATED FINANCIAL STATEMENTS</w:t>
      </w:r>
    </w:p>
    <w:p>
      <w:pPr>
        <w:spacing w:after="0" w:line="200" w:lineRule="exact"/>
        <w:rPr>
          <w:sz w:val="20"/>
          <w:szCs w:val="20"/>
          <w:color w:val="auto"/>
        </w:rPr>
      </w:pPr>
    </w:p>
    <w:p>
      <w:pPr>
        <w:spacing w:after="0" w:line="264" w:lineRule="exact"/>
        <w:rPr>
          <w:sz w:val="20"/>
          <w:szCs w:val="20"/>
          <w:color w:val="auto"/>
        </w:rPr>
      </w:pPr>
    </w:p>
    <w:p>
      <w:pPr>
        <w:ind w:left="400" w:right="4020" w:hanging="392"/>
        <w:spacing w:after="0" w:line="530" w:lineRule="auto"/>
        <w:tabs>
          <w:tab w:leader="none" w:pos="328"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Basis of Presentation and Summary of Significant Accounting Policies, and Risks and Uncertainties </w:t>
      </w:r>
      <w:r>
        <w:rPr>
          <w:rFonts w:ascii="Arial" w:cs="Arial" w:eastAsia="Arial" w:hAnsi="Arial"/>
          <w:sz w:val="16"/>
          <w:szCs w:val="16"/>
          <w:b w:val="1"/>
          <w:bCs w:val="1"/>
          <w:i w:val="1"/>
          <w:iCs w:val="1"/>
          <w:color w:val="auto"/>
        </w:rPr>
        <w:t>Basis of Presentation and Summary of Significant Accounting Policies</w:t>
      </w:r>
    </w:p>
    <w:p>
      <w:pPr>
        <w:spacing w:after="0" w:line="1" w:lineRule="exact"/>
        <w:rPr>
          <w:sz w:val="20"/>
          <w:szCs w:val="20"/>
          <w:color w:val="auto"/>
        </w:rPr>
      </w:pPr>
    </w:p>
    <w:p>
      <w:pPr>
        <w:ind w:left="160" w:right="20" w:firstLine="288"/>
        <w:spacing w:after="0" w:line="313" w:lineRule="auto"/>
        <w:rPr>
          <w:sz w:val="20"/>
          <w:szCs w:val="20"/>
          <w:color w:val="auto"/>
        </w:rPr>
      </w:pPr>
      <w:r>
        <w:rPr>
          <w:rFonts w:ascii="Arial" w:cs="Arial" w:eastAsia="Arial" w:hAnsi="Arial"/>
          <w:sz w:val="14"/>
          <w:szCs w:val="14"/>
          <w:color w:val="auto"/>
        </w:rPr>
        <w:t>The unaudited consolidated financial statements of Harvard Bioscience, Inc. and its wholly-owned subsidiaries (collectively, Harvard Bioscience or the Company) as of September 30, 2021 and for the three and nine months ended September 30, 2021 and 2020, have been prepared by the Company pursuant to the rules and regulations of the Securities and Exchange Commission (SEC). Certain information and footnote disclosures normally included in financial statements prepared in accordance with U.S. generally accepted accounting principles (U.S. GAAP) have been condensed or omitted pursuant to such rules and regulations. The December 31, 2020, consolidated balance sheet was derived from audited financial statements but does not include all disclosures required by U.S. GAAP. However, the Company believes that the disclosures are adequate to make the information presented not misleading. These unaudited consolidated financial statements should be read in conjunction with the consolidated financial statements and the notes thereto included in the Company’s Annual Report on Form 10-K for the fiscal year ended December 31, 2020.</w:t>
      </w:r>
    </w:p>
    <w:p>
      <w:pPr>
        <w:spacing w:after="0" w:line="150" w:lineRule="exact"/>
        <w:rPr>
          <w:sz w:val="20"/>
          <w:szCs w:val="20"/>
          <w:color w:val="auto"/>
        </w:rPr>
      </w:pPr>
    </w:p>
    <w:p>
      <w:pPr>
        <w:ind w:left="160" w:right="20" w:firstLine="288"/>
        <w:spacing w:after="0" w:line="273" w:lineRule="auto"/>
        <w:rPr>
          <w:sz w:val="20"/>
          <w:szCs w:val="20"/>
          <w:color w:val="auto"/>
        </w:rPr>
      </w:pPr>
      <w:r>
        <w:rPr>
          <w:rFonts w:ascii="Arial" w:cs="Arial" w:eastAsia="Arial" w:hAnsi="Arial"/>
          <w:sz w:val="16"/>
          <w:szCs w:val="16"/>
          <w:color w:val="auto"/>
        </w:rPr>
        <w:t>In the opinion of management, all adjustments, which include normal recurring adjustments necessary to present a fair statement of financial position as of September 30, 2021, results of operations and comprehensive income (loss) and cash flows for the three months and nine months ended September 30, 2021 and 2020, as applicable, have been made. The results of operations for the three months and nine months ended September 30, 2021, are not necessarily indicative of the operating results for the full fiscal year or any future periods.</w:t>
      </w:r>
    </w:p>
    <w:p>
      <w:pPr>
        <w:spacing w:after="0" w:line="175" w:lineRule="exact"/>
        <w:rPr>
          <w:sz w:val="20"/>
          <w:szCs w:val="20"/>
          <w:color w:val="auto"/>
        </w:rPr>
      </w:pPr>
    </w:p>
    <w:p>
      <w:pPr>
        <w:ind w:left="160" w:right="440" w:firstLine="288"/>
        <w:spacing w:after="0" w:line="278" w:lineRule="auto"/>
        <w:rPr>
          <w:sz w:val="20"/>
          <w:szCs w:val="20"/>
          <w:color w:val="auto"/>
        </w:rPr>
      </w:pPr>
      <w:r>
        <w:rPr>
          <w:rFonts w:ascii="Arial" w:cs="Arial" w:eastAsia="Arial" w:hAnsi="Arial"/>
          <w:sz w:val="16"/>
          <w:szCs w:val="16"/>
          <w:color w:val="auto"/>
        </w:rPr>
        <w:t>The accounting policies underlying the accompanying unaudited consolidated financial statements are those set forth in Note 2 to the consolidated financial statements included in the Company’s Annual Report on Form 10-K for the year ended December 31, 2020. There have been no material changes in the Company’s significant accounting policies during the three and nine months ended September 30, 2021.</w:t>
      </w:r>
    </w:p>
    <w:p>
      <w:pPr>
        <w:spacing w:after="0" w:line="171"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Risks and Uncertainties</w:t>
      </w:r>
    </w:p>
    <w:p>
      <w:pPr>
        <w:spacing w:after="0" w:line="221" w:lineRule="exact"/>
        <w:rPr>
          <w:sz w:val="20"/>
          <w:szCs w:val="20"/>
          <w:color w:val="auto"/>
        </w:rPr>
      </w:pPr>
    </w:p>
    <w:p>
      <w:pPr>
        <w:ind w:left="160" w:firstLine="288"/>
        <w:spacing w:after="0" w:line="310" w:lineRule="auto"/>
        <w:rPr>
          <w:sz w:val="20"/>
          <w:szCs w:val="20"/>
          <w:color w:val="auto"/>
        </w:rPr>
      </w:pPr>
      <w:r>
        <w:rPr>
          <w:rFonts w:ascii="Arial" w:cs="Arial" w:eastAsia="Arial" w:hAnsi="Arial"/>
          <w:sz w:val="14"/>
          <w:szCs w:val="14"/>
          <w:color w:val="auto"/>
        </w:rPr>
        <w:t>On March 11, 2020, the World Health Organization declared the outbreak of a novel coronavirus (COVID-19) as a pandemic. The COVID-19 pandemic has had a negative impact on the Company’s operations to date and the future impacts of the pandemic and any resulting economic impact are largely unknown and rapidly evolving. Since the global outbreak of COVID-19, many customers, particularly academic research institutions, have reduced laboratory work which has negatively impacted, and will continue to negatively impact, the Company’s sales. While many of the Company's customers, including academic labs, have reopened, a significant number of them remained closed or at significantly lower capacity levels through the third quarter of 2021. Additionally, to ensure business continuity while maintaining a safe environment for employees aligned with guidance from government and health organizations, the Company transitioned a significant portion of its workforce to work-from-home while implementing social distancing requirements and other measures to allow manufacturing and other personnel essential to production to continue work within the Company's facilities. Business travel was significantly reduced during this period. While a portion of the workforce has returned to in-office work and travel is less restricted, the Company continued to have restrictions which represent disruptions which can impact productivity including sales and marketing activities.</w:t>
      </w:r>
    </w:p>
    <w:p>
      <w:pPr>
        <w:spacing w:after="0" w:line="153" w:lineRule="exact"/>
        <w:rPr>
          <w:sz w:val="20"/>
          <w:szCs w:val="20"/>
          <w:color w:val="auto"/>
        </w:rPr>
      </w:pPr>
    </w:p>
    <w:p>
      <w:pPr>
        <w:ind w:left="160" w:firstLine="288"/>
        <w:spacing w:after="0" w:line="305" w:lineRule="auto"/>
        <w:rPr>
          <w:sz w:val="20"/>
          <w:szCs w:val="20"/>
          <w:color w:val="auto"/>
        </w:rPr>
      </w:pPr>
      <w:r>
        <w:rPr>
          <w:rFonts w:ascii="Arial" w:cs="Arial" w:eastAsia="Arial" w:hAnsi="Arial"/>
          <w:sz w:val="15"/>
          <w:szCs w:val="15"/>
          <w:color w:val="auto"/>
        </w:rPr>
        <w:t>The global supply chain has experienced significant disruptions during 2021 due to electronic component and labor shortages and other macroeconomic factors which have emerged since the onset of COVID-19, leading to increased cost of freight and purchased materials, while also delaying customer shipments. Accordingly, these conditions in addition to the overall impact on the global economy have negatively impacted results of operations and cash flows.</w:t>
      </w:r>
    </w:p>
    <w:p>
      <w:pPr>
        <w:spacing w:after="0" w:line="391" w:lineRule="exact"/>
        <w:rPr>
          <w:sz w:val="20"/>
          <w:szCs w:val="20"/>
          <w:color w:val="auto"/>
        </w:rPr>
      </w:pPr>
    </w:p>
    <w:p>
      <w:pPr>
        <w:ind w:left="400" w:right="7780" w:hanging="392"/>
        <w:spacing w:after="0" w:line="606" w:lineRule="auto"/>
        <w:tabs>
          <w:tab w:leader="none" w:pos="328" w:val="left"/>
        </w:tabs>
        <w:numPr>
          <w:ilvl w:val="0"/>
          <w:numId w:val="4"/>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Recently Issued Accounting Pronouncements </w:t>
      </w:r>
      <w:r>
        <w:rPr>
          <w:rFonts w:ascii="Arial" w:cs="Arial" w:eastAsia="Arial" w:hAnsi="Arial"/>
          <w:sz w:val="14"/>
          <w:szCs w:val="14"/>
          <w:i w:val="1"/>
          <w:iCs w:val="1"/>
          <w:color w:val="auto"/>
        </w:rPr>
        <w:t>Accounting Pronouncements Adopted</w:t>
      </w:r>
    </w:p>
    <w:p>
      <w:pPr>
        <w:spacing w:after="0" w:line="1" w:lineRule="exact"/>
        <w:rPr>
          <w:sz w:val="20"/>
          <w:szCs w:val="20"/>
          <w:color w:val="auto"/>
        </w:rPr>
      </w:pPr>
    </w:p>
    <w:p>
      <w:pPr>
        <w:ind w:left="160" w:right="20" w:firstLine="288"/>
        <w:spacing w:after="0" w:line="293" w:lineRule="auto"/>
        <w:rPr>
          <w:sz w:val="20"/>
          <w:szCs w:val="20"/>
          <w:color w:val="auto"/>
        </w:rPr>
      </w:pPr>
      <w:r>
        <w:rPr>
          <w:rFonts w:ascii="Arial" w:cs="Arial" w:eastAsia="Arial" w:hAnsi="Arial"/>
          <w:sz w:val="15"/>
          <w:szCs w:val="15"/>
          <w:color w:val="auto"/>
        </w:rPr>
        <w:t>In December 2019, the Financial Accounting Standards Board (FASB) issued Accounting Standards Update (ASU) 2019-12, Income Taxes (Topic 740): Simplifying the Accounting for Income Taxes (ASU 2019-12), which enhances and simplifies various aspects of the income tax accounting guidance related to intra-period tax allocation, interim period accounting for enacted changes in tax law, and the year-to-date loss limitation in interim period tax accounting. ASU 2019-12 also amends other aspects of the guidance to reduce complexity in certain areas. The Company adopted the provisions of ASU 2019-12 effective on January 1, 2021. The adoption of this new accounting guidance did not have a material impact on the Company’s consolidated financial statements.</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59"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Accounting Pronouncements to be Adopted</w:t>
      </w:r>
    </w:p>
    <w:p>
      <w:pPr>
        <w:spacing w:after="0" w:line="221" w:lineRule="exact"/>
        <w:rPr>
          <w:sz w:val="20"/>
          <w:szCs w:val="20"/>
          <w:color w:val="auto"/>
        </w:rPr>
      </w:pPr>
    </w:p>
    <w:p>
      <w:pPr>
        <w:ind w:left="160" w:right="60" w:firstLine="288"/>
        <w:spacing w:after="0" w:line="291" w:lineRule="auto"/>
        <w:rPr>
          <w:sz w:val="20"/>
          <w:szCs w:val="20"/>
          <w:color w:val="auto"/>
        </w:rPr>
      </w:pPr>
      <w:r>
        <w:rPr>
          <w:rFonts w:ascii="Arial" w:cs="Arial" w:eastAsia="Arial" w:hAnsi="Arial"/>
          <w:sz w:val="15"/>
          <w:szCs w:val="15"/>
          <w:color w:val="auto"/>
        </w:rPr>
        <w:t>In September 2016, the FASB issued ASU 2016-13, Financial Instruments—Credit Losses (Topic 326): Measurement of Credit Losses on Financial Instruments (ASU 2016-13), which amends the impairment model by requiring entities to use a forward-looking approach based on expected losses rather than incurred losses to estimate credit losses on certain types of financial instruments, including trade receivables. This may result in the earlier recognition of allowances for losses. The FASB issued several ASUs after ASU 2016-13 to clarify implementation guidance and to provide transition relief for certain entities. ASU 2016-13 is effective for the Company for fiscal years beginning after December 15, 2022, with early adoption permitted. The Company is evaluating the impact that adopting ASU 2016-13 and related amendments will have on its consolidated financial position, results of operations and cash flows.</w:t>
      </w:r>
    </w:p>
    <w:p>
      <w:pPr>
        <w:spacing w:after="0" w:line="200" w:lineRule="exact"/>
        <w:rPr>
          <w:sz w:val="20"/>
          <w:szCs w:val="20"/>
          <w:color w:val="auto"/>
        </w:rPr>
      </w:pPr>
    </w:p>
    <w:p>
      <w:pPr>
        <w:spacing w:after="0" w:line="202" w:lineRule="exact"/>
        <w:rPr>
          <w:sz w:val="20"/>
          <w:szCs w:val="20"/>
          <w:color w:val="auto"/>
        </w:rPr>
      </w:pPr>
    </w:p>
    <w:p>
      <w:pPr>
        <w:ind w:left="400" w:right="8760" w:hanging="392"/>
        <w:spacing w:after="0" w:line="530" w:lineRule="auto"/>
        <w:tabs>
          <w:tab w:leader="none" w:pos="328"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Goodwill and Intangible Assets </w:t>
      </w:r>
      <w:r>
        <w:rPr>
          <w:rFonts w:ascii="Arial" w:cs="Arial" w:eastAsia="Arial" w:hAnsi="Arial"/>
          <w:sz w:val="16"/>
          <w:szCs w:val="16"/>
          <w:i w:val="1"/>
          <w:iCs w:val="1"/>
          <w:color w:val="auto"/>
        </w:rPr>
        <w:t>Goodwill</w:t>
      </w:r>
    </w:p>
    <w:p>
      <w:pPr>
        <w:spacing w:after="0" w:line="1" w:lineRule="exact"/>
        <w:rPr>
          <w:rFonts w:ascii="Arial" w:cs="Arial" w:eastAsia="Arial" w:hAnsi="Arial"/>
          <w:sz w:val="16"/>
          <w:szCs w:val="16"/>
          <w:b w:val="1"/>
          <w:bCs w:val="1"/>
          <w:color w:val="auto"/>
        </w:rPr>
      </w:pPr>
    </w:p>
    <w:p>
      <w:pPr>
        <w:ind w:left="440"/>
        <w:spacing w:after="0"/>
        <w:rPr>
          <w:rFonts w:ascii="Arial" w:cs="Arial" w:eastAsia="Arial" w:hAnsi="Arial"/>
          <w:sz w:val="16"/>
          <w:szCs w:val="16"/>
          <w:b w:val="1"/>
          <w:bCs w:val="1"/>
          <w:color w:val="auto"/>
        </w:rPr>
      </w:pPr>
      <w:r>
        <w:rPr>
          <w:rFonts w:ascii="Arial" w:cs="Arial" w:eastAsia="Arial" w:hAnsi="Arial"/>
          <w:sz w:val="16"/>
          <w:szCs w:val="16"/>
          <w:color w:val="auto"/>
        </w:rPr>
        <w:t>The change in the carrying amount of goodwill for the nine months ended September 30, 2021,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0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6"/>
                <w:szCs w:val="16"/>
                <w:color w:val="auto"/>
              </w:rPr>
              <w:t>(in thousands)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5"/>
        </w:trPr>
        <w:tc>
          <w:tcPr>
            <w:tcW w:w="400" w:type="dxa"/>
            <w:vAlign w:val="bottom"/>
          </w:tcPr>
          <w:p>
            <w:pPr>
              <w:spacing w:after="0"/>
              <w:rPr>
                <w:sz w:val="17"/>
                <w:szCs w:val="17"/>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3"/>
              </w:rPr>
              <w:t>Carrying amount at December 31, 2020</w:t>
            </w: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58,590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400" w:type="dxa"/>
            <w:vAlign w:val="bottom"/>
          </w:tcPr>
          <w:p>
            <w:pPr>
              <w:spacing w:after="0"/>
              <w:rPr>
                <w:sz w:val="17"/>
                <w:szCs w:val="17"/>
                <w:color w:val="auto"/>
              </w:rPr>
            </w:pPr>
          </w:p>
        </w:tc>
        <w:tc>
          <w:tcPr>
            <w:tcW w:w="2640" w:type="dxa"/>
            <w:vAlign w:val="bottom"/>
            <w:gridSpan w:val="2"/>
          </w:tcPr>
          <w:p>
            <w:pPr>
              <w:spacing w:after="0"/>
              <w:rPr>
                <w:sz w:val="20"/>
                <w:szCs w:val="20"/>
                <w:color w:val="auto"/>
              </w:rPr>
            </w:pPr>
            <w:r>
              <w:rPr>
                <w:rFonts w:ascii="Arial" w:cs="Arial" w:eastAsia="Arial" w:hAnsi="Arial"/>
                <w:sz w:val="16"/>
                <w:szCs w:val="16"/>
                <w:color w:val="auto"/>
                <w:w w:val="94"/>
              </w:rPr>
              <w:t>Effect of change in currency translation</w:t>
            </w: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6"/>
        </w:trPr>
        <w:tc>
          <w:tcPr>
            <w:tcW w:w="400" w:type="dxa"/>
            <w:vAlign w:val="bottom"/>
          </w:tcPr>
          <w:p>
            <w:pPr>
              <w:spacing w:after="0"/>
              <w:rPr>
                <w:sz w:val="20"/>
                <w:szCs w:val="20"/>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1"/>
              </w:rPr>
              <w:t>Carrying amount at September 30, 2021</w:t>
            </w:r>
          </w:p>
        </w:tc>
        <w:tc>
          <w:tcPr>
            <w:tcW w:w="5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57,987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79"/>
        </w:trPr>
        <w:tc>
          <w:tcPr>
            <w:tcW w:w="400" w:type="dxa"/>
            <w:vAlign w:val="bottom"/>
          </w:tcPr>
          <w:p>
            <w:pPr>
              <w:spacing w:after="0"/>
              <w:rPr>
                <w:sz w:val="24"/>
                <w:szCs w:val="24"/>
                <w:color w:val="auto"/>
              </w:rPr>
            </w:pPr>
          </w:p>
        </w:tc>
        <w:tc>
          <w:tcPr>
            <w:tcW w:w="2640" w:type="dxa"/>
            <w:vAlign w:val="bottom"/>
            <w:tcBorders>
              <w:top w:val="single" w:sz="8" w:color="CCEEFF"/>
            </w:tcBorders>
            <w:gridSpan w:val="2"/>
          </w:tcPr>
          <w:p>
            <w:pPr>
              <w:spacing w:after="0"/>
              <w:rPr>
                <w:sz w:val="20"/>
                <w:szCs w:val="20"/>
                <w:color w:val="auto"/>
              </w:rPr>
            </w:pPr>
            <w:r>
              <w:rPr>
                <w:rFonts w:ascii="Arial" w:cs="Arial" w:eastAsia="Arial" w:hAnsi="Arial"/>
                <w:sz w:val="16"/>
                <w:szCs w:val="16"/>
                <w:i w:val="1"/>
                <w:iCs w:val="1"/>
                <w:color w:val="auto"/>
              </w:rPr>
              <w:t>Intangible Assets</w:t>
            </w:r>
          </w:p>
        </w:tc>
        <w:tc>
          <w:tcPr>
            <w:tcW w:w="50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05"/>
        </w:trPr>
        <w:tc>
          <w:tcPr>
            <w:tcW w:w="4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w w:val="93"/>
              </w:rPr>
              <w:t>September 30, 2021</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6"/>
                <w:szCs w:val="16"/>
                <w:b w:val="1"/>
                <w:bCs w:val="1"/>
                <w:color w:val="auto"/>
                <w:w w:val="91"/>
              </w:rPr>
              <w:t>December 31, 2020</w:t>
            </w: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192"/>
        </w:trPr>
        <w:tc>
          <w:tcPr>
            <w:tcW w:w="4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820" w:type="dxa"/>
            <w:vAlign w:val="bottom"/>
            <w:gridSpan w:val="2"/>
          </w:tcPr>
          <w:p>
            <w:pPr>
              <w:jc w:val="center"/>
              <w:ind w:left="119"/>
              <w:spacing w:after="0"/>
              <w:rPr>
                <w:sz w:val="20"/>
                <w:szCs w:val="20"/>
                <w:color w:val="auto"/>
              </w:rPr>
            </w:pPr>
            <w:r>
              <w:rPr>
                <w:rFonts w:ascii="Arial" w:cs="Arial" w:eastAsia="Arial" w:hAnsi="Arial"/>
                <w:sz w:val="16"/>
                <w:szCs w:val="16"/>
                <w:color w:val="auto"/>
                <w:w w:val="91"/>
              </w:rPr>
              <w:t>Weighted</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6"/>
                <w:szCs w:val="16"/>
                <w:color w:val="auto"/>
              </w:rPr>
              <w:t>(in thousands)</w:t>
            </w: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3"/>
        </w:trPr>
        <w:tc>
          <w:tcPr>
            <w:tcW w:w="4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820" w:type="dxa"/>
            <w:vAlign w:val="bottom"/>
            <w:gridSpan w:val="2"/>
          </w:tcPr>
          <w:p>
            <w:pPr>
              <w:jc w:val="center"/>
              <w:ind w:left="119"/>
              <w:spacing w:after="0"/>
              <w:rPr>
                <w:sz w:val="20"/>
                <w:szCs w:val="20"/>
                <w:color w:val="auto"/>
              </w:rPr>
            </w:pPr>
            <w:r>
              <w:rPr>
                <w:rFonts w:ascii="Arial" w:cs="Arial" w:eastAsia="Arial" w:hAnsi="Arial"/>
                <w:sz w:val="16"/>
                <w:szCs w:val="16"/>
                <w:color w:val="auto"/>
                <w:w w:val="90"/>
              </w:rPr>
              <w:t>Average</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3"/>
          </w:tcPr>
          <w:p>
            <w:pPr>
              <w:ind w:left="80"/>
              <w:spacing w:after="0"/>
              <w:rPr>
                <w:sz w:val="20"/>
                <w:szCs w:val="20"/>
                <w:color w:val="auto"/>
              </w:rPr>
            </w:pPr>
            <w:r>
              <w:rPr>
                <w:rFonts w:ascii="Arial" w:cs="Arial" w:eastAsia="Arial" w:hAnsi="Arial"/>
                <w:sz w:val="16"/>
                <w:szCs w:val="16"/>
                <w:color w:val="auto"/>
              </w:rPr>
              <w:t>Accumulated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6"/>
                <w:szCs w:val="16"/>
                <w:color w:val="auto"/>
                <w:w w:val="92"/>
              </w:rPr>
              <w:t>Accumulated</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2"/>
        </w:trPr>
        <w:tc>
          <w:tcPr>
            <w:tcW w:w="2720" w:type="dxa"/>
            <w:vAlign w:val="bottom"/>
            <w:gridSpan w:val="2"/>
          </w:tcPr>
          <w:p>
            <w:pPr>
              <w:spacing w:after="0"/>
              <w:rPr>
                <w:sz w:val="20"/>
                <w:szCs w:val="20"/>
                <w:color w:val="auto"/>
              </w:rPr>
            </w:pPr>
            <w:r>
              <w:rPr>
                <w:rFonts w:ascii="Arial" w:cs="Arial" w:eastAsia="Arial" w:hAnsi="Arial"/>
                <w:sz w:val="16"/>
                <w:szCs w:val="16"/>
                <w:color w:val="auto"/>
              </w:rPr>
              <w:t>Amortizable intangible assets:</w:t>
            </w:r>
          </w:p>
        </w:tc>
        <w:tc>
          <w:tcPr>
            <w:tcW w:w="3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rPr>
              <w:t>Life*</w:t>
            </w:r>
          </w:p>
        </w:tc>
        <w:tc>
          <w:tcPr>
            <w:tcW w:w="3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6"/>
                <w:szCs w:val="16"/>
                <w:color w:val="auto"/>
              </w:rPr>
              <w:t>Gross</w:t>
            </w: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color w:val="auto"/>
              </w:rPr>
              <w:t>Amortization</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Net</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93"/>
              </w:rPr>
              <w:t>Gross</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bottom w:val="single" w:sz="8" w:color="auto"/>
            </w:tcBorders>
            <w:gridSpan w:val="2"/>
          </w:tcPr>
          <w:p>
            <w:pPr>
              <w:jc w:val="center"/>
              <w:ind w:right="39"/>
              <w:spacing w:after="0"/>
              <w:rPr>
                <w:sz w:val="20"/>
                <w:szCs w:val="20"/>
                <w:color w:val="auto"/>
              </w:rPr>
            </w:pPr>
            <w:r>
              <w:rPr>
                <w:rFonts w:ascii="Arial" w:cs="Arial" w:eastAsia="Arial" w:hAnsi="Arial"/>
                <w:sz w:val="16"/>
                <w:szCs w:val="16"/>
                <w:color w:val="auto"/>
                <w:w w:val="96"/>
              </w:rPr>
              <w:t>Amortization</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Net</w:t>
            </w:r>
          </w:p>
        </w:tc>
      </w:tr>
      <w:tr>
        <w:trPr>
          <w:trHeight w:val="186"/>
        </w:trPr>
        <w:tc>
          <w:tcPr>
            <w:tcW w:w="30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Distribution agreements/customer</w:t>
            </w:r>
          </w:p>
        </w:tc>
        <w:tc>
          <w:tcPr>
            <w:tcW w:w="5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12"/>
        </w:trPr>
        <w:tc>
          <w:tcPr>
            <w:tcW w:w="30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relationships</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0"/>
              </w:rPr>
              <w:t>8.1</w:t>
            </w:r>
          </w:p>
        </w:tc>
        <w:tc>
          <w:tcPr>
            <w:tcW w:w="3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17,874</w:t>
            </w:r>
          </w:p>
        </w:tc>
        <w:tc>
          <w:tcPr>
            <w:tcW w:w="520" w:type="dxa"/>
            <w:vAlign w:val="bottom"/>
            <w:gridSpan w:val="3"/>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9,392</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18,237</w:t>
            </w:r>
          </w:p>
        </w:tc>
        <w:tc>
          <w:tcPr>
            <w:tcW w:w="460" w:type="dxa"/>
            <w:vAlign w:val="bottom"/>
            <w:gridSpan w:val="3"/>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10,491</w:t>
            </w:r>
          </w:p>
        </w:tc>
      </w:tr>
      <w:tr>
        <w:trPr>
          <w:trHeight w:val="203"/>
        </w:trPr>
        <w:tc>
          <w:tcPr>
            <w:tcW w:w="3040" w:type="dxa"/>
            <w:vAlign w:val="bottom"/>
            <w:gridSpan w:val="3"/>
          </w:tcPr>
          <w:p>
            <w:pPr>
              <w:spacing w:after="0"/>
              <w:rPr>
                <w:sz w:val="20"/>
                <w:szCs w:val="20"/>
                <w:color w:val="auto"/>
              </w:rPr>
            </w:pPr>
            <w:r>
              <w:rPr>
                <w:rFonts w:ascii="Arial" w:cs="Arial" w:eastAsia="Arial" w:hAnsi="Arial"/>
                <w:sz w:val="16"/>
                <w:szCs w:val="16"/>
                <w:color w:val="auto"/>
              </w:rPr>
              <w:t>Existing technology</w:t>
            </w:r>
          </w:p>
        </w:tc>
        <w:tc>
          <w:tcPr>
            <w:tcW w:w="500" w:type="dxa"/>
            <w:vAlign w:val="bottom"/>
          </w:tcPr>
          <w:p>
            <w:pPr>
              <w:spacing w:after="0"/>
              <w:rPr>
                <w:sz w:val="17"/>
                <w:szCs w:val="17"/>
                <w:color w:val="auto"/>
              </w:rPr>
            </w:pPr>
          </w:p>
        </w:tc>
        <w:tc>
          <w:tcPr>
            <w:tcW w:w="320" w:type="dxa"/>
            <w:vAlign w:val="bottom"/>
          </w:tcPr>
          <w:p>
            <w:pPr>
              <w:jc w:val="right"/>
              <w:ind w:right="39"/>
              <w:spacing w:after="0"/>
              <w:rPr>
                <w:sz w:val="20"/>
                <w:szCs w:val="20"/>
                <w:color w:val="auto"/>
              </w:rPr>
            </w:pPr>
            <w:r>
              <w:rPr>
                <w:rFonts w:ascii="Arial" w:cs="Arial" w:eastAsia="Arial" w:hAnsi="Arial"/>
                <w:sz w:val="16"/>
                <w:szCs w:val="16"/>
                <w:color w:val="auto"/>
                <w:w w:val="80"/>
              </w:rPr>
              <w:t>4.4</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38,861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(23,179)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15,682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38,761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(20,674)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18,087</w:t>
            </w:r>
          </w:p>
        </w:tc>
      </w:tr>
      <w:tr>
        <w:trPr>
          <w:trHeight w:val="203"/>
        </w:trPr>
        <w:tc>
          <w:tcPr>
            <w:tcW w:w="3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Trade names and patents</w:t>
            </w:r>
          </w:p>
        </w:tc>
        <w:tc>
          <w:tcPr>
            <w:tcW w:w="5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0"/>
              </w:rPr>
              <w:t>4.7</w:t>
            </w:r>
          </w:p>
        </w:tc>
        <w:tc>
          <w:tcPr>
            <w:tcW w:w="1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8,559</w:t>
            </w: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3,624</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8,681</w:t>
            </w:r>
          </w:p>
        </w:tc>
        <w:tc>
          <w:tcPr>
            <w:tcW w:w="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(4,362)</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4,319</w:t>
            </w:r>
          </w:p>
        </w:tc>
      </w:tr>
      <w:tr>
        <w:trPr>
          <w:trHeight w:val="196"/>
        </w:trPr>
        <w:tc>
          <w:tcPr>
            <w:tcW w:w="3040" w:type="dxa"/>
            <w:vAlign w:val="bottom"/>
            <w:gridSpan w:val="3"/>
          </w:tcPr>
          <w:p>
            <w:pPr>
              <w:spacing w:after="0"/>
              <w:rPr>
                <w:sz w:val="20"/>
                <w:szCs w:val="20"/>
                <w:color w:val="auto"/>
              </w:rPr>
            </w:pPr>
            <w:r>
              <w:rPr>
                <w:rFonts w:ascii="Arial" w:cs="Arial" w:eastAsia="Arial" w:hAnsi="Arial"/>
                <w:sz w:val="16"/>
                <w:szCs w:val="16"/>
                <w:color w:val="auto"/>
              </w:rPr>
              <w:t>Total amortizable intangible assets</w:t>
            </w: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65,294</w:t>
            </w:r>
          </w:p>
        </w:tc>
        <w:tc>
          <w:tcPr>
            <w:tcW w:w="520" w:type="dxa"/>
            <w:vAlign w:val="bottom"/>
            <w:gridSpan w:val="3"/>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(36,596)</w:t>
            </w:r>
          </w:p>
        </w:tc>
        <w:tc>
          <w:tcPr>
            <w:tcW w:w="10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28,698</w:t>
            </w: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65,679</w:t>
            </w:r>
          </w:p>
        </w:tc>
        <w:tc>
          <w:tcPr>
            <w:tcW w:w="460" w:type="dxa"/>
            <w:vAlign w:val="bottom"/>
            <w:gridSpan w:val="3"/>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(32,782)</w:t>
            </w:r>
          </w:p>
        </w:tc>
        <w:tc>
          <w:tcPr>
            <w:tcW w:w="12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32,897</w:t>
            </w:r>
          </w:p>
        </w:tc>
      </w:tr>
      <w:tr>
        <w:trPr>
          <w:trHeight w:val="20"/>
        </w:trPr>
        <w:tc>
          <w:tcPr>
            <w:tcW w:w="4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3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Indefinite-lived intangible assets:</w:t>
            </w:r>
          </w:p>
        </w:tc>
        <w:tc>
          <w:tcPr>
            <w:tcW w:w="5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243</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254</w:t>
            </w:r>
          </w:p>
        </w:tc>
      </w:tr>
      <w:tr>
        <w:trPr>
          <w:trHeight w:val="196"/>
        </w:trPr>
        <w:tc>
          <w:tcPr>
            <w:tcW w:w="3040" w:type="dxa"/>
            <w:vAlign w:val="bottom"/>
            <w:gridSpan w:val="3"/>
          </w:tcPr>
          <w:p>
            <w:pPr>
              <w:spacing w:after="0"/>
              <w:rPr>
                <w:sz w:val="20"/>
                <w:szCs w:val="20"/>
                <w:color w:val="auto"/>
              </w:rPr>
            </w:pPr>
            <w:r>
              <w:rPr>
                <w:rFonts w:ascii="Arial" w:cs="Arial" w:eastAsia="Arial" w:hAnsi="Arial"/>
                <w:sz w:val="16"/>
                <w:szCs w:val="16"/>
                <w:color w:val="auto"/>
              </w:rPr>
              <w:t>Total intangible assets</w:t>
            </w: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28,941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33,151</w:t>
            </w:r>
          </w:p>
        </w:tc>
      </w:tr>
      <w:tr>
        <w:trPr>
          <w:trHeight w:val="20"/>
        </w:trPr>
        <w:tc>
          <w:tcPr>
            <w:tcW w:w="4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 Weighted average life in years as of September 30, 2021</w:t>
      </w:r>
    </w:p>
    <w:p>
      <w:pPr>
        <w:spacing w:after="0" w:line="221" w:lineRule="exact"/>
        <w:rPr>
          <w:sz w:val="20"/>
          <w:szCs w:val="20"/>
          <w:color w:val="auto"/>
        </w:rPr>
      </w:pPr>
    </w:p>
    <w:p>
      <w:pPr>
        <w:jc w:val="both"/>
        <w:ind w:left="160" w:right="80" w:firstLine="288"/>
        <w:spacing w:after="0" w:line="278" w:lineRule="auto"/>
        <w:rPr>
          <w:sz w:val="20"/>
          <w:szCs w:val="20"/>
          <w:color w:val="auto"/>
        </w:rPr>
      </w:pPr>
      <w:r>
        <w:rPr>
          <w:rFonts w:ascii="Arial" w:cs="Arial" w:eastAsia="Arial" w:hAnsi="Arial"/>
          <w:sz w:val="16"/>
          <w:szCs w:val="16"/>
          <w:color w:val="auto"/>
        </w:rPr>
        <w:t>Intangible asset amortization expense was $1.5 million and $1.4 million for the three months ended September 30, 2021 and 2020, respectively, and was $4.4 million and $4.3 million for the nine months ended September 30, 2021 and 2020, respectively. Estimated amortization expense of existing amortizable intangible assets for each of the five succeeding years and thereafter as of September 30, 2021, is as follows:</w:t>
      </w:r>
    </w:p>
    <w:p>
      <w:pPr>
        <w:spacing w:after="0" w:line="167" w:lineRule="exact"/>
        <w:rPr>
          <w:sz w:val="20"/>
          <w:szCs w:val="20"/>
          <w:color w:val="auto"/>
        </w:rPr>
      </w:pPr>
    </w:p>
    <w:tbl>
      <w:tblPr>
        <w:tblLayout w:type="fixed"/>
        <w:tblInd w:w="400" w:type="dxa"/>
        <w:tblCellMar>
          <w:top w:w="0" w:type="dxa"/>
          <w:left w:w="0" w:type="dxa"/>
          <w:bottom w:w="0" w:type="dxa"/>
          <w:right w:w="0" w:type="dxa"/>
        </w:tblCellMar>
      </w:tblPr>
      <w:tr>
        <w:trPr>
          <w:trHeight w:val="203"/>
        </w:trPr>
        <w:tc>
          <w:tcPr>
            <w:tcW w:w="3500" w:type="dxa"/>
            <w:vAlign w:val="bottom"/>
          </w:tcPr>
          <w:p>
            <w:pPr>
              <w:spacing w:after="0"/>
              <w:rPr>
                <w:sz w:val="17"/>
                <w:szCs w:val="17"/>
                <w:color w:val="auto"/>
              </w:rPr>
            </w:pPr>
          </w:p>
        </w:tc>
        <w:tc>
          <w:tcPr>
            <w:tcW w:w="980" w:type="dxa"/>
            <w:vAlign w:val="bottom"/>
            <w:gridSpan w:val="2"/>
          </w:tcPr>
          <w:p>
            <w:pPr>
              <w:spacing w:after="0"/>
              <w:rPr>
                <w:sz w:val="20"/>
                <w:szCs w:val="20"/>
                <w:color w:val="auto"/>
              </w:rPr>
            </w:pPr>
            <w:r>
              <w:rPr>
                <w:rFonts w:ascii="Arial" w:cs="Arial" w:eastAsia="Arial" w:hAnsi="Arial"/>
                <w:sz w:val="16"/>
                <w:szCs w:val="16"/>
                <w:b w:val="1"/>
                <w:bCs w:val="1"/>
                <w:color w:val="auto"/>
                <w:w w:val="98"/>
              </w:rPr>
              <w:t>Amortization</w:t>
            </w:r>
          </w:p>
        </w:tc>
      </w:tr>
      <w:tr>
        <w:trPr>
          <w:trHeight w:val="213"/>
        </w:trPr>
        <w:tc>
          <w:tcPr>
            <w:tcW w:w="3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Year Ending December 31,</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1"/>
              </w:rPr>
              <w:t>Expense</w:t>
            </w:r>
          </w:p>
        </w:tc>
      </w:tr>
      <w:tr>
        <w:trPr>
          <w:trHeight w:val="199"/>
        </w:trPr>
        <w:tc>
          <w:tcPr>
            <w:tcW w:w="350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color w:val="auto"/>
                <w:w w:val="92"/>
              </w:rPr>
              <w:t>(in thousands)</w:t>
            </w:r>
          </w:p>
        </w:tc>
      </w:tr>
      <w:tr>
        <w:trPr>
          <w:trHeight w:val="203"/>
        </w:trPr>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2021 (remainder of year)</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1,456</w:t>
            </w:r>
          </w:p>
        </w:tc>
      </w:tr>
      <w:tr>
        <w:trPr>
          <w:trHeight w:val="203"/>
        </w:trPr>
        <w:tc>
          <w:tcPr>
            <w:tcW w:w="3500" w:type="dxa"/>
            <w:vAlign w:val="bottom"/>
          </w:tcPr>
          <w:p>
            <w:pPr>
              <w:spacing w:after="0"/>
              <w:rPr>
                <w:sz w:val="20"/>
                <w:szCs w:val="20"/>
                <w:color w:val="auto"/>
              </w:rPr>
            </w:pPr>
            <w:r>
              <w:rPr>
                <w:rFonts w:ascii="Arial" w:cs="Arial" w:eastAsia="Arial" w:hAnsi="Arial"/>
                <w:sz w:val="16"/>
                <w:szCs w:val="16"/>
                <w:color w:val="auto"/>
              </w:rPr>
              <w:t>2022</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5,791</w:t>
            </w:r>
          </w:p>
        </w:tc>
      </w:tr>
      <w:tr>
        <w:trPr>
          <w:trHeight w:val="203"/>
        </w:trPr>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2023</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5,684</w:t>
            </w:r>
          </w:p>
        </w:tc>
      </w:tr>
      <w:tr>
        <w:trPr>
          <w:trHeight w:val="203"/>
        </w:trPr>
        <w:tc>
          <w:tcPr>
            <w:tcW w:w="3500" w:type="dxa"/>
            <w:vAlign w:val="bottom"/>
          </w:tcPr>
          <w:p>
            <w:pPr>
              <w:spacing w:after="0"/>
              <w:rPr>
                <w:sz w:val="20"/>
                <w:szCs w:val="20"/>
                <w:color w:val="auto"/>
              </w:rPr>
            </w:pPr>
            <w:r>
              <w:rPr>
                <w:rFonts w:ascii="Arial" w:cs="Arial" w:eastAsia="Arial" w:hAnsi="Arial"/>
                <w:sz w:val="16"/>
                <w:szCs w:val="16"/>
                <w:color w:val="auto"/>
              </w:rPr>
              <w:t>2024</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5,379</w:t>
            </w:r>
          </w:p>
        </w:tc>
      </w:tr>
      <w:tr>
        <w:trPr>
          <w:trHeight w:val="203"/>
        </w:trPr>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2025</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4,271</w:t>
            </w:r>
          </w:p>
        </w:tc>
      </w:tr>
      <w:tr>
        <w:trPr>
          <w:trHeight w:val="203"/>
        </w:trPr>
        <w:tc>
          <w:tcPr>
            <w:tcW w:w="3500" w:type="dxa"/>
            <w:vAlign w:val="bottom"/>
          </w:tcPr>
          <w:p>
            <w:pPr>
              <w:spacing w:after="0"/>
              <w:rPr>
                <w:sz w:val="20"/>
                <w:szCs w:val="20"/>
                <w:color w:val="auto"/>
              </w:rPr>
            </w:pPr>
            <w:r>
              <w:rPr>
                <w:rFonts w:ascii="Arial" w:cs="Arial" w:eastAsia="Arial" w:hAnsi="Arial"/>
                <w:sz w:val="16"/>
                <w:szCs w:val="16"/>
                <w:color w:val="auto"/>
              </w:rPr>
              <w:t>Thereafter</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6,117</w:t>
            </w:r>
          </w:p>
        </w:tc>
      </w:tr>
      <w:tr>
        <w:trPr>
          <w:trHeight w:val="236"/>
        </w:trPr>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28,698</w:t>
            </w:r>
          </w:p>
        </w:tc>
      </w:tr>
    </w:tbl>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Balance Sheet Information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tables provide details of selected balance sheet items as of the periods indicated:</w:t>
      </w:r>
    </w:p>
    <w:p>
      <w:pPr>
        <w:spacing w:after="0" w:line="217" w:lineRule="exact"/>
        <w:rPr>
          <w:sz w:val="20"/>
          <w:szCs w:val="20"/>
          <w:color w:val="auto"/>
        </w:rPr>
      </w:pPr>
    </w:p>
    <w:tbl>
      <w:tblPr>
        <w:tblLayout w:type="fixed"/>
        <w:tblInd w:w="400" w:type="dxa"/>
        <w:tblCellMar>
          <w:top w:w="0" w:type="dxa"/>
          <w:left w:w="0" w:type="dxa"/>
          <w:bottom w:w="0" w:type="dxa"/>
          <w:right w:w="0" w:type="dxa"/>
        </w:tblCellMar>
      </w:tblPr>
      <w:tr>
        <w:trPr>
          <w:trHeight w:val="203"/>
        </w:trPr>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September</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3500" w:type="dxa"/>
            <w:vAlign w:val="bottom"/>
          </w:tcPr>
          <w:p>
            <w:pPr>
              <w:spacing w:after="0"/>
              <w:rPr>
                <w:sz w:val="20"/>
                <w:szCs w:val="20"/>
                <w:color w:val="auto"/>
              </w:rPr>
            </w:pPr>
            <w:r>
              <w:rPr>
                <w:rFonts w:ascii="Arial" w:cs="Arial" w:eastAsia="Arial" w:hAnsi="Arial"/>
                <w:sz w:val="16"/>
                <w:szCs w:val="16"/>
                <w:i w:val="1"/>
                <w:iCs w:val="1"/>
                <w:color w:val="auto"/>
              </w:rPr>
              <w:t>Inventories:</w:t>
            </w:r>
          </w:p>
        </w:tc>
        <w:tc>
          <w:tcPr>
            <w:tcW w:w="120" w:type="dxa"/>
            <w:vAlign w:val="bottom"/>
          </w:tcPr>
          <w:p>
            <w:pPr>
              <w:spacing w:after="0"/>
              <w:rPr>
                <w:sz w:val="17"/>
                <w:szCs w:val="17"/>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30,</w:t>
            </w:r>
          </w:p>
        </w:tc>
        <w:tc>
          <w:tcPr>
            <w:tcW w:w="40" w:type="dxa"/>
            <w:vAlign w:val="bottom"/>
          </w:tcPr>
          <w:p>
            <w:pPr>
              <w:spacing w:after="0"/>
              <w:rPr>
                <w:sz w:val="17"/>
                <w:szCs w:val="17"/>
                <w:color w:val="auto"/>
              </w:rPr>
            </w:pPr>
          </w:p>
        </w:tc>
        <w:tc>
          <w:tcPr>
            <w:tcW w:w="1040" w:type="dxa"/>
            <w:vAlign w:val="bottom"/>
            <w:gridSpan w:val="2"/>
          </w:tcPr>
          <w:p>
            <w:pPr>
              <w:ind w:left="20"/>
              <w:spacing w:after="0"/>
              <w:rPr>
                <w:sz w:val="20"/>
                <w:szCs w:val="20"/>
                <w:color w:val="auto"/>
              </w:rPr>
            </w:pPr>
            <w:r>
              <w:rPr>
                <w:rFonts w:ascii="Arial" w:cs="Arial" w:eastAsia="Arial" w:hAnsi="Arial"/>
                <w:sz w:val="16"/>
                <w:szCs w:val="16"/>
                <w:b w:val="1"/>
                <w:bCs w:val="1"/>
                <w:color w:val="auto"/>
                <w:w w:val="96"/>
              </w:rPr>
              <w:t>December 31,</w:t>
            </w:r>
          </w:p>
        </w:tc>
      </w:tr>
      <w:tr>
        <w:trPr>
          <w:trHeight w:val="216"/>
        </w:trPr>
        <w:tc>
          <w:tcPr>
            <w:tcW w:w="3500" w:type="dxa"/>
            <w:vAlign w:val="bottom"/>
          </w:tcPr>
          <w:p>
            <w:pPr>
              <w:spacing w:after="0"/>
              <w:rPr>
                <w:sz w:val="20"/>
                <w:szCs w:val="20"/>
                <w:color w:val="auto"/>
              </w:rPr>
            </w:pPr>
            <w:r>
              <w:rPr>
                <w:rFonts w:ascii="Arial" w:cs="Arial" w:eastAsia="Arial" w:hAnsi="Arial"/>
                <w:sz w:val="16"/>
                <w:szCs w:val="16"/>
                <w:color w:val="auto"/>
              </w:rPr>
              <w:t>(in thousands)</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r>
      <w:tr>
        <w:trPr>
          <w:trHeight w:val="196"/>
        </w:trPr>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Finished goods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5,510</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4,938</w:t>
            </w:r>
          </w:p>
        </w:tc>
      </w:tr>
      <w:tr>
        <w:trPr>
          <w:trHeight w:val="203"/>
        </w:trPr>
        <w:tc>
          <w:tcPr>
            <w:tcW w:w="3500" w:type="dxa"/>
            <w:vAlign w:val="bottom"/>
          </w:tcPr>
          <w:p>
            <w:pPr>
              <w:spacing w:after="0"/>
              <w:rPr>
                <w:sz w:val="20"/>
                <w:szCs w:val="20"/>
                <w:color w:val="auto"/>
              </w:rPr>
            </w:pPr>
            <w:r>
              <w:rPr>
                <w:rFonts w:ascii="Arial" w:cs="Arial" w:eastAsia="Arial" w:hAnsi="Arial"/>
                <w:sz w:val="16"/>
                <w:szCs w:val="16"/>
                <w:color w:val="auto"/>
              </w:rPr>
              <w:t>Work in process</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3,506</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3,513</w:t>
            </w:r>
          </w:p>
        </w:tc>
      </w:tr>
      <w:tr>
        <w:trPr>
          <w:trHeight w:val="203"/>
        </w:trPr>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Raw materials</w:t>
            </w: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16,962</w:t>
            </w:r>
          </w:p>
        </w:tc>
        <w:tc>
          <w:tcPr>
            <w:tcW w:w="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13,811</w:t>
            </w:r>
          </w:p>
        </w:tc>
      </w:tr>
      <w:tr>
        <w:trPr>
          <w:trHeight w:val="196"/>
        </w:trPr>
        <w:tc>
          <w:tcPr>
            <w:tcW w:w="3500" w:type="dxa"/>
            <w:vAlign w:val="bottom"/>
          </w:tcPr>
          <w:p>
            <w:pPr>
              <w:spacing w:after="0"/>
              <w:rPr>
                <w:sz w:val="20"/>
                <w:szCs w:val="20"/>
                <w:color w:val="auto"/>
              </w:rPr>
            </w:pPr>
            <w:r>
              <w:rPr>
                <w:rFonts w:ascii="Arial" w:cs="Arial" w:eastAsia="Arial" w:hAnsi="Arial"/>
                <w:sz w:val="16"/>
                <w:szCs w:val="16"/>
                <w:color w:val="auto"/>
              </w:rPr>
              <w:t>Total</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25,978</w:t>
            </w:r>
          </w:p>
        </w:tc>
        <w:tc>
          <w:tcPr>
            <w:tcW w:w="26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22,262</w:t>
            </w:r>
          </w:p>
        </w:tc>
      </w:tr>
      <w:tr>
        <w:trPr>
          <w:trHeight w:val="20"/>
        </w:trPr>
        <w:tc>
          <w:tcPr>
            <w:tcW w:w="3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89" w:lineRule="exact"/>
        <w:rPr>
          <w:sz w:val="20"/>
          <w:szCs w:val="20"/>
          <w:color w:val="auto"/>
        </w:rPr>
      </w:pPr>
    </w:p>
    <w:tbl>
      <w:tblPr>
        <w:tblLayout w:type="fixed"/>
        <w:tblInd w:w="400" w:type="dxa"/>
        <w:tblCellMar>
          <w:top w:w="0" w:type="dxa"/>
          <w:left w:w="0" w:type="dxa"/>
          <w:bottom w:w="0" w:type="dxa"/>
          <w:right w:w="0" w:type="dxa"/>
        </w:tblCellMar>
      </w:tblPr>
      <w:tr>
        <w:trPr>
          <w:trHeight w:val="203"/>
        </w:trPr>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September</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3500" w:type="dxa"/>
            <w:vAlign w:val="bottom"/>
          </w:tcPr>
          <w:p>
            <w:pPr>
              <w:spacing w:after="0"/>
              <w:rPr>
                <w:sz w:val="20"/>
                <w:szCs w:val="20"/>
                <w:color w:val="auto"/>
              </w:rPr>
            </w:pPr>
            <w:r>
              <w:rPr>
                <w:rFonts w:ascii="Arial" w:cs="Arial" w:eastAsia="Arial" w:hAnsi="Arial"/>
                <w:sz w:val="16"/>
                <w:szCs w:val="16"/>
                <w:i w:val="1"/>
                <w:iCs w:val="1"/>
                <w:color w:val="auto"/>
              </w:rPr>
              <w:t>Other Current Liabilities:</w:t>
            </w:r>
          </w:p>
        </w:tc>
        <w:tc>
          <w:tcPr>
            <w:tcW w:w="120" w:type="dxa"/>
            <w:vAlign w:val="bottom"/>
          </w:tcPr>
          <w:p>
            <w:pPr>
              <w:spacing w:after="0"/>
              <w:rPr>
                <w:sz w:val="17"/>
                <w:szCs w:val="17"/>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30,</w:t>
            </w:r>
          </w:p>
        </w:tc>
        <w:tc>
          <w:tcPr>
            <w:tcW w:w="40" w:type="dxa"/>
            <w:vAlign w:val="bottom"/>
          </w:tcPr>
          <w:p>
            <w:pPr>
              <w:spacing w:after="0"/>
              <w:rPr>
                <w:sz w:val="17"/>
                <w:szCs w:val="17"/>
                <w:color w:val="auto"/>
              </w:rPr>
            </w:pPr>
          </w:p>
        </w:tc>
        <w:tc>
          <w:tcPr>
            <w:tcW w:w="1040" w:type="dxa"/>
            <w:vAlign w:val="bottom"/>
            <w:gridSpan w:val="2"/>
          </w:tcPr>
          <w:p>
            <w:pPr>
              <w:ind w:left="20"/>
              <w:spacing w:after="0"/>
              <w:rPr>
                <w:sz w:val="20"/>
                <w:szCs w:val="20"/>
                <w:color w:val="auto"/>
              </w:rPr>
            </w:pPr>
            <w:r>
              <w:rPr>
                <w:rFonts w:ascii="Arial" w:cs="Arial" w:eastAsia="Arial" w:hAnsi="Arial"/>
                <w:sz w:val="16"/>
                <w:szCs w:val="16"/>
                <w:b w:val="1"/>
                <w:bCs w:val="1"/>
                <w:color w:val="auto"/>
                <w:w w:val="96"/>
              </w:rPr>
              <w:t>December 31,</w:t>
            </w:r>
          </w:p>
        </w:tc>
      </w:tr>
      <w:tr>
        <w:trPr>
          <w:trHeight w:val="216"/>
        </w:trPr>
        <w:tc>
          <w:tcPr>
            <w:tcW w:w="3500" w:type="dxa"/>
            <w:vAlign w:val="bottom"/>
          </w:tcPr>
          <w:p>
            <w:pPr>
              <w:spacing w:after="0"/>
              <w:rPr>
                <w:sz w:val="20"/>
                <w:szCs w:val="20"/>
                <w:color w:val="auto"/>
              </w:rPr>
            </w:pPr>
            <w:r>
              <w:rPr>
                <w:rFonts w:ascii="Arial" w:cs="Arial" w:eastAsia="Arial" w:hAnsi="Arial"/>
                <w:sz w:val="16"/>
                <w:szCs w:val="16"/>
                <w:color w:val="auto"/>
              </w:rPr>
              <w:t>(in thousands)</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r>
      <w:tr>
        <w:trPr>
          <w:trHeight w:val="196"/>
        </w:trPr>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Compensation</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3,992</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3,715</w:t>
            </w:r>
          </w:p>
        </w:tc>
      </w:tr>
      <w:tr>
        <w:trPr>
          <w:trHeight w:val="203"/>
        </w:trPr>
        <w:tc>
          <w:tcPr>
            <w:tcW w:w="3500" w:type="dxa"/>
            <w:vAlign w:val="bottom"/>
          </w:tcPr>
          <w:p>
            <w:pPr>
              <w:spacing w:after="0"/>
              <w:rPr>
                <w:sz w:val="20"/>
                <w:szCs w:val="20"/>
                <w:color w:val="auto"/>
              </w:rPr>
            </w:pPr>
            <w:r>
              <w:rPr>
                <w:rFonts w:ascii="Arial" w:cs="Arial" w:eastAsia="Arial" w:hAnsi="Arial"/>
                <w:sz w:val="16"/>
                <w:szCs w:val="16"/>
                <w:color w:val="auto"/>
              </w:rPr>
              <w:t>Professional fees</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793</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432</w:t>
            </w:r>
          </w:p>
        </w:tc>
      </w:tr>
      <w:tr>
        <w:trPr>
          <w:trHeight w:val="203"/>
        </w:trPr>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Warranty costs</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r>
      <w:tr>
        <w:trPr>
          <w:trHeight w:val="203"/>
        </w:trPr>
        <w:tc>
          <w:tcPr>
            <w:tcW w:w="3500" w:type="dxa"/>
            <w:vAlign w:val="bottom"/>
          </w:tcPr>
          <w:p>
            <w:pPr>
              <w:spacing w:after="0"/>
              <w:rPr>
                <w:sz w:val="20"/>
                <w:szCs w:val="20"/>
                <w:color w:val="auto"/>
              </w:rPr>
            </w:pPr>
            <w:r>
              <w:rPr>
                <w:rFonts w:ascii="Arial" w:cs="Arial" w:eastAsia="Arial" w:hAnsi="Arial"/>
                <w:sz w:val="16"/>
                <w:szCs w:val="16"/>
                <w:color w:val="auto"/>
              </w:rPr>
              <w:t>Customer related costs</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1,992</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1,093</w:t>
            </w:r>
          </w:p>
        </w:tc>
      </w:tr>
      <w:tr>
        <w:trPr>
          <w:trHeight w:val="203"/>
        </w:trPr>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Interest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03"/>
        </w:trPr>
        <w:tc>
          <w:tcPr>
            <w:tcW w:w="3500" w:type="dxa"/>
            <w:vAlign w:val="bottom"/>
          </w:tcPr>
          <w:p>
            <w:pPr>
              <w:spacing w:after="0"/>
              <w:rPr>
                <w:sz w:val="20"/>
                <w:szCs w:val="20"/>
                <w:color w:val="auto"/>
              </w:rPr>
            </w:pPr>
            <w:r>
              <w:rPr>
                <w:rFonts w:ascii="Arial" w:cs="Arial" w:eastAsia="Arial" w:hAnsi="Arial"/>
                <w:sz w:val="16"/>
                <w:szCs w:val="16"/>
                <w:color w:val="auto"/>
              </w:rPr>
              <w:t>Accrued income taxes</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246</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286</w:t>
            </w:r>
          </w:p>
        </w:tc>
      </w:tr>
      <w:tr>
        <w:trPr>
          <w:trHeight w:val="203"/>
        </w:trPr>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2,050</w:t>
            </w:r>
          </w:p>
        </w:tc>
        <w:tc>
          <w:tcPr>
            <w:tcW w:w="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1,721</w:t>
            </w:r>
          </w:p>
        </w:tc>
      </w:tr>
      <w:tr>
        <w:trPr>
          <w:trHeight w:val="196"/>
        </w:trPr>
        <w:tc>
          <w:tcPr>
            <w:tcW w:w="3500" w:type="dxa"/>
            <w:vAlign w:val="bottom"/>
          </w:tcPr>
          <w:p>
            <w:pPr>
              <w:spacing w:after="0"/>
              <w:rPr>
                <w:sz w:val="20"/>
                <w:szCs w:val="20"/>
                <w:color w:val="auto"/>
              </w:rPr>
            </w:pPr>
            <w:r>
              <w:rPr>
                <w:rFonts w:ascii="Arial" w:cs="Arial" w:eastAsia="Arial" w:hAnsi="Arial"/>
                <w:sz w:val="16"/>
                <w:szCs w:val="16"/>
                <w:color w:val="auto"/>
              </w:rPr>
              <w:t>Total</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9,670</w:t>
            </w:r>
          </w:p>
        </w:tc>
        <w:tc>
          <w:tcPr>
            <w:tcW w:w="26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7,478</w:t>
            </w:r>
          </w:p>
        </w:tc>
      </w:tr>
      <w:tr>
        <w:trPr>
          <w:trHeight w:val="20"/>
        </w:trPr>
        <w:tc>
          <w:tcPr>
            <w:tcW w:w="3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Restructuring and Other Exit Costs</w:t>
      </w:r>
    </w:p>
    <w:p>
      <w:pPr>
        <w:spacing w:after="0" w:line="225" w:lineRule="exact"/>
        <w:rPr>
          <w:sz w:val="20"/>
          <w:szCs w:val="20"/>
          <w:color w:val="auto"/>
        </w:rPr>
      </w:pPr>
    </w:p>
    <w:p>
      <w:pPr>
        <w:ind w:left="160" w:right="20" w:firstLine="288"/>
        <w:spacing w:after="0" w:line="278" w:lineRule="auto"/>
        <w:rPr>
          <w:sz w:val="20"/>
          <w:szCs w:val="20"/>
          <w:color w:val="auto"/>
        </w:rPr>
      </w:pPr>
      <w:r>
        <w:rPr>
          <w:rFonts w:ascii="Arial" w:cs="Arial" w:eastAsia="Arial" w:hAnsi="Arial"/>
          <w:sz w:val="16"/>
          <w:szCs w:val="16"/>
          <w:color w:val="auto"/>
        </w:rPr>
        <w:t>On an ongoing basis, the Company reviews the global economy, the healthcare industry, and the markets in which it competes to identify operational efficiencies, enhance commercial capabilities, and align its cost base and infrastructure with customer needs and its strategic plans. In order to realize these opportunities, the Company undertakes restructuring-type activities from time to time to transform its business.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changes in the restructuring liabilities for the nine months ended September 30, 2021:</w:t>
      </w:r>
    </w:p>
    <w:p>
      <w:pPr>
        <w:spacing w:after="0" w:line="217"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3460" w:type="dxa"/>
            <w:vAlign w:val="bottom"/>
          </w:tcPr>
          <w:p>
            <w:pPr>
              <w:spacing w:after="0"/>
              <w:rPr>
                <w:sz w:val="20"/>
                <w:szCs w:val="20"/>
                <w:color w:val="auto"/>
              </w:rPr>
            </w:pPr>
            <w:r>
              <w:rPr>
                <w:rFonts w:ascii="Arial" w:cs="Arial" w:eastAsia="Arial" w:hAnsi="Arial"/>
                <w:sz w:val="16"/>
                <w:szCs w:val="16"/>
                <w:color w:val="auto"/>
              </w:rPr>
              <w:t>(in thousands)</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w w:val="99"/>
              </w:rPr>
              <w:t>Severance</w:t>
            </w:r>
          </w:p>
        </w:tc>
        <w:tc>
          <w:tcPr>
            <w:tcW w:w="10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Other</w:t>
            </w:r>
          </w:p>
        </w:tc>
        <w:tc>
          <w:tcPr>
            <w:tcW w:w="4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Total</w:t>
            </w:r>
          </w:p>
        </w:tc>
      </w:tr>
      <w:tr>
        <w:trPr>
          <w:trHeight w:val="196"/>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Balance at December 31, 2020</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right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270</w:t>
            </w:r>
          </w:p>
        </w:tc>
        <w:tc>
          <w:tcPr>
            <w:tcW w:w="1000" w:type="dxa"/>
            <w:vAlign w:val="bottom"/>
            <w:shd w:val="clear" w:color="auto" w:fill="CCEEFF"/>
          </w:tcPr>
          <w:p>
            <w:pPr>
              <w:jc w:val="right"/>
              <w:ind w:right="842"/>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w:t>
            </w:r>
          </w:p>
        </w:tc>
      </w:tr>
      <w:tr>
        <w:trPr>
          <w:trHeight w:val="203"/>
        </w:trPr>
        <w:tc>
          <w:tcPr>
            <w:tcW w:w="3460" w:type="dxa"/>
            <w:vAlign w:val="bottom"/>
          </w:tcPr>
          <w:p>
            <w:pPr>
              <w:spacing w:after="0"/>
              <w:rPr>
                <w:sz w:val="20"/>
                <w:szCs w:val="20"/>
                <w:color w:val="auto"/>
              </w:rPr>
            </w:pPr>
            <w:r>
              <w:rPr>
                <w:rFonts w:ascii="Arial" w:cs="Arial" w:eastAsia="Arial" w:hAnsi="Arial"/>
                <w:sz w:val="16"/>
                <w:szCs w:val="16"/>
                <w:color w:val="auto"/>
              </w:rPr>
              <w:t>Restructuring and other exit costs</w:t>
            </w:r>
          </w:p>
        </w:tc>
        <w:tc>
          <w:tcPr>
            <w:tcW w:w="220" w:type="dxa"/>
            <w:vAlign w:val="bottom"/>
          </w:tcPr>
          <w:p>
            <w:pPr>
              <w:spacing w:after="0"/>
              <w:rPr>
                <w:sz w:val="17"/>
                <w:szCs w:val="17"/>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1,160</w:t>
            </w:r>
          </w:p>
        </w:tc>
        <w:tc>
          <w:tcPr>
            <w:tcW w:w="10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116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1,276</w:t>
            </w:r>
          </w:p>
        </w:tc>
      </w:tr>
      <w:tr>
        <w:trPr>
          <w:trHeight w:val="203"/>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Non-cash charges</w:t>
            </w:r>
          </w:p>
        </w:tc>
        <w:tc>
          <w:tcPr>
            <w:tcW w:w="220" w:type="dxa"/>
            <w:vAlign w:val="bottom"/>
            <w:shd w:val="clear" w:color="auto" w:fill="CCEEFF"/>
          </w:tcPr>
          <w:p>
            <w:pPr>
              <w:spacing w:after="0"/>
              <w:rPr>
                <w:sz w:val="17"/>
                <w:szCs w:val="17"/>
                <w:color w:val="auto"/>
              </w:rPr>
            </w:pPr>
          </w:p>
        </w:tc>
        <w:tc>
          <w:tcPr>
            <w:tcW w:w="1300" w:type="dxa"/>
            <w:vAlign w:val="bottom"/>
            <w:tcBorders>
              <w:right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03"/>
        </w:trPr>
        <w:tc>
          <w:tcPr>
            <w:tcW w:w="3460" w:type="dxa"/>
            <w:vAlign w:val="bottom"/>
          </w:tcPr>
          <w:p>
            <w:pPr>
              <w:spacing w:after="0"/>
              <w:rPr>
                <w:sz w:val="20"/>
                <w:szCs w:val="20"/>
                <w:color w:val="auto"/>
              </w:rPr>
            </w:pPr>
            <w:r>
              <w:rPr>
                <w:rFonts w:ascii="Arial" w:cs="Arial" w:eastAsia="Arial" w:hAnsi="Arial"/>
                <w:sz w:val="16"/>
                <w:szCs w:val="16"/>
                <w:color w:val="auto"/>
              </w:rPr>
              <w:t>Cash payments</w:t>
            </w: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(1,319)</w:t>
            </w:r>
          </w:p>
        </w:tc>
        <w:tc>
          <w:tcPr>
            <w:tcW w:w="10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(1,412)</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Balance at September 30, 2021</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right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111</w:t>
            </w:r>
          </w:p>
        </w:tc>
        <w:tc>
          <w:tcPr>
            <w:tcW w:w="1000" w:type="dxa"/>
            <w:vAlign w:val="bottom"/>
            <w:shd w:val="clear" w:color="auto" w:fill="CCEEFF"/>
          </w:tcPr>
          <w:p>
            <w:pPr>
              <w:jc w:val="right"/>
              <w:ind w:right="842"/>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r>
      <w:tr>
        <w:trPr>
          <w:trHeight w:val="20"/>
        </w:trPr>
        <w:tc>
          <w:tcPr>
            <w:tcW w:w="34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r>
    </w:tbl>
    <w:p>
      <w:pPr>
        <w:spacing w:after="0" w:line="193" w:lineRule="exact"/>
        <w:rPr>
          <w:sz w:val="20"/>
          <w:szCs w:val="20"/>
          <w:color w:val="auto"/>
        </w:rPr>
      </w:pPr>
    </w:p>
    <w:p>
      <w:pPr>
        <w:ind w:left="160" w:firstLine="288"/>
        <w:spacing w:after="0" w:line="273" w:lineRule="auto"/>
        <w:rPr>
          <w:sz w:val="20"/>
          <w:szCs w:val="20"/>
          <w:color w:val="auto"/>
        </w:rPr>
      </w:pPr>
      <w:r>
        <w:rPr>
          <w:rFonts w:ascii="Arial" w:cs="Arial" w:eastAsia="Arial" w:hAnsi="Arial"/>
          <w:sz w:val="16"/>
          <w:szCs w:val="16"/>
          <w:color w:val="auto"/>
        </w:rPr>
        <w:t>The restructuring liability has been included in other current liabilities in the consolidated balance sheet and is payable within the next twelve months. Restructuring costs were $0.1 million and $0.3 million for the three months ended September 30, 2021 and 2020, respectively. Restructuring costs were $1.3 million and $1.9 million for the nine months ended September 30, 2021 and 2020, respectively. Substantially all of these restructuring costs have been included as a component of general and administrative expenses.</w:t>
      </w:r>
    </w:p>
    <w:p>
      <w:pPr>
        <w:spacing w:after="0" w:line="200" w:lineRule="exact"/>
        <w:rPr>
          <w:sz w:val="20"/>
          <w:szCs w:val="20"/>
          <w:color w:val="auto"/>
        </w:rPr>
      </w:pPr>
    </w:p>
    <w:p>
      <w:pPr>
        <w:spacing w:after="0" w:line="214"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Related Party Transactions</w:t>
      </w:r>
    </w:p>
    <w:p>
      <w:pPr>
        <w:spacing w:after="0" w:line="225" w:lineRule="exact"/>
        <w:rPr>
          <w:sz w:val="20"/>
          <w:szCs w:val="20"/>
          <w:color w:val="auto"/>
        </w:rPr>
      </w:pPr>
    </w:p>
    <w:p>
      <w:pPr>
        <w:ind w:left="160" w:right="40" w:firstLine="288"/>
        <w:spacing w:after="0" w:line="273" w:lineRule="auto"/>
        <w:rPr>
          <w:sz w:val="20"/>
          <w:szCs w:val="20"/>
          <w:color w:val="auto"/>
        </w:rPr>
      </w:pPr>
      <w:r>
        <w:rPr>
          <w:rFonts w:ascii="Arial" w:cs="Arial" w:eastAsia="Arial" w:hAnsi="Arial"/>
          <w:sz w:val="16"/>
          <w:szCs w:val="16"/>
          <w:color w:val="auto"/>
        </w:rPr>
        <w:t>In connection with the 2014 acquisitions of Multi Channel Systems MCS GmbH (“MCS”), the Company entered into a facility lease agreement with the former principal owner of MCS who became an employee of the Company at the time of the acquisition and subsequently retired in 2021. The MCS agreement expires on December 31, 2024. Pursuant to this lease agreement, the Company made rent payments of $0.1 million for each of the three months ended September 30, 2021 and 2020, respectively, and $0.2 million for each of the nine months ended September 30, 2021 and 2020, respectively.</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Leases</w:t>
      </w:r>
    </w:p>
    <w:p>
      <w:pPr>
        <w:spacing w:after="0" w:line="225" w:lineRule="exact"/>
        <w:rPr>
          <w:sz w:val="20"/>
          <w:szCs w:val="20"/>
          <w:color w:val="auto"/>
        </w:rPr>
      </w:pPr>
    </w:p>
    <w:p>
      <w:pPr>
        <w:ind w:left="160" w:firstLine="288"/>
        <w:spacing w:after="0" w:line="293" w:lineRule="auto"/>
        <w:rPr>
          <w:sz w:val="20"/>
          <w:szCs w:val="20"/>
          <w:color w:val="auto"/>
        </w:rPr>
      </w:pPr>
      <w:r>
        <w:rPr>
          <w:rFonts w:ascii="Arial" w:cs="Arial" w:eastAsia="Arial" w:hAnsi="Arial"/>
          <w:sz w:val="16"/>
          <w:szCs w:val="16"/>
          <w:color w:val="auto"/>
        </w:rPr>
        <w:t>The Company has noncancelable operating leases for offices, manufacturing facilities, warehouse space, automobiles and equipment expiring at various dates through 2030.</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components of lease expense for the three and nine months ended September 30, 2021 and 2020, are as follows:</w:t>
      </w:r>
    </w:p>
    <w:p>
      <w:pPr>
        <w:spacing w:after="0" w:line="217" w:lineRule="exact"/>
        <w:rPr>
          <w:sz w:val="20"/>
          <w:szCs w:val="20"/>
          <w:color w:val="auto"/>
        </w:rPr>
      </w:pPr>
    </w:p>
    <w:tbl>
      <w:tblPr>
        <w:tblLayout w:type="fixed"/>
        <w:tblInd w:w="400" w:type="dxa"/>
        <w:tblCellMar>
          <w:top w:w="0" w:type="dxa"/>
          <w:left w:w="0" w:type="dxa"/>
          <w:bottom w:w="0" w:type="dxa"/>
          <w:right w:w="0" w:type="dxa"/>
        </w:tblCellMar>
      </w:tblPr>
      <w:tr>
        <w:trPr>
          <w:trHeight w:val="203"/>
        </w:trPr>
        <w:tc>
          <w:tcPr>
            <w:tcW w:w="2920" w:type="dxa"/>
            <w:vAlign w:val="bottom"/>
          </w:tcPr>
          <w:p>
            <w:pPr>
              <w:spacing w:after="0"/>
              <w:rPr>
                <w:sz w:val="17"/>
                <w:szCs w:val="17"/>
                <w:color w:val="auto"/>
              </w:rPr>
            </w:pPr>
          </w:p>
        </w:tc>
        <w:tc>
          <w:tcPr>
            <w:tcW w:w="2480" w:type="dxa"/>
            <w:vAlign w:val="bottom"/>
            <w:gridSpan w:val="5"/>
          </w:tcPr>
          <w:p>
            <w:pPr>
              <w:jc w:val="right"/>
              <w:ind w:right="59"/>
              <w:spacing w:after="0"/>
              <w:rPr>
                <w:sz w:val="20"/>
                <w:szCs w:val="20"/>
                <w:color w:val="auto"/>
              </w:rPr>
            </w:pPr>
            <w:r>
              <w:rPr>
                <w:rFonts w:ascii="Arial" w:cs="Arial" w:eastAsia="Arial" w:hAnsi="Arial"/>
                <w:sz w:val="16"/>
                <w:szCs w:val="16"/>
                <w:b w:val="1"/>
                <w:bCs w:val="1"/>
                <w:color w:val="auto"/>
                <w:w w:val="94"/>
              </w:rPr>
              <w:t>Three Months Ended September</w:t>
            </w:r>
          </w:p>
        </w:tc>
        <w:tc>
          <w:tcPr>
            <w:tcW w:w="60" w:type="dxa"/>
            <w:vAlign w:val="bottom"/>
          </w:tcPr>
          <w:p>
            <w:pPr>
              <w:spacing w:after="0"/>
              <w:rPr>
                <w:sz w:val="17"/>
                <w:szCs w:val="17"/>
                <w:color w:val="auto"/>
              </w:rPr>
            </w:pPr>
          </w:p>
        </w:tc>
        <w:tc>
          <w:tcPr>
            <w:tcW w:w="2400" w:type="dxa"/>
            <w:vAlign w:val="bottom"/>
            <w:gridSpan w:val="5"/>
          </w:tcPr>
          <w:p>
            <w:pPr>
              <w:jc w:val="right"/>
              <w:ind w:right="59"/>
              <w:spacing w:after="0"/>
              <w:rPr>
                <w:sz w:val="20"/>
                <w:szCs w:val="20"/>
                <w:color w:val="auto"/>
              </w:rPr>
            </w:pPr>
            <w:r>
              <w:rPr>
                <w:rFonts w:ascii="Arial" w:cs="Arial" w:eastAsia="Arial" w:hAnsi="Arial"/>
                <w:sz w:val="16"/>
                <w:szCs w:val="16"/>
                <w:b w:val="1"/>
                <w:bCs w:val="1"/>
                <w:color w:val="auto"/>
                <w:w w:val="94"/>
              </w:rPr>
              <w:t>Nine Months Ended September</w:t>
            </w:r>
          </w:p>
        </w:tc>
      </w:tr>
      <w:tr>
        <w:trPr>
          <w:trHeight w:val="210"/>
        </w:trPr>
        <w:tc>
          <w:tcPr>
            <w:tcW w:w="29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6"/>
                <w:szCs w:val="16"/>
                <w:b w:val="1"/>
                <w:bCs w:val="1"/>
                <w:color w:val="auto"/>
              </w:rPr>
              <w:t>30,</w:t>
            </w:r>
          </w:p>
        </w:tc>
        <w:tc>
          <w:tcPr>
            <w:tcW w:w="9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6"/>
                <w:szCs w:val="16"/>
                <w:b w:val="1"/>
                <w:bCs w:val="1"/>
                <w:color w:val="auto"/>
              </w:rPr>
              <w:t>30,</w:t>
            </w:r>
          </w:p>
        </w:tc>
        <w:tc>
          <w:tcPr>
            <w:tcW w:w="920" w:type="dxa"/>
            <w:vAlign w:val="bottom"/>
            <w:tcBorders>
              <w:bottom w:val="single" w:sz="8" w:color="auto"/>
            </w:tcBorders>
          </w:tcPr>
          <w:p>
            <w:pPr>
              <w:spacing w:after="0"/>
              <w:rPr>
                <w:sz w:val="18"/>
                <w:szCs w:val="18"/>
                <w:color w:val="auto"/>
              </w:rPr>
            </w:pPr>
          </w:p>
        </w:tc>
      </w:tr>
      <w:tr>
        <w:trPr>
          <w:trHeight w:val="202"/>
        </w:trPr>
        <w:tc>
          <w:tcPr>
            <w:tcW w:w="2920" w:type="dxa"/>
            <w:vAlign w:val="bottom"/>
          </w:tcPr>
          <w:p>
            <w:pPr>
              <w:spacing w:after="0"/>
              <w:rPr>
                <w:sz w:val="20"/>
                <w:szCs w:val="20"/>
                <w:color w:val="auto"/>
              </w:rPr>
            </w:pPr>
            <w:r>
              <w:rPr>
                <w:rFonts w:ascii="Arial" w:cs="Arial" w:eastAsia="Arial" w:hAnsi="Arial"/>
                <w:sz w:val="16"/>
                <w:szCs w:val="16"/>
                <w:color w:val="auto"/>
              </w:rPr>
              <w:t>(in thousands)</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r>
      <w:tr>
        <w:trPr>
          <w:trHeight w:val="196"/>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cost</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w:t>
            </w:r>
          </w:p>
        </w:tc>
        <w:tc>
          <w:tcPr>
            <w:tcW w:w="30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1,544</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1,647</w:t>
            </w:r>
          </w:p>
        </w:tc>
      </w:tr>
      <w:tr>
        <w:trPr>
          <w:trHeight w:val="203"/>
        </w:trPr>
        <w:tc>
          <w:tcPr>
            <w:tcW w:w="2920" w:type="dxa"/>
            <w:vAlign w:val="bottom"/>
          </w:tcPr>
          <w:p>
            <w:pPr>
              <w:spacing w:after="0"/>
              <w:rPr>
                <w:sz w:val="20"/>
                <w:szCs w:val="20"/>
                <w:color w:val="auto"/>
              </w:rPr>
            </w:pPr>
            <w:r>
              <w:rPr>
                <w:rFonts w:ascii="Arial" w:cs="Arial" w:eastAsia="Arial" w:hAnsi="Arial"/>
                <w:sz w:val="16"/>
                <w:szCs w:val="16"/>
                <w:color w:val="auto"/>
              </w:rPr>
              <w:t>Short term lease cost</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131</w:t>
            </w:r>
          </w:p>
        </w:tc>
      </w:tr>
      <w:tr>
        <w:trPr>
          <w:trHeight w:val="203"/>
        </w:trPr>
        <w:tc>
          <w:tcPr>
            <w:tcW w:w="2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Sublease income</w:t>
            </w:r>
          </w:p>
        </w:tc>
        <w:tc>
          <w:tcPr>
            <w:tcW w:w="2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w:t>
            </w:r>
          </w:p>
        </w:tc>
      </w:tr>
      <w:tr>
        <w:trPr>
          <w:trHeight w:val="196"/>
        </w:trPr>
        <w:tc>
          <w:tcPr>
            <w:tcW w:w="2920" w:type="dxa"/>
            <w:vAlign w:val="bottom"/>
          </w:tcPr>
          <w:p>
            <w:pPr>
              <w:spacing w:after="0"/>
              <w:rPr>
                <w:sz w:val="20"/>
                <w:szCs w:val="20"/>
                <w:color w:val="auto"/>
              </w:rPr>
            </w:pPr>
            <w:r>
              <w:rPr>
                <w:rFonts w:ascii="Arial" w:cs="Arial" w:eastAsia="Arial" w:hAnsi="Arial"/>
                <w:sz w:val="16"/>
                <w:szCs w:val="16"/>
                <w:color w:val="auto"/>
              </w:rPr>
              <w:t>Total lease cost</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545</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585</w:t>
            </w:r>
          </w:p>
        </w:tc>
        <w:tc>
          <w:tcPr>
            <w:tcW w:w="30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1,618</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1,620</w:t>
            </w:r>
          </w:p>
        </w:tc>
      </w:tr>
      <w:tr>
        <w:trPr>
          <w:trHeight w:val="20"/>
        </w:trPr>
        <w:tc>
          <w:tcPr>
            <w:tcW w:w="2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Supplemental cash flow information related to the Company's operating leases was as follows:</w:t>
      </w:r>
    </w:p>
    <w:p>
      <w:pPr>
        <w:spacing w:after="0" w:line="217" w:lineRule="exact"/>
        <w:rPr>
          <w:sz w:val="20"/>
          <w:szCs w:val="20"/>
          <w:color w:val="auto"/>
        </w:rPr>
      </w:pPr>
    </w:p>
    <w:tbl>
      <w:tblPr>
        <w:tblLayout w:type="fixed"/>
        <w:tblInd w:w="40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w w:val="97"/>
              </w:rPr>
              <w:t>Nine Months Ended September 30,</w:t>
            </w:r>
          </w:p>
        </w:tc>
      </w:tr>
      <w:tr>
        <w:trPr>
          <w:trHeight w:val="202"/>
        </w:trPr>
        <w:tc>
          <w:tcPr>
            <w:tcW w:w="4120" w:type="dxa"/>
            <w:vAlign w:val="bottom"/>
          </w:tcPr>
          <w:p>
            <w:pPr>
              <w:spacing w:after="0"/>
              <w:rPr>
                <w:sz w:val="20"/>
                <w:szCs w:val="20"/>
                <w:color w:val="auto"/>
              </w:rPr>
            </w:pPr>
            <w:r>
              <w:rPr>
                <w:rFonts w:ascii="Arial" w:cs="Arial" w:eastAsia="Arial" w:hAnsi="Arial"/>
                <w:sz w:val="16"/>
                <w:szCs w:val="16"/>
                <w:color w:val="auto"/>
              </w:rPr>
              <w:t>(in thousands)</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2020</w:t>
            </w:r>
          </w:p>
        </w:tc>
      </w:tr>
      <w:tr>
        <w:trPr>
          <w:trHeight w:val="196"/>
        </w:trPr>
        <w:tc>
          <w:tcPr>
            <w:tcW w:w="54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80" w:type="dxa"/>
            <w:vAlign w:val="bottom"/>
            <w:shd w:val="clear" w:color="auto" w:fill="CCEEFF"/>
          </w:tcPr>
          <w:p>
            <w:pPr>
              <w:spacing w:after="0"/>
              <w:rPr>
                <w:sz w:val="17"/>
                <w:szCs w:val="17"/>
                <w:color w:val="auto"/>
              </w:rPr>
            </w:pPr>
          </w:p>
        </w:tc>
        <w:tc>
          <w:tcPr>
            <w:tcW w:w="14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1,791</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2,041</w:t>
            </w:r>
          </w:p>
        </w:tc>
      </w:tr>
      <w:tr>
        <w:trPr>
          <w:trHeight w:val="206"/>
        </w:trPr>
        <w:tc>
          <w:tcPr>
            <w:tcW w:w="4120" w:type="dxa"/>
            <w:vAlign w:val="bottom"/>
          </w:tcPr>
          <w:p>
            <w:pPr>
              <w:spacing w:after="0"/>
              <w:rPr>
                <w:sz w:val="20"/>
                <w:szCs w:val="20"/>
                <w:color w:val="auto"/>
              </w:rPr>
            </w:pPr>
            <w:r>
              <w:rPr>
                <w:rFonts w:ascii="Arial" w:cs="Arial" w:eastAsia="Arial" w:hAnsi="Arial"/>
                <w:sz w:val="16"/>
                <w:szCs w:val="16"/>
                <w:color w:val="auto"/>
                <w:w w:val="92"/>
              </w:rPr>
              <w:t>Right of use assets obtained in exchange for lease obligations:</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351</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401</w:t>
            </w:r>
          </w:p>
        </w:tc>
      </w:tr>
      <w:tr>
        <w:trPr>
          <w:trHeight w:val="395"/>
        </w:trPr>
        <w:tc>
          <w:tcPr>
            <w:tcW w:w="7020" w:type="dxa"/>
            <w:vAlign w:val="bottom"/>
            <w:gridSpan w:val="8"/>
          </w:tcPr>
          <w:p>
            <w:pPr>
              <w:ind w:left="40"/>
              <w:spacing w:after="0"/>
              <w:rPr>
                <w:sz w:val="20"/>
                <w:szCs w:val="20"/>
                <w:color w:val="auto"/>
              </w:rPr>
            </w:pPr>
            <w:r>
              <w:rPr>
                <w:rFonts w:ascii="Arial" w:cs="Arial" w:eastAsia="Arial" w:hAnsi="Arial"/>
                <w:sz w:val="16"/>
                <w:szCs w:val="16"/>
                <w:color w:val="auto"/>
                <w:w w:val="99"/>
              </w:rPr>
              <w:t>Supplemental balance sheet information related to the Company's operating leases was as follows:</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7"/>
        </w:trPr>
        <w:tc>
          <w:tcPr>
            <w:tcW w:w="4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89"/>
              </w:rPr>
              <w:t>September 30,</w:t>
            </w:r>
          </w:p>
        </w:tc>
        <w:tc>
          <w:tcPr>
            <w:tcW w:w="80" w:type="dxa"/>
            <w:vAlign w:val="bottom"/>
          </w:tcPr>
          <w:p>
            <w:pPr>
              <w:spacing w:after="0"/>
              <w:rPr>
                <w:sz w:val="24"/>
                <w:szCs w:val="24"/>
                <w:color w:val="auto"/>
              </w:rPr>
            </w:pPr>
          </w:p>
        </w:tc>
        <w:tc>
          <w:tcPr>
            <w:tcW w:w="1480" w:type="dxa"/>
            <w:vAlign w:val="bottom"/>
            <w:gridSpan w:val="3"/>
          </w:tcPr>
          <w:p>
            <w:pPr>
              <w:jc w:val="right"/>
              <w:ind w:right="520"/>
              <w:spacing w:after="0"/>
              <w:rPr>
                <w:sz w:val="20"/>
                <w:szCs w:val="20"/>
                <w:color w:val="auto"/>
              </w:rPr>
            </w:pPr>
            <w:r>
              <w:rPr>
                <w:rFonts w:ascii="Arial" w:cs="Arial" w:eastAsia="Arial" w:hAnsi="Arial"/>
                <w:sz w:val="16"/>
                <w:szCs w:val="16"/>
                <w:b w:val="1"/>
                <w:bCs w:val="1"/>
                <w:color w:val="auto"/>
                <w:w w:val="90"/>
              </w:rPr>
              <w:t>December 31,</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(in thousands)</w:t>
            </w: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96"/>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right-of use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7,081</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7,761</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Current portion, operating lease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2,127</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2,111</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120" w:type="dxa"/>
            <w:vAlign w:val="bottom"/>
          </w:tcPr>
          <w:p>
            <w:pPr>
              <w:spacing w:after="0"/>
              <w:rPr>
                <w:sz w:val="20"/>
                <w:szCs w:val="20"/>
                <w:color w:val="auto"/>
              </w:rPr>
            </w:pPr>
            <w:r>
              <w:rPr>
                <w:rFonts w:ascii="Arial" w:cs="Arial" w:eastAsia="Arial" w:hAnsi="Arial"/>
                <w:sz w:val="16"/>
                <w:szCs w:val="16"/>
                <w:color w:val="auto"/>
              </w:rPr>
              <w:t>Operating lease liabilities, long term</w:t>
            </w:r>
          </w:p>
        </w:tc>
        <w:tc>
          <w:tcPr>
            <w:tcW w:w="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6,716</w:t>
            </w:r>
          </w:p>
        </w:tc>
        <w:tc>
          <w:tcPr>
            <w:tcW w:w="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7,481</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6"/>
        </w:trPr>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operating lease liabilities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8,843</w:t>
            </w: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9,592</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183"/>
        </w:trPr>
        <w:tc>
          <w:tcPr>
            <w:tcW w:w="4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03"/>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remaining lease term (years)</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6.9</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7.4</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6"/>
        </w:trPr>
        <w:tc>
          <w:tcPr>
            <w:tcW w:w="4120" w:type="dxa"/>
            <w:vAlign w:val="bottom"/>
          </w:tcPr>
          <w:p>
            <w:pPr>
              <w:spacing w:after="0"/>
              <w:rPr>
                <w:sz w:val="20"/>
                <w:szCs w:val="20"/>
                <w:color w:val="auto"/>
              </w:rPr>
            </w:pPr>
            <w:r>
              <w:rPr>
                <w:rFonts w:ascii="Arial" w:cs="Arial" w:eastAsia="Arial" w:hAnsi="Arial"/>
                <w:sz w:val="16"/>
                <w:szCs w:val="16"/>
                <w:color w:val="auto"/>
              </w:rPr>
              <w:t>Weighted average discount rate</w:t>
            </w:r>
          </w:p>
        </w:tc>
        <w:tc>
          <w:tcPr>
            <w:tcW w:w="8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9.2%</w:t>
            </w: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9.2%</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r>
    </w:tbl>
    <w:p>
      <w:pPr>
        <w:spacing w:after="0" w:line="18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Maturities of operating lease liabilities for each twelve-month period subsequent to September 30, 2021, are as follows:</w:t>
      </w:r>
    </w:p>
    <w:p>
      <w:pPr>
        <w:spacing w:after="0" w:line="221" w:lineRule="exact"/>
        <w:rPr>
          <w:sz w:val="20"/>
          <w:szCs w:val="20"/>
          <w:color w:val="auto"/>
        </w:rPr>
      </w:pPr>
    </w:p>
    <w:tbl>
      <w:tblPr>
        <w:tblLayout w:type="fixed"/>
        <w:tblInd w:w="400" w:type="dxa"/>
        <w:tblCellMar>
          <w:top w:w="0" w:type="dxa"/>
          <w:left w:w="0" w:type="dxa"/>
          <w:bottom w:w="0" w:type="dxa"/>
          <w:right w:w="0" w:type="dxa"/>
        </w:tblCellMar>
      </w:tblPr>
      <w:tr>
        <w:trPr>
          <w:trHeight w:val="209"/>
        </w:trPr>
        <w:tc>
          <w:tcPr>
            <w:tcW w:w="3640" w:type="dxa"/>
            <w:vAlign w:val="bottom"/>
          </w:tcPr>
          <w:p>
            <w:pPr>
              <w:spacing w:after="0"/>
              <w:rPr>
                <w:sz w:val="20"/>
                <w:szCs w:val="20"/>
                <w:color w:val="auto"/>
              </w:rPr>
            </w:pPr>
            <w:r>
              <w:rPr>
                <w:rFonts w:ascii="Arial" w:cs="Arial" w:eastAsia="Arial" w:hAnsi="Arial"/>
                <w:sz w:val="16"/>
                <w:szCs w:val="16"/>
                <w:color w:val="auto"/>
              </w:rPr>
              <w:t>(in thousands)</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05"/>
        </w:trPr>
        <w:tc>
          <w:tcPr>
            <w:tcW w:w="3640" w:type="dxa"/>
            <w:vAlign w:val="bottom"/>
            <w:shd w:val="clear" w:color="auto" w:fill="CCEEFF"/>
          </w:tcPr>
          <w:p>
            <w:pPr>
              <w:spacing w:after="0"/>
              <w:rPr>
                <w:sz w:val="20"/>
                <w:szCs w:val="20"/>
                <w:color w:val="auto"/>
              </w:rPr>
            </w:pPr>
            <w:r>
              <w:rPr>
                <w:rFonts w:ascii="Arial" w:cs="Arial" w:eastAsia="Arial" w:hAnsi="Arial"/>
                <w:sz w:val="16"/>
                <w:szCs w:val="16"/>
                <w:color w:val="auto"/>
              </w:rPr>
              <w:t>2021</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2,127</w:t>
            </w:r>
          </w:p>
        </w:tc>
      </w:tr>
      <w:tr>
        <w:trPr>
          <w:trHeight w:val="203"/>
        </w:trPr>
        <w:tc>
          <w:tcPr>
            <w:tcW w:w="3640" w:type="dxa"/>
            <w:vAlign w:val="bottom"/>
          </w:tcPr>
          <w:p>
            <w:pPr>
              <w:spacing w:after="0"/>
              <w:rPr>
                <w:sz w:val="20"/>
                <w:szCs w:val="20"/>
                <w:color w:val="auto"/>
              </w:rPr>
            </w:pPr>
            <w:r>
              <w:rPr>
                <w:rFonts w:ascii="Arial" w:cs="Arial" w:eastAsia="Arial" w:hAnsi="Arial"/>
                <w:sz w:val="16"/>
                <w:szCs w:val="16"/>
                <w:color w:val="auto"/>
              </w:rPr>
              <w:t>2022</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2,057</w:t>
            </w:r>
          </w:p>
        </w:tc>
      </w:tr>
      <w:tr>
        <w:trPr>
          <w:trHeight w:val="203"/>
        </w:trPr>
        <w:tc>
          <w:tcPr>
            <w:tcW w:w="3640" w:type="dxa"/>
            <w:vAlign w:val="bottom"/>
            <w:shd w:val="clear" w:color="auto" w:fill="CCEEFF"/>
          </w:tcPr>
          <w:p>
            <w:pPr>
              <w:spacing w:after="0"/>
              <w:rPr>
                <w:sz w:val="20"/>
                <w:szCs w:val="20"/>
                <w:color w:val="auto"/>
              </w:rPr>
            </w:pPr>
            <w:r>
              <w:rPr>
                <w:rFonts w:ascii="Arial" w:cs="Arial" w:eastAsia="Arial" w:hAnsi="Arial"/>
                <w:sz w:val="16"/>
                <w:szCs w:val="16"/>
                <w:color w:val="auto"/>
              </w:rPr>
              <w:t>2023</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1,964</w:t>
            </w:r>
          </w:p>
        </w:tc>
      </w:tr>
      <w:tr>
        <w:trPr>
          <w:trHeight w:val="203"/>
        </w:trPr>
        <w:tc>
          <w:tcPr>
            <w:tcW w:w="3640" w:type="dxa"/>
            <w:vAlign w:val="bottom"/>
          </w:tcPr>
          <w:p>
            <w:pPr>
              <w:spacing w:after="0"/>
              <w:rPr>
                <w:sz w:val="20"/>
                <w:szCs w:val="20"/>
                <w:color w:val="auto"/>
              </w:rPr>
            </w:pPr>
            <w:r>
              <w:rPr>
                <w:rFonts w:ascii="Arial" w:cs="Arial" w:eastAsia="Arial" w:hAnsi="Arial"/>
                <w:sz w:val="16"/>
                <w:szCs w:val="16"/>
                <w:color w:val="auto"/>
              </w:rPr>
              <w:t>2024</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1,047</w:t>
            </w:r>
          </w:p>
        </w:tc>
      </w:tr>
      <w:tr>
        <w:trPr>
          <w:trHeight w:val="203"/>
        </w:trPr>
        <w:tc>
          <w:tcPr>
            <w:tcW w:w="3640" w:type="dxa"/>
            <w:vAlign w:val="bottom"/>
            <w:shd w:val="clear" w:color="auto" w:fill="CCEEFF"/>
          </w:tcPr>
          <w:p>
            <w:pPr>
              <w:spacing w:after="0"/>
              <w:rPr>
                <w:sz w:val="20"/>
                <w:szCs w:val="20"/>
                <w:color w:val="auto"/>
              </w:rPr>
            </w:pPr>
            <w:r>
              <w:rPr>
                <w:rFonts w:ascii="Arial" w:cs="Arial" w:eastAsia="Arial" w:hAnsi="Arial"/>
                <w:sz w:val="16"/>
                <w:szCs w:val="16"/>
                <w:color w:val="auto"/>
              </w:rPr>
              <w:t>2025</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974</w:t>
            </w:r>
          </w:p>
        </w:tc>
      </w:tr>
      <w:tr>
        <w:trPr>
          <w:trHeight w:val="203"/>
        </w:trPr>
        <w:tc>
          <w:tcPr>
            <w:tcW w:w="3640" w:type="dxa"/>
            <w:vAlign w:val="bottom"/>
          </w:tcPr>
          <w:p>
            <w:pPr>
              <w:spacing w:after="0"/>
              <w:rPr>
                <w:sz w:val="20"/>
                <w:szCs w:val="20"/>
                <w:color w:val="auto"/>
              </w:rPr>
            </w:pPr>
            <w:r>
              <w:rPr>
                <w:rFonts w:ascii="Arial" w:cs="Arial" w:eastAsia="Arial" w:hAnsi="Arial"/>
                <w:sz w:val="16"/>
                <w:szCs w:val="16"/>
                <w:color w:val="auto"/>
              </w:rPr>
              <w:t>Thereafter</w:t>
            </w: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4,129</w:t>
            </w:r>
          </w:p>
        </w:tc>
      </w:tr>
      <w:tr>
        <w:trPr>
          <w:trHeight w:val="196"/>
        </w:trPr>
        <w:tc>
          <w:tcPr>
            <w:tcW w:w="3640" w:type="dxa"/>
            <w:vAlign w:val="bottom"/>
            <w:shd w:val="clear" w:color="auto" w:fill="CCEEFF"/>
          </w:tcPr>
          <w:p>
            <w:pPr>
              <w:spacing w:after="0"/>
              <w:rPr>
                <w:sz w:val="20"/>
                <w:szCs w:val="20"/>
                <w:color w:val="auto"/>
              </w:rPr>
            </w:pPr>
            <w:r>
              <w:rPr>
                <w:rFonts w:ascii="Arial" w:cs="Arial" w:eastAsia="Arial" w:hAnsi="Arial"/>
                <w:sz w:val="16"/>
                <w:szCs w:val="16"/>
                <w:color w:val="auto"/>
              </w:rPr>
              <w:t>Total lease payments</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12,298</w:t>
            </w:r>
          </w:p>
        </w:tc>
      </w:tr>
      <w:tr>
        <w:trPr>
          <w:trHeight w:val="203"/>
        </w:trPr>
        <w:tc>
          <w:tcPr>
            <w:tcW w:w="3640" w:type="dxa"/>
            <w:vAlign w:val="bottom"/>
          </w:tcPr>
          <w:p>
            <w:pPr>
              <w:spacing w:after="0"/>
              <w:rPr>
                <w:sz w:val="20"/>
                <w:szCs w:val="20"/>
                <w:color w:val="auto"/>
              </w:rPr>
            </w:pPr>
            <w:r>
              <w:rPr>
                <w:rFonts w:ascii="Arial" w:cs="Arial" w:eastAsia="Arial" w:hAnsi="Arial"/>
                <w:sz w:val="16"/>
                <w:szCs w:val="16"/>
                <w:color w:val="auto"/>
              </w:rPr>
              <w:t>Less imputed interest</w:t>
            </w: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(3,455)</w:t>
            </w:r>
          </w:p>
        </w:tc>
      </w:tr>
      <w:tr>
        <w:trPr>
          <w:trHeight w:val="236"/>
        </w:trPr>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operating lease liabilities</w:t>
            </w: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8,843</w:t>
            </w:r>
          </w:p>
        </w:tc>
      </w:tr>
    </w:tbl>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40" w:right="7740" w:hanging="432"/>
        <w:spacing w:after="0" w:line="566" w:lineRule="auto"/>
        <w:tabs>
          <w:tab w:leader="none" w:pos="332" w:val="left"/>
        </w:tabs>
        <w:numPr>
          <w:ilvl w:val="0"/>
          <w:numId w:val="1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Capital Stock and Stock-Based Compensation </w:t>
      </w:r>
      <w:r>
        <w:rPr>
          <w:rFonts w:ascii="Arial" w:cs="Arial" w:eastAsia="Arial" w:hAnsi="Arial"/>
          <w:sz w:val="15"/>
          <w:szCs w:val="15"/>
          <w:i w:val="1"/>
          <w:iCs w:val="1"/>
          <w:color w:val="auto"/>
        </w:rPr>
        <w:t>Retirement of Treasury Stock</w:t>
      </w:r>
    </w:p>
    <w:p>
      <w:pPr>
        <w:ind w:left="160" w:right="20" w:firstLine="288"/>
        <w:spacing w:after="0" w:line="293" w:lineRule="auto"/>
        <w:rPr>
          <w:sz w:val="20"/>
          <w:szCs w:val="20"/>
          <w:color w:val="auto"/>
        </w:rPr>
      </w:pPr>
      <w:r>
        <w:rPr>
          <w:rFonts w:ascii="Arial" w:cs="Arial" w:eastAsia="Arial" w:hAnsi="Arial"/>
          <w:sz w:val="16"/>
          <w:szCs w:val="16"/>
          <w:color w:val="auto"/>
        </w:rPr>
        <w:t>In May 2021, the Company retired the 7,745,507 shares of common stock held by the Company as treasury shares and returned these shares to the status of authorized and unissued shares of common stock.</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Stock-Based Payment Awards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Activity under the Company’s equity incentive plans for the nine months ended September 30, 2021,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80" w:type="dxa"/>
            <w:vAlign w:val="bottom"/>
          </w:tcPr>
          <w:p>
            <w:pPr>
              <w:spacing w:after="0"/>
              <w:rPr>
                <w:sz w:val="18"/>
                <w:szCs w:val="18"/>
                <w:color w:val="auto"/>
              </w:rPr>
            </w:pPr>
          </w:p>
        </w:tc>
        <w:tc>
          <w:tcPr>
            <w:tcW w:w="262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6"/>
                <w:szCs w:val="16"/>
                <w:b w:val="1"/>
                <w:bCs w:val="1"/>
                <w:color w:val="auto"/>
              </w:rPr>
              <w:t>Stock Options</w:t>
            </w:r>
          </w:p>
        </w:tc>
        <w:tc>
          <w:tcPr>
            <w:tcW w:w="120" w:type="dxa"/>
            <w:vAlign w:val="bottom"/>
          </w:tcPr>
          <w:p>
            <w:pPr>
              <w:spacing w:after="0"/>
              <w:rPr>
                <w:sz w:val="18"/>
                <w:szCs w:val="18"/>
                <w:color w:val="auto"/>
              </w:rPr>
            </w:pPr>
          </w:p>
        </w:tc>
        <w:tc>
          <w:tcPr>
            <w:tcW w:w="258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6"/>
                <w:szCs w:val="16"/>
                <w:b w:val="1"/>
                <w:bCs w:val="1"/>
                <w:color w:val="auto"/>
              </w:rPr>
              <w:t>Restricted Stock Units</w:t>
            </w:r>
          </w:p>
        </w:tc>
        <w:tc>
          <w:tcPr>
            <w:tcW w:w="100" w:type="dxa"/>
            <w:vAlign w:val="bottom"/>
          </w:tcPr>
          <w:p>
            <w:pPr>
              <w:spacing w:after="0"/>
              <w:rPr>
                <w:sz w:val="18"/>
                <w:szCs w:val="18"/>
                <w:color w:val="auto"/>
              </w:rPr>
            </w:pPr>
          </w:p>
        </w:tc>
        <w:tc>
          <w:tcPr>
            <w:tcW w:w="254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6"/>
                <w:szCs w:val="16"/>
                <w:b w:val="1"/>
                <w:bCs w:val="1"/>
                <w:color w:val="auto"/>
              </w:rPr>
              <w:t>Market Condition RSU's</w:t>
            </w:r>
          </w:p>
        </w:tc>
      </w:tr>
      <w:tr>
        <w:trPr>
          <w:trHeight w:val="185"/>
        </w:trPr>
        <w:tc>
          <w:tcPr>
            <w:tcW w:w="3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199"/>
              <w:spacing w:after="0"/>
              <w:rPr>
                <w:sz w:val="20"/>
                <w:szCs w:val="20"/>
                <w:color w:val="auto"/>
              </w:rPr>
            </w:pPr>
            <w:r>
              <w:rPr>
                <w:rFonts w:ascii="Arial" w:cs="Arial" w:eastAsia="Arial" w:hAnsi="Arial"/>
                <w:sz w:val="16"/>
                <w:szCs w:val="16"/>
                <w:b w:val="1"/>
                <w:bCs w:val="1"/>
                <w:color w:val="auto"/>
                <w:w w:val="88"/>
              </w:rPr>
              <w:t>Weighted</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3"/>
        </w:trPr>
        <w:tc>
          <w:tcPr>
            <w:tcW w:w="3280" w:type="dxa"/>
            <w:vAlign w:val="bottom"/>
          </w:tcPr>
          <w:p>
            <w:pPr>
              <w:spacing w:after="0"/>
              <w:rPr>
                <w:sz w:val="17"/>
                <w:szCs w:val="17"/>
                <w:color w:val="auto"/>
              </w:rPr>
            </w:pPr>
          </w:p>
        </w:tc>
        <w:tc>
          <w:tcPr>
            <w:tcW w:w="126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Stock</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199"/>
              <w:spacing w:after="0"/>
              <w:rPr>
                <w:sz w:val="20"/>
                <w:szCs w:val="20"/>
                <w:color w:val="auto"/>
              </w:rPr>
            </w:pPr>
            <w:r>
              <w:rPr>
                <w:rFonts w:ascii="Arial" w:cs="Arial" w:eastAsia="Arial" w:hAnsi="Arial"/>
                <w:sz w:val="16"/>
                <w:szCs w:val="16"/>
                <w:b w:val="1"/>
                <w:bCs w:val="1"/>
                <w:color w:val="auto"/>
                <w:w w:val="88"/>
              </w:rPr>
              <w:t>Average</w:t>
            </w:r>
          </w:p>
        </w:tc>
        <w:tc>
          <w:tcPr>
            <w:tcW w:w="120" w:type="dxa"/>
            <w:vAlign w:val="bottom"/>
          </w:tcPr>
          <w:p>
            <w:pPr>
              <w:spacing w:after="0"/>
              <w:rPr>
                <w:sz w:val="17"/>
                <w:szCs w:val="17"/>
                <w:color w:val="auto"/>
              </w:rPr>
            </w:pPr>
          </w:p>
        </w:tc>
        <w:tc>
          <w:tcPr>
            <w:tcW w:w="126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Restricted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center"/>
              <w:ind w:right="19"/>
              <w:spacing w:after="0"/>
              <w:rPr>
                <w:sz w:val="20"/>
                <w:szCs w:val="20"/>
                <w:color w:val="auto"/>
              </w:rPr>
            </w:pPr>
            <w:r>
              <w:rPr>
                <w:rFonts w:ascii="Arial" w:cs="Arial" w:eastAsia="Arial" w:hAnsi="Arial"/>
                <w:sz w:val="16"/>
                <w:szCs w:val="16"/>
                <w:b w:val="1"/>
                <w:bCs w:val="1"/>
                <w:color w:val="auto"/>
              </w:rPr>
              <w:t>Market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Condition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280" w:type="dxa"/>
            <w:vAlign w:val="bottom"/>
          </w:tcPr>
          <w:p>
            <w:pPr>
              <w:spacing w:after="0"/>
              <w:rPr>
                <w:sz w:val="17"/>
                <w:szCs w:val="17"/>
                <w:color w:val="auto"/>
              </w:rPr>
            </w:pPr>
          </w:p>
        </w:tc>
        <w:tc>
          <w:tcPr>
            <w:tcW w:w="126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Options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199"/>
              <w:spacing w:after="0"/>
              <w:rPr>
                <w:sz w:val="20"/>
                <w:szCs w:val="20"/>
                <w:color w:val="auto"/>
              </w:rPr>
            </w:pPr>
            <w:r>
              <w:rPr>
                <w:rFonts w:ascii="Arial" w:cs="Arial" w:eastAsia="Arial" w:hAnsi="Arial"/>
                <w:sz w:val="16"/>
                <w:szCs w:val="16"/>
                <w:b w:val="1"/>
                <w:bCs w:val="1"/>
                <w:color w:val="auto"/>
                <w:w w:val="91"/>
              </w:rPr>
              <w:t>Exercise</w:t>
            </w:r>
          </w:p>
        </w:tc>
        <w:tc>
          <w:tcPr>
            <w:tcW w:w="120" w:type="dxa"/>
            <w:vAlign w:val="bottom"/>
          </w:tcPr>
          <w:p>
            <w:pPr>
              <w:spacing w:after="0"/>
              <w:rPr>
                <w:sz w:val="17"/>
                <w:szCs w:val="17"/>
                <w:color w:val="auto"/>
              </w:rPr>
            </w:pPr>
          </w:p>
        </w:tc>
        <w:tc>
          <w:tcPr>
            <w:tcW w:w="1260" w:type="dxa"/>
            <w:vAlign w:val="bottom"/>
          </w:tcPr>
          <w:p>
            <w:pPr>
              <w:jc w:val="center"/>
              <w:ind w:right="19"/>
              <w:spacing w:after="0"/>
              <w:rPr>
                <w:sz w:val="20"/>
                <w:szCs w:val="20"/>
                <w:color w:val="auto"/>
              </w:rPr>
            </w:pPr>
            <w:r>
              <w:rPr>
                <w:rFonts w:ascii="Arial" w:cs="Arial" w:eastAsia="Arial" w:hAnsi="Arial"/>
                <w:sz w:val="16"/>
                <w:szCs w:val="16"/>
                <w:b w:val="1"/>
                <w:bCs w:val="1"/>
                <w:color w:val="auto"/>
                <w:w w:val="90"/>
              </w:rPr>
              <w:t>Stock Units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b w:val="1"/>
                <w:bCs w:val="1"/>
                <w:color w:val="auto"/>
                <w:w w:val="97"/>
              </w:rPr>
              <w:t>Grant Date</w:t>
            </w:r>
          </w:p>
        </w:tc>
        <w:tc>
          <w:tcPr>
            <w:tcW w:w="100" w:type="dxa"/>
            <w:vAlign w:val="bottom"/>
          </w:tcPr>
          <w:p>
            <w:pPr>
              <w:spacing w:after="0"/>
              <w:rPr>
                <w:sz w:val="17"/>
                <w:szCs w:val="17"/>
                <w:color w:val="auto"/>
              </w:rPr>
            </w:pPr>
          </w:p>
        </w:tc>
        <w:tc>
          <w:tcPr>
            <w:tcW w:w="1220" w:type="dxa"/>
            <w:vAlign w:val="bottom"/>
          </w:tcPr>
          <w:p>
            <w:pPr>
              <w:jc w:val="center"/>
              <w:ind w:right="19"/>
              <w:spacing w:after="0"/>
              <w:rPr>
                <w:sz w:val="20"/>
                <w:szCs w:val="20"/>
                <w:color w:val="auto"/>
              </w:rPr>
            </w:pPr>
            <w:r>
              <w:rPr>
                <w:rFonts w:ascii="Arial" w:cs="Arial" w:eastAsia="Arial" w:hAnsi="Arial"/>
                <w:sz w:val="16"/>
                <w:szCs w:val="16"/>
                <w:b w:val="1"/>
                <w:bCs w:val="1"/>
                <w:color w:val="auto"/>
                <w:w w:val="94"/>
              </w:rPr>
              <w:t>RSU's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b w:val="1"/>
                <w:bCs w:val="1"/>
                <w:color w:val="auto"/>
              </w:rPr>
              <w:t>Grant Date</w:t>
            </w:r>
          </w:p>
        </w:tc>
      </w:tr>
      <w:tr>
        <w:trPr>
          <w:trHeight w:val="213"/>
        </w:trPr>
        <w:tc>
          <w:tcPr>
            <w:tcW w:w="3280" w:type="dxa"/>
            <w:vAlign w:val="bottom"/>
          </w:tcPr>
          <w:p>
            <w:pPr>
              <w:spacing w:after="0"/>
              <w:rPr>
                <w:sz w:val="18"/>
                <w:szCs w:val="18"/>
                <w:color w:val="auto"/>
              </w:rPr>
            </w:pPr>
          </w:p>
        </w:tc>
        <w:tc>
          <w:tcPr>
            <w:tcW w:w="12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3"/>
              </w:rPr>
              <w:t>Outstanding</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91"/>
              </w:rPr>
              <w:t>Price</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1"/>
              </w:rPr>
              <w:t>Outstanding</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1"/>
              </w:rPr>
              <w:t>Outstanding</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Fair Value</w:t>
            </w:r>
          </w:p>
        </w:tc>
      </w:tr>
      <w:tr>
        <w:trPr>
          <w:trHeight w:val="199"/>
        </w:trPr>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Balance at December 31, 2020</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2,637,339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3.51</w:t>
            </w:r>
          </w:p>
        </w:tc>
        <w:tc>
          <w:tcPr>
            <w:tcW w:w="138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1,560,461</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2.44</w:t>
            </w:r>
          </w:p>
        </w:tc>
        <w:tc>
          <w:tcPr>
            <w:tcW w:w="13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813,031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2.12</w:t>
            </w:r>
          </w:p>
        </w:tc>
      </w:tr>
      <w:tr>
        <w:trPr>
          <w:trHeight w:val="203"/>
        </w:trPr>
        <w:tc>
          <w:tcPr>
            <w:tcW w:w="3280" w:type="dxa"/>
            <w:vAlign w:val="bottom"/>
          </w:tcPr>
          <w:p>
            <w:pPr>
              <w:ind w:left="180"/>
              <w:spacing w:after="0"/>
              <w:rPr>
                <w:sz w:val="20"/>
                <w:szCs w:val="20"/>
                <w:color w:val="auto"/>
              </w:rPr>
            </w:pPr>
            <w:r>
              <w:rPr>
                <w:rFonts w:ascii="Arial" w:cs="Arial" w:eastAsia="Arial" w:hAnsi="Arial"/>
                <w:sz w:val="16"/>
                <w:szCs w:val="16"/>
                <w:color w:val="auto"/>
              </w:rPr>
              <w:t>Granted</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39"/>
              <w:spacing w:after="0"/>
              <w:rPr>
                <w:sz w:val="20"/>
                <w:szCs w:val="20"/>
                <w:color w:val="auto"/>
              </w:rPr>
            </w:pPr>
            <w:r>
              <w:rPr>
                <w:rFonts w:ascii="Arial" w:cs="Arial" w:eastAsia="Arial" w:hAnsi="Arial"/>
                <w:sz w:val="16"/>
                <w:szCs w:val="16"/>
                <w:color w:val="auto"/>
              </w:rPr>
              <w:t>793,968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4.65</w:t>
            </w:r>
          </w:p>
        </w:tc>
        <w:tc>
          <w:tcPr>
            <w:tcW w:w="1320" w:type="dxa"/>
            <w:vAlign w:val="bottom"/>
            <w:gridSpan w:val="2"/>
          </w:tcPr>
          <w:p>
            <w:pPr>
              <w:jc w:val="right"/>
              <w:ind w:right="39"/>
              <w:spacing w:after="0"/>
              <w:rPr>
                <w:sz w:val="20"/>
                <w:szCs w:val="20"/>
                <w:color w:val="auto"/>
              </w:rPr>
            </w:pPr>
            <w:r>
              <w:rPr>
                <w:rFonts w:ascii="Arial" w:cs="Arial" w:eastAsia="Arial" w:hAnsi="Arial"/>
                <w:sz w:val="16"/>
                <w:szCs w:val="16"/>
                <w:color w:val="auto"/>
              </w:rPr>
              <w:t>293,509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4.61</w:t>
            </w:r>
          </w:p>
        </w:tc>
      </w:tr>
      <w:tr>
        <w:trPr>
          <w:trHeight w:val="203"/>
        </w:trPr>
        <w:tc>
          <w:tcPr>
            <w:tcW w:w="3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Exercised</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(534,862)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3.78</w:t>
            </w:r>
          </w:p>
        </w:tc>
        <w:tc>
          <w:tcPr>
            <w:tcW w:w="138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3"/>
        </w:trPr>
        <w:tc>
          <w:tcPr>
            <w:tcW w:w="3280" w:type="dxa"/>
            <w:vAlign w:val="bottom"/>
          </w:tcPr>
          <w:p>
            <w:pPr>
              <w:ind w:left="180"/>
              <w:spacing w:after="0"/>
              <w:rPr>
                <w:sz w:val="20"/>
                <w:szCs w:val="20"/>
                <w:color w:val="auto"/>
              </w:rPr>
            </w:pPr>
            <w:r>
              <w:rPr>
                <w:rFonts w:ascii="Arial" w:cs="Arial" w:eastAsia="Arial" w:hAnsi="Arial"/>
                <w:sz w:val="16"/>
                <w:szCs w:val="16"/>
                <w:color w:val="auto"/>
              </w:rPr>
              <w:t>Vested (RSUs)</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(799,264)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2.48</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(396,274)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2.09</w:t>
            </w:r>
          </w:p>
        </w:tc>
      </w:tr>
      <w:tr>
        <w:trPr>
          <w:trHeight w:val="203"/>
        </w:trPr>
        <w:tc>
          <w:tcPr>
            <w:tcW w:w="3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Cancelled/Forfeited</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(651,368)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(57,215)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(6,179)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2.98</w:t>
            </w:r>
          </w:p>
        </w:tc>
      </w:tr>
      <w:tr>
        <w:trPr>
          <w:trHeight w:val="203"/>
        </w:trPr>
        <w:tc>
          <w:tcPr>
            <w:tcW w:w="3280" w:type="dxa"/>
            <w:vAlign w:val="bottom"/>
          </w:tcPr>
          <w:p>
            <w:pPr>
              <w:ind w:left="180"/>
              <w:spacing w:after="0"/>
              <w:rPr>
                <w:sz w:val="20"/>
                <w:szCs w:val="20"/>
                <w:color w:val="auto"/>
              </w:rPr>
            </w:pPr>
            <w:r>
              <w:rPr>
                <w:rFonts w:ascii="Arial" w:cs="Arial" w:eastAsia="Arial" w:hAnsi="Arial"/>
                <w:sz w:val="16"/>
                <w:szCs w:val="16"/>
                <w:color w:val="auto"/>
              </w:rPr>
              <w:t>Performance Factor Adjustment</w:t>
            </w: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163,216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2.98</w:t>
            </w:r>
          </w:p>
        </w:tc>
      </w:tr>
      <w:tr>
        <w:trPr>
          <w:trHeight w:val="236"/>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September 30, 2021</w:t>
            </w: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1,451,109</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3.12</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1,497,950</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3.54</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867,303</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3.13</w:t>
            </w:r>
          </w:p>
        </w:tc>
      </w:tr>
    </w:tbl>
    <w:p>
      <w:pPr>
        <w:spacing w:after="0" w:line="193" w:lineRule="exact"/>
        <w:rPr>
          <w:sz w:val="20"/>
          <w:szCs w:val="20"/>
          <w:color w:val="auto"/>
        </w:rPr>
      </w:pPr>
    </w:p>
    <w:p>
      <w:pPr>
        <w:ind w:left="160" w:right="80" w:firstLine="288"/>
        <w:spacing w:after="0" w:line="293" w:lineRule="auto"/>
        <w:rPr>
          <w:sz w:val="20"/>
          <w:szCs w:val="20"/>
          <w:color w:val="auto"/>
        </w:rPr>
      </w:pPr>
      <w:r>
        <w:rPr>
          <w:rFonts w:ascii="Arial" w:cs="Arial" w:eastAsia="Arial" w:hAnsi="Arial"/>
          <w:sz w:val="16"/>
          <w:szCs w:val="16"/>
          <w:color w:val="auto"/>
        </w:rPr>
        <w:t>Stock-based compensation expense related to stock options, restricted stock units, Market Condition RSU’s and the Company’s employee stock purchase plan for the three and nine months ended September 30, 2021 and 2020, was allocated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80" w:type="dxa"/>
            <w:vAlign w:val="bottom"/>
          </w:tcPr>
          <w:p>
            <w:pPr>
              <w:spacing w:after="0"/>
              <w:rPr>
                <w:sz w:val="18"/>
                <w:szCs w:val="18"/>
                <w:color w:val="auto"/>
              </w:rPr>
            </w:pPr>
          </w:p>
        </w:tc>
        <w:tc>
          <w:tcPr>
            <w:tcW w:w="262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w w:val="95"/>
              </w:rPr>
              <w:t>Three Months Ended September 30,</w:t>
            </w:r>
          </w:p>
        </w:tc>
        <w:tc>
          <w:tcPr>
            <w:tcW w:w="100" w:type="dxa"/>
            <w:vAlign w:val="bottom"/>
          </w:tcPr>
          <w:p>
            <w:pPr>
              <w:spacing w:after="0"/>
              <w:rPr>
                <w:sz w:val="18"/>
                <w:szCs w:val="18"/>
                <w:color w:val="auto"/>
              </w:rPr>
            </w:pPr>
          </w:p>
        </w:tc>
        <w:tc>
          <w:tcPr>
            <w:tcW w:w="254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w w:val="95"/>
              </w:rPr>
              <w:t>Nine Months Ended September 30,</w:t>
            </w:r>
          </w:p>
        </w:tc>
      </w:tr>
      <w:tr>
        <w:trPr>
          <w:trHeight w:val="202"/>
        </w:trPr>
        <w:tc>
          <w:tcPr>
            <w:tcW w:w="5980" w:type="dxa"/>
            <w:vAlign w:val="bottom"/>
          </w:tcPr>
          <w:p>
            <w:pPr>
              <w:spacing w:after="0"/>
              <w:rPr>
                <w:sz w:val="20"/>
                <w:szCs w:val="20"/>
                <w:color w:val="auto"/>
              </w:rPr>
            </w:pPr>
            <w:r>
              <w:rPr>
                <w:rFonts w:ascii="Arial" w:cs="Arial" w:eastAsia="Arial" w:hAnsi="Arial"/>
                <w:sz w:val="16"/>
                <w:szCs w:val="16"/>
                <w:color w:val="auto"/>
              </w:rPr>
              <w:t>(in thousands)</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r>
      <w:tr>
        <w:trPr>
          <w:trHeight w:val="196"/>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Cost of revenues</w:t>
            </w: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83</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r>
      <w:tr>
        <w:trPr>
          <w:trHeight w:val="203"/>
        </w:trPr>
        <w:tc>
          <w:tcPr>
            <w:tcW w:w="5980" w:type="dxa"/>
            <w:vAlign w:val="bottom"/>
          </w:tcPr>
          <w:p>
            <w:pPr>
              <w:spacing w:after="0"/>
              <w:rPr>
                <w:sz w:val="20"/>
                <w:szCs w:val="20"/>
                <w:color w:val="auto"/>
              </w:rPr>
            </w:pPr>
            <w:r>
              <w:rPr>
                <w:rFonts w:ascii="Arial" w:cs="Arial" w:eastAsia="Arial" w:hAnsi="Arial"/>
                <w:sz w:val="16"/>
                <w:szCs w:val="16"/>
                <w:color w:val="auto"/>
              </w:rPr>
              <w:t>Sales and marketing expenses</w:t>
            </w:r>
          </w:p>
        </w:tc>
        <w:tc>
          <w:tcPr>
            <w:tcW w:w="240" w:type="dxa"/>
            <w:vAlign w:val="bottom"/>
          </w:tcPr>
          <w:p>
            <w:pPr>
              <w:spacing w:after="0"/>
              <w:rPr>
                <w:sz w:val="17"/>
                <w:szCs w:val="17"/>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149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373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205</w:t>
            </w:r>
          </w:p>
        </w:tc>
      </w:tr>
      <w:tr>
        <w:trPr>
          <w:trHeight w:val="203"/>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 expenses</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790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908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2,593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2,249</w:t>
            </w:r>
          </w:p>
        </w:tc>
      </w:tr>
      <w:tr>
        <w:trPr>
          <w:trHeight w:val="203"/>
        </w:trPr>
        <w:tc>
          <w:tcPr>
            <w:tcW w:w="5980" w:type="dxa"/>
            <w:vAlign w:val="bottom"/>
          </w:tcPr>
          <w:p>
            <w:pPr>
              <w:spacing w:after="0"/>
              <w:rPr>
                <w:sz w:val="20"/>
                <w:szCs w:val="20"/>
                <w:color w:val="auto"/>
              </w:rPr>
            </w:pPr>
            <w:r>
              <w:rPr>
                <w:rFonts w:ascii="Arial" w:cs="Arial" w:eastAsia="Arial" w:hAnsi="Arial"/>
                <w:sz w:val="16"/>
                <w:szCs w:val="16"/>
                <w:color w:val="auto"/>
              </w:rPr>
              <w:t>Research and development expenses</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144</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Total stock-based compensation expenses</w:t>
            </w: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1,004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1,079</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3,136</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2,641</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r>
    </w:tbl>
    <w:p>
      <w:pPr>
        <w:spacing w:after="0" w:line="193" w:lineRule="exact"/>
        <w:rPr>
          <w:sz w:val="20"/>
          <w:szCs w:val="20"/>
          <w:color w:val="auto"/>
        </w:rPr>
      </w:pPr>
    </w:p>
    <w:p>
      <w:pPr>
        <w:ind w:left="160" w:right="20" w:firstLine="288"/>
        <w:spacing w:after="0" w:line="293" w:lineRule="auto"/>
        <w:rPr>
          <w:sz w:val="20"/>
          <w:szCs w:val="20"/>
          <w:color w:val="auto"/>
        </w:rPr>
      </w:pPr>
      <w:r>
        <w:rPr>
          <w:rFonts w:ascii="Arial" w:cs="Arial" w:eastAsia="Arial" w:hAnsi="Arial"/>
          <w:sz w:val="16"/>
          <w:szCs w:val="16"/>
          <w:color w:val="auto"/>
        </w:rPr>
        <w:t>As of September 30, 2021, the total compensation costs related to unvested awards not yet recognized is $6.0 million and the weighted average period over which it is expected to be recognized is approximately 2.0 years. The Company did not capitalize any stock-based compensation.</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weighted average estimated fair value of the Market Condition RSUs that were granted during the nine months ended September 30, 2021 was $4.61 per unit.</w:t>
      </w:r>
    </w:p>
    <w:p>
      <w:pPr>
        <w:spacing w:after="0" w:line="34" w:lineRule="exact"/>
        <w:rPr>
          <w:sz w:val="20"/>
          <w:szCs w:val="20"/>
          <w:color w:val="auto"/>
        </w:rPr>
      </w:pPr>
    </w:p>
    <w:p>
      <w:pPr>
        <w:ind w:left="160"/>
        <w:spacing w:after="0"/>
        <w:rPr>
          <w:sz w:val="20"/>
          <w:szCs w:val="20"/>
          <w:color w:val="auto"/>
        </w:rPr>
      </w:pPr>
      <w:r>
        <w:rPr>
          <w:rFonts w:ascii="Arial" w:cs="Arial" w:eastAsia="Arial" w:hAnsi="Arial"/>
          <w:sz w:val="14"/>
          <w:szCs w:val="14"/>
          <w:color w:val="auto"/>
        </w:rPr>
        <w:t>The following assumptions were used to estimate the fair value of the Market Condition RSUs granted during the nine months ended September 30, 2021 using a Monte-</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Carlo valuation simulation:</w:t>
      </w:r>
    </w:p>
    <w:p>
      <w:pPr>
        <w:spacing w:after="0" w:line="213" w:lineRule="exact"/>
        <w:rPr>
          <w:sz w:val="20"/>
          <w:szCs w:val="20"/>
          <w:color w:val="auto"/>
        </w:rPr>
      </w:pPr>
    </w:p>
    <w:tbl>
      <w:tblPr>
        <w:tblLayout w:type="fixed"/>
        <w:tblInd w:w="400" w:type="dxa"/>
        <w:tblCellMar>
          <w:top w:w="0" w:type="dxa"/>
          <w:left w:w="0" w:type="dxa"/>
          <w:bottom w:w="0" w:type="dxa"/>
          <w:right w:w="0" w:type="dxa"/>
        </w:tblCellMar>
      </w:tblPr>
      <w:tr>
        <w:trPr>
          <w:trHeight w:val="213"/>
        </w:trPr>
        <w:tc>
          <w:tcPr>
            <w:tcW w:w="2660" w:type="dxa"/>
            <w:vAlign w:val="bottom"/>
          </w:tcPr>
          <w:p>
            <w:pPr>
              <w:spacing w:after="0"/>
              <w:rPr>
                <w:sz w:val="18"/>
                <w:szCs w:val="18"/>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8"/>
                <w:szCs w:val="18"/>
                <w:color w:val="auto"/>
              </w:rPr>
            </w:pPr>
          </w:p>
        </w:tc>
      </w:tr>
      <w:tr>
        <w:trPr>
          <w:trHeight w:val="199"/>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Volatility</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w:t>
            </w:r>
          </w:p>
        </w:tc>
        <w:tc>
          <w:tcPr>
            <w:tcW w:w="20" w:type="dxa"/>
            <w:vAlign w:val="bottom"/>
          </w:tcPr>
          <w:p>
            <w:pPr>
              <w:spacing w:after="0"/>
              <w:rPr>
                <w:sz w:val="17"/>
                <w:szCs w:val="17"/>
                <w:color w:val="auto"/>
              </w:rPr>
            </w:pPr>
          </w:p>
        </w:tc>
      </w:tr>
      <w:tr>
        <w:trPr>
          <w:trHeight w:val="203"/>
        </w:trPr>
        <w:tc>
          <w:tcPr>
            <w:tcW w:w="2660" w:type="dxa"/>
            <w:vAlign w:val="bottom"/>
          </w:tcPr>
          <w:p>
            <w:pPr>
              <w:spacing w:after="0"/>
              <w:rPr>
                <w:sz w:val="20"/>
                <w:szCs w:val="20"/>
                <w:color w:val="auto"/>
              </w:rPr>
            </w:pPr>
            <w:r>
              <w:rPr>
                <w:rFonts w:ascii="Arial" w:cs="Arial" w:eastAsia="Arial" w:hAnsi="Arial"/>
                <w:sz w:val="16"/>
                <w:szCs w:val="16"/>
                <w:color w:val="auto"/>
              </w:rPr>
              <w:t>Risk-free interest rate</w:t>
            </w:r>
          </w:p>
        </w:tc>
        <w:tc>
          <w:tcPr>
            <w:tcW w:w="700" w:type="dxa"/>
            <w:vAlign w:val="bottom"/>
          </w:tcPr>
          <w:p>
            <w:pPr>
              <w:jc w:val="right"/>
              <w:spacing w:after="0"/>
              <w:rPr>
                <w:sz w:val="20"/>
                <w:szCs w:val="20"/>
                <w:color w:val="auto"/>
              </w:rPr>
            </w:pPr>
            <w:r>
              <w:rPr>
                <w:rFonts w:ascii="Arial" w:cs="Arial" w:eastAsia="Arial" w:hAnsi="Arial"/>
                <w:sz w:val="16"/>
                <w:szCs w:val="16"/>
                <w:color w:val="auto"/>
              </w:rPr>
              <w:t>0.3%</w:t>
            </w:r>
          </w:p>
        </w:tc>
        <w:tc>
          <w:tcPr>
            <w:tcW w:w="20" w:type="dxa"/>
            <w:vAlign w:val="bottom"/>
          </w:tcPr>
          <w:p>
            <w:pPr>
              <w:spacing w:after="0"/>
              <w:rPr>
                <w:sz w:val="17"/>
                <w:szCs w:val="17"/>
                <w:color w:val="auto"/>
              </w:rPr>
            </w:pPr>
          </w:p>
        </w:tc>
      </w:tr>
      <w:tr>
        <w:trPr>
          <w:trHeight w:val="203"/>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Correlation coefficient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20" w:type="dxa"/>
            <w:vAlign w:val="bottom"/>
          </w:tcPr>
          <w:p>
            <w:pPr>
              <w:spacing w:after="0"/>
              <w:rPr>
                <w:sz w:val="17"/>
                <w:szCs w:val="17"/>
                <w:color w:val="auto"/>
              </w:rPr>
            </w:pPr>
          </w:p>
        </w:tc>
      </w:tr>
      <w:tr>
        <w:trPr>
          <w:trHeight w:val="206"/>
        </w:trPr>
        <w:tc>
          <w:tcPr>
            <w:tcW w:w="2660" w:type="dxa"/>
            <w:vAlign w:val="bottom"/>
          </w:tcPr>
          <w:p>
            <w:pPr>
              <w:spacing w:after="0"/>
              <w:rPr>
                <w:sz w:val="20"/>
                <w:szCs w:val="20"/>
                <w:color w:val="auto"/>
              </w:rPr>
            </w:pPr>
            <w:r>
              <w:rPr>
                <w:rFonts w:ascii="Arial" w:cs="Arial" w:eastAsia="Arial" w:hAnsi="Arial"/>
                <w:sz w:val="16"/>
                <w:szCs w:val="16"/>
                <w:color w:val="auto"/>
              </w:rPr>
              <w:t>Dividend yield</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bl>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59"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Earnings (Loss) Per Share</w:t>
      </w:r>
    </w:p>
    <w:p>
      <w:pPr>
        <w:spacing w:after="0" w:line="221" w:lineRule="exact"/>
        <w:rPr>
          <w:sz w:val="20"/>
          <w:szCs w:val="20"/>
          <w:color w:val="auto"/>
        </w:rPr>
      </w:pPr>
    </w:p>
    <w:p>
      <w:pPr>
        <w:ind w:left="160" w:right="60" w:firstLine="288"/>
        <w:spacing w:after="0" w:line="305" w:lineRule="auto"/>
        <w:rPr>
          <w:sz w:val="20"/>
          <w:szCs w:val="20"/>
          <w:color w:val="auto"/>
        </w:rPr>
      </w:pPr>
      <w:r>
        <w:rPr>
          <w:rFonts w:ascii="Arial" w:cs="Arial" w:eastAsia="Arial" w:hAnsi="Arial"/>
          <w:sz w:val="15"/>
          <w:szCs w:val="15"/>
          <w:color w:val="auto"/>
        </w:rPr>
        <w:t>Basic earnings (loss) per share (EPS) is calculated by dividing net income (loss) by the number of weighted average shares of common stock outstanding during the period. The calculation of diluted earnings per share assumes conversion of stock options, restricted stock units and Market Condition RSUs into common stock using the treasury method. The weighted average number of shares used to compute basic and diluted earnings per share consists of the following:</w:t>
      </w:r>
    </w:p>
    <w:p>
      <w:pPr>
        <w:spacing w:after="0" w:line="148" w:lineRule="exact"/>
        <w:rPr>
          <w:sz w:val="20"/>
          <w:szCs w:val="20"/>
          <w:color w:val="auto"/>
        </w:rPr>
      </w:pPr>
    </w:p>
    <w:tbl>
      <w:tblPr>
        <w:tblLayout w:type="fixed"/>
        <w:tblInd w:w="112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2280" w:type="dxa"/>
            <w:vAlign w:val="bottom"/>
            <w:gridSpan w:val="4"/>
          </w:tcPr>
          <w:p>
            <w:pPr>
              <w:jc w:val="center"/>
              <w:ind w:left="379"/>
              <w:spacing w:after="0"/>
              <w:rPr>
                <w:sz w:val="20"/>
                <w:szCs w:val="20"/>
                <w:color w:val="auto"/>
              </w:rPr>
            </w:pPr>
            <w:r>
              <w:rPr>
                <w:rFonts w:ascii="Arial" w:cs="Arial" w:eastAsia="Arial" w:hAnsi="Arial"/>
                <w:sz w:val="16"/>
                <w:szCs w:val="16"/>
                <w:b w:val="1"/>
                <w:bCs w:val="1"/>
                <w:color w:val="auto"/>
                <w:w w:val="92"/>
              </w:rPr>
              <w:t>Three Months Ended</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gridSpan w:val="4"/>
          </w:tcPr>
          <w:p>
            <w:pPr>
              <w:jc w:val="center"/>
              <w:ind w:left="379"/>
              <w:spacing w:after="0"/>
              <w:rPr>
                <w:sz w:val="20"/>
                <w:szCs w:val="20"/>
                <w:color w:val="auto"/>
              </w:rPr>
            </w:pPr>
            <w:r>
              <w:rPr>
                <w:rFonts w:ascii="Arial" w:cs="Arial" w:eastAsia="Arial" w:hAnsi="Arial"/>
                <w:sz w:val="16"/>
                <w:szCs w:val="16"/>
                <w:b w:val="1"/>
                <w:bCs w:val="1"/>
                <w:color w:val="auto"/>
                <w:w w:val="92"/>
              </w:rPr>
              <w:t>Nine Months Ended</w:t>
            </w:r>
          </w:p>
        </w:tc>
        <w:tc>
          <w:tcPr>
            <w:tcW w:w="520" w:type="dxa"/>
            <w:vAlign w:val="bottom"/>
          </w:tcPr>
          <w:p>
            <w:pPr>
              <w:spacing w:after="0"/>
              <w:rPr>
                <w:sz w:val="17"/>
                <w:szCs w:val="17"/>
                <w:color w:val="auto"/>
              </w:rPr>
            </w:pPr>
          </w:p>
        </w:tc>
      </w:tr>
      <w:tr>
        <w:trPr>
          <w:trHeight w:val="210"/>
        </w:trPr>
        <w:tc>
          <w:tcPr>
            <w:tcW w:w="334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6"/>
                <w:szCs w:val="16"/>
                <w:b w:val="1"/>
                <w:bCs w:val="1"/>
                <w:color w:val="auto"/>
                <w:w w:val="89"/>
              </w:rPr>
              <w:t>September 30,</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6"/>
                <w:szCs w:val="16"/>
                <w:b w:val="1"/>
                <w:bCs w:val="1"/>
                <w:color w:val="auto"/>
                <w:w w:val="91"/>
              </w:rPr>
              <w:t>September 30,</w:t>
            </w:r>
          </w:p>
        </w:tc>
        <w:tc>
          <w:tcPr>
            <w:tcW w:w="520" w:type="dxa"/>
            <w:vAlign w:val="bottom"/>
            <w:tcBorders>
              <w:bottom w:val="single" w:sz="8" w:color="auto"/>
            </w:tcBorders>
          </w:tcPr>
          <w:p>
            <w:pPr>
              <w:spacing w:after="0"/>
              <w:rPr>
                <w:sz w:val="18"/>
                <w:szCs w:val="18"/>
                <w:color w:val="auto"/>
              </w:rPr>
            </w:pPr>
          </w:p>
        </w:tc>
      </w:tr>
      <w:tr>
        <w:trPr>
          <w:trHeight w:val="202"/>
        </w:trPr>
        <w:tc>
          <w:tcPr>
            <w:tcW w:w="33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146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2020</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140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2020</w:t>
            </w:r>
          </w:p>
        </w:tc>
        <w:tc>
          <w:tcPr>
            <w:tcW w:w="520" w:type="dxa"/>
            <w:vAlign w:val="bottom"/>
          </w:tcPr>
          <w:p>
            <w:pPr>
              <w:spacing w:after="0"/>
              <w:rPr>
                <w:sz w:val="17"/>
                <w:szCs w:val="17"/>
                <w:color w:val="auto"/>
              </w:rPr>
            </w:pPr>
          </w:p>
        </w:tc>
      </w:tr>
      <w:tr>
        <w:trPr>
          <w:trHeight w:val="196"/>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8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40,754</w:t>
            </w:r>
          </w:p>
        </w:tc>
        <w:tc>
          <w:tcPr>
            <w:tcW w:w="10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38,920</w:t>
            </w:r>
          </w:p>
        </w:tc>
        <w:tc>
          <w:tcPr>
            <w:tcW w:w="10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5"/>
              </w:rPr>
              <w:t>40,202</w:t>
            </w:r>
          </w:p>
        </w:tc>
        <w:tc>
          <w:tcPr>
            <w:tcW w:w="8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5"/>
              </w:rPr>
              <w:t>38,540</w:t>
            </w:r>
          </w:p>
        </w:tc>
      </w:tr>
      <w:tr>
        <w:trPr>
          <w:trHeight w:val="203"/>
        </w:trPr>
        <w:tc>
          <w:tcPr>
            <w:tcW w:w="3340" w:type="dxa"/>
            <w:vAlign w:val="bottom"/>
          </w:tcPr>
          <w:p>
            <w:pPr>
              <w:ind w:left="20"/>
              <w:spacing w:after="0"/>
              <w:rPr>
                <w:sz w:val="20"/>
                <w:szCs w:val="20"/>
                <w:color w:val="auto"/>
              </w:rPr>
            </w:pPr>
            <w:r>
              <w:rPr>
                <w:rFonts w:ascii="Arial" w:cs="Arial" w:eastAsia="Arial" w:hAnsi="Arial"/>
                <w:sz w:val="16"/>
                <w:szCs w:val="16"/>
                <w:color w:val="auto"/>
              </w:rPr>
              <w:t>Dilutive effect of equity awards</w:t>
            </w:r>
          </w:p>
        </w:tc>
        <w:tc>
          <w:tcPr>
            <w:tcW w:w="8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8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40,754</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38,920</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5"/>
              </w:rPr>
              <w:t>40,202</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5"/>
              </w:rPr>
              <w:t>38,540</w:t>
            </w:r>
          </w:p>
        </w:tc>
      </w:tr>
    </w:tbl>
    <w:p>
      <w:pPr>
        <w:spacing w:after="0" w:line="193" w:lineRule="exact"/>
        <w:rPr>
          <w:sz w:val="20"/>
          <w:szCs w:val="20"/>
          <w:color w:val="auto"/>
        </w:rPr>
      </w:pPr>
    </w:p>
    <w:p>
      <w:pPr>
        <w:ind w:left="160" w:right="300" w:firstLine="288"/>
        <w:spacing w:after="0" w:line="328" w:lineRule="auto"/>
        <w:rPr>
          <w:sz w:val="20"/>
          <w:szCs w:val="20"/>
          <w:color w:val="auto"/>
        </w:rPr>
      </w:pPr>
      <w:r>
        <w:rPr>
          <w:rFonts w:ascii="Arial" w:cs="Arial" w:eastAsia="Arial" w:hAnsi="Arial"/>
          <w:sz w:val="15"/>
          <w:szCs w:val="15"/>
          <w:color w:val="auto"/>
        </w:rPr>
        <w:t>The Company has excluded from the shares used in calculating the diluted earnings per common share options, restricted stock units and Market Condition RSUs totaling 3,816,362 and 5,473,292 as of September 30, 2021 and 2020 respectively, as the impact of these shares would be anti-dilutive.</w:t>
      </w:r>
    </w:p>
    <w:p>
      <w:pPr>
        <w:spacing w:after="0" w:line="375"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Long-Term Debt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September 30, 2021 and December 31, 2020, the Company’s borrowings were comprised of:</w:t>
      </w:r>
    </w:p>
    <w:p>
      <w:pPr>
        <w:sectPr>
          <w:pgSz w:w="11900" w:h="16838" w:orient="portrait"/>
          <w:cols w:equalWidth="0" w:num="1">
            <w:col w:w="11220"/>
          </w:cols>
          <w:pgMar w:left="320" w:top="395" w:right="35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2920"/>
        <w:spacing w:after="0"/>
        <w:rPr>
          <w:sz w:val="20"/>
          <w:szCs w:val="20"/>
          <w:color w:val="auto"/>
        </w:rPr>
      </w:pPr>
      <w:r>
        <w:rPr>
          <w:rFonts w:ascii="Arial" w:cs="Arial" w:eastAsia="Arial" w:hAnsi="Arial"/>
          <w:sz w:val="14"/>
          <w:szCs w:val="14"/>
          <w:color w:val="auto"/>
        </w:rPr>
        <w:t>(in thousands)</w:t>
      </w:r>
    </w:p>
    <w:p>
      <w:pPr>
        <w:spacing w:after="0" w:line="45" w:lineRule="exact"/>
        <w:rPr>
          <w:sz w:val="20"/>
          <w:szCs w:val="20"/>
          <w:color w:val="auto"/>
        </w:rPr>
      </w:pPr>
    </w:p>
    <w:p>
      <w:pPr>
        <w:jc w:val="center"/>
        <w:ind w:right="2780"/>
        <w:spacing w:after="0"/>
        <w:rPr>
          <w:sz w:val="20"/>
          <w:szCs w:val="20"/>
          <w:color w:val="auto"/>
        </w:rPr>
      </w:pPr>
      <w:r>
        <w:rPr>
          <w:rFonts w:ascii="Arial" w:cs="Arial" w:eastAsia="Arial" w:hAnsi="Arial"/>
          <w:sz w:val="15"/>
          <w:szCs w:val="15"/>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-104775</wp:posOffset>
            </wp:positionV>
            <wp:extent cx="4989195"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89195" cy="128905"/>
                    </a:xfrm>
                    <a:prstGeom prst="rect">
                      <a:avLst/>
                    </a:prstGeom>
                    <a:noFill/>
                  </pic:spPr>
                </pic:pic>
              </a:graphicData>
            </a:graphic>
          </wp:anchor>
        </w:drawing>
      </w:r>
    </w:p>
    <w:p>
      <w:pPr>
        <w:spacing w:after="0" w:line="10" w:lineRule="exact"/>
        <w:rPr>
          <w:sz w:val="20"/>
          <w:szCs w:val="20"/>
          <w:color w:val="auto"/>
        </w:rPr>
      </w:pPr>
    </w:p>
    <w:p>
      <w:pPr>
        <w:jc w:val="center"/>
        <w:ind w:right="2860"/>
        <w:spacing w:after="0"/>
        <w:rPr>
          <w:sz w:val="20"/>
          <w:szCs w:val="20"/>
          <w:color w:val="auto"/>
        </w:rPr>
      </w:pPr>
      <w:r>
        <w:rPr>
          <w:rFonts w:ascii="Arial" w:cs="Arial" w:eastAsia="Arial" w:hAnsi="Arial"/>
          <w:sz w:val="16"/>
          <w:szCs w:val="16"/>
          <w:color w:val="auto"/>
        </w:rPr>
        <w:t>Term loan</w:t>
      </w:r>
    </w:p>
    <w:p>
      <w:pPr>
        <w:spacing w:after="0" w:line="1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Revolving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-112395</wp:posOffset>
            </wp:positionV>
            <wp:extent cx="498919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89195" cy="128905"/>
                    </a:xfrm>
                    <a:prstGeom prst="rect">
                      <a:avLst/>
                    </a:prstGeom>
                    <a:noFill/>
                  </pic:spPr>
                </pic:pic>
              </a:graphicData>
            </a:graphic>
          </wp:anchor>
        </w:drawing>
      </w:r>
    </w:p>
    <w:p>
      <w:pPr>
        <w:spacing w:after="0" w:line="8" w:lineRule="exact"/>
        <w:rPr>
          <w:sz w:val="20"/>
          <w:szCs w:val="20"/>
          <w:color w:val="auto"/>
        </w:rPr>
      </w:pPr>
    </w:p>
    <w:p>
      <w:pPr>
        <w:ind w:left="400" w:right="1280" w:firstLine="162"/>
        <w:spacing w:after="0" w:line="266" w:lineRule="auto"/>
        <w:rPr>
          <w:sz w:val="20"/>
          <w:szCs w:val="20"/>
          <w:color w:val="auto"/>
        </w:rPr>
      </w:pPr>
      <w:r>
        <w:rPr>
          <w:rFonts w:ascii="Arial" w:cs="Arial" w:eastAsia="Arial" w:hAnsi="Arial"/>
          <w:sz w:val="16"/>
          <w:szCs w:val="16"/>
          <w:color w:val="auto"/>
        </w:rPr>
        <w:t>Less: unamortized deferred financing costs Total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-123190</wp:posOffset>
            </wp:positionV>
            <wp:extent cx="498919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89195" cy="128905"/>
                    </a:xfrm>
                    <a:prstGeom prst="rect">
                      <a:avLst/>
                    </a:prstGeom>
                    <a:noFill/>
                  </pic:spPr>
                </pic:pic>
              </a:graphicData>
            </a:graphic>
          </wp:anchor>
        </w:drawing>
      </w:r>
    </w:p>
    <w:p>
      <w:pPr>
        <w:ind w:left="560" w:right="1140"/>
        <w:spacing w:after="0" w:line="339" w:lineRule="auto"/>
        <w:rPr>
          <w:sz w:val="20"/>
          <w:szCs w:val="20"/>
          <w:color w:val="auto"/>
        </w:rPr>
      </w:pPr>
      <w:r>
        <w:rPr>
          <w:rFonts w:ascii="Arial" w:cs="Arial" w:eastAsia="Arial" w:hAnsi="Arial"/>
          <w:sz w:val="14"/>
          <w:szCs w:val="14"/>
          <w:color w:val="auto"/>
        </w:rPr>
        <w:t>Less: current portion of long-term debt Current unamortized deferred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-155575</wp:posOffset>
            </wp:positionV>
            <wp:extent cx="498919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400"/>
        <w:spacing w:after="0"/>
        <w:rPr>
          <w:sz w:val="20"/>
          <w:szCs w:val="20"/>
          <w:color w:val="auto"/>
        </w:rPr>
      </w:pPr>
      <w:r>
        <w:rPr>
          <w:rFonts w:ascii="Arial" w:cs="Arial" w:eastAsia="Arial" w:hAnsi="Arial"/>
          <w:sz w:val="16"/>
          <w:szCs w:val="16"/>
          <w:color w:val="auto"/>
        </w:rPr>
        <w:t>Long-term debt</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40" w:type="dxa"/>
            <w:vAlign w:val="bottom"/>
          </w:tcPr>
          <w:p>
            <w:pPr>
              <w:spacing w:after="0"/>
              <w:rPr>
                <w:sz w:val="17"/>
                <w:szCs w:val="17"/>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b w:val="1"/>
                <w:bCs w:val="1"/>
                <w:color w:val="auto"/>
                <w:w w:val="93"/>
              </w:rPr>
              <w:t>September 30,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179"/>
              <w:spacing w:after="0"/>
              <w:rPr>
                <w:sz w:val="20"/>
                <w:szCs w:val="20"/>
                <w:color w:val="auto"/>
              </w:rPr>
            </w:pPr>
            <w:r>
              <w:rPr>
                <w:rFonts w:ascii="Arial" w:cs="Arial" w:eastAsia="Arial" w:hAnsi="Arial"/>
                <w:sz w:val="16"/>
                <w:szCs w:val="16"/>
                <w:b w:val="1"/>
                <w:bCs w:val="1"/>
                <w:color w:val="auto"/>
                <w:w w:val="94"/>
              </w:rPr>
              <w:t>December 31,</w:t>
            </w:r>
          </w:p>
        </w:tc>
      </w:tr>
      <w:tr>
        <w:trPr>
          <w:trHeight w:val="213"/>
        </w:trPr>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r>
      <w:tr>
        <w:trPr>
          <w:trHeight w:val="392"/>
        </w:trPr>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38,500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40,000</w:t>
            </w:r>
          </w:p>
        </w:tc>
      </w:tr>
      <w:tr>
        <w:trPr>
          <w:trHeight w:val="203"/>
        </w:trPr>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7,900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9,400</w:t>
            </w:r>
          </w:p>
        </w:tc>
      </w:tr>
      <w:tr>
        <w:trPr>
          <w:trHeight w:val="209"/>
        </w:trPr>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(1,190)</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(1,393)</w:t>
            </w:r>
          </w:p>
        </w:tc>
      </w:tr>
      <w:tr>
        <w:trPr>
          <w:trHeight w:val="189"/>
        </w:trPr>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45,210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48,007</w:t>
            </w:r>
          </w:p>
        </w:tc>
      </w:tr>
      <w:tr>
        <w:trPr>
          <w:trHeight w:val="203"/>
        </w:trPr>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(2,750)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(2,000)</w:t>
            </w:r>
          </w:p>
        </w:tc>
      </w:tr>
      <w:tr>
        <w:trPr>
          <w:trHeight w:val="209"/>
        </w:trPr>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w:t>
            </w:r>
          </w:p>
        </w:tc>
      </w:tr>
      <w:tr>
        <w:trPr>
          <w:trHeight w:val="199"/>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42,740</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46,286</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ectPr>
          <w:pgSz w:w="11900" w:h="16838" w:orient="portrait"/>
          <w:cols w:equalWidth="0" w:num="2">
            <w:col w:w="4640" w:space="720"/>
            <w:col w:w="5860"/>
          </w:cols>
          <w:pgMar w:left="320" w:top="395" w:right="359" w:bottom="1440" w:gutter="0" w:footer="0" w:header="0"/>
          <w:type w:val="continuous"/>
        </w:sectPr>
      </w:pPr>
    </w:p>
    <w:p>
      <w:pPr>
        <w:ind w:left="160" w:firstLine="288"/>
        <w:spacing w:after="0" w:line="287" w:lineRule="auto"/>
        <w:rPr>
          <w:sz w:val="20"/>
          <w:szCs w:val="20"/>
          <w:color w:val="auto"/>
        </w:rPr>
      </w:pPr>
      <w:r>
        <w:rPr>
          <w:rFonts w:ascii="Arial" w:cs="Arial" w:eastAsia="Arial" w:hAnsi="Arial"/>
          <w:sz w:val="15"/>
          <w:szCs w:val="15"/>
          <w:color w:val="auto"/>
        </w:rPr>
        <w:t>On December 22, 2020, the Company entered into a Credit Agreement (the “Credit Agreement”) with Citizens Bank, N.A., Wells Fargo Bank, National Association, and Silicon Valley Bank (together, the “Lenders”). The Credit Agreement provides for a term loan of $40.0 million and a $25.0 million senior revolving credit facility (including a $10.0 million sub-facility for the issuance of letters of credit and a $10.0 million swingline loan sub facility) (collectively, the “Credit Facility”). The Company’s obligations under the Credit Agreement are guaranteed by certain of the Company’s direct, domestic wholly-owned subsidiaries; none of the Company’s direct or indirect foreign subsidiaries has guaranteed the Credit Facility. The Company’s obligations under the Credit Agreement are secured by substantially all of the assets of Harvard Bioscience, Inc., and each guarantor (including all or a portion of the equity interests in certain of the Company’s domestic and foreign subsidiaries). The Credit Facility matures on December 22, 2025. Issuance costs of $1.4 million are amortized over the contractual term to maturity date on a straight-line basis, which approximates the effective interest method. As of September 30, 2021, available borrowing capacity under the revolving line of credit was $17.1 million. The Credit Facility replaced the Company’s prior credit facility, which was repaid with borrowings under the Credit Facility.</w:t>
      </w:r>
    </w:p>
    <w:p>
      <w:pPr>
        <w:spacing w:after="0" w:line="169" w:lineRule="exact"/>
        <w:rPr>
          <w:sz w:val="20"/>
          <w:szCs w:val="20"/>
          <w:color w:val="auto"/>
        </w:rPr>
      </w:pPr>
    </w:p>
    <w:p>
      <w:pPr>
        <w:ind w:left="160" w:right="20" w:firstLine="288"/>
        <w:spacing w:after="0" w:line="303" w:lineRule="auto"/>
        <w:rPr>
          <w:sz w:val="20"/>
          <w:szCs w:val="20"/>
          <w:color w:val="auto"/>
        </w:rPr>
      </w:pPr>
      <w:r>
        <w:rPr>
          <w:rFonts w:ascii="Arial" w:cs="Arial" w:eastAsia="Arial" w:hAnsi="Arial"/>
          <w:sz w:val="14"/>
          <w:szCs w:val="14"/>
          <w:color w:val="auto"/>
        </w:rPr>
        <w:t>Borrowings under the Credit Facility will, at the option of the Company, bear interest at either (i) a rate per annum based on LIBOR for an interest period of one, two, three or nine months, plus an applicable interest rate margin determined as provided in the Credit Agreement (a “LIBOR Loan”), or (ii) an alternative base rate plus an applicable interest rate margin, each as determined as provided in the Credit Agreement (an “ABR Loan”). LIBOR interest under the Credit Agreement is subject to applicable market rates and a floor of 0.50 %. The alternative base rate is based on the Citizens Bank prime rate or the federal funds effective rate of the Federal Reserve Bank of New York and is subject to a floor of 1.0%. The applicable interest rate margin varies from 2.0% per annum to 3.25% per annum for LIBOR Loans, and from</w:t>
      </w:r>
    </w:p>
    <w:p>
      <w:pPr>
        <w:ind w:left="160" w:right="40"/>
        <w:spacing w:after="0" w:line="295" w:lineRule="auto"/>
        <w:rPr>
          <w:sz w:val="20"/>
          <w:szCs w:val="20"/>
          <w:color w:val="auto"/>
        </w:rPr>
      </w:pPr>
      <w:r>
        <w:rPr>
          <w:rFonts w:ascii="Arial" w:cs="Arial" w:eastAsia="Arial" w:hAnsi="Arial"/>
          <w:sz w:val="15"/>
          <w:szCs w:val="15"/>
          <w:color w:val="auto"/>
        </w:rPr>
        <w:t>1.5% per annum to 3.0% per annum for ABR Loans, in each case depending on the Company’s consolidated leverage ratio and is determined in accordance with a pricing grid set forth in the Credit Agreement. Interest on LIBOR Loans is payable in arrears on the last day of each applicable interest period, and interest on ABR Loans is payable in arrears at the end of each calendar quarter. There are no prepayment penalties in the event the Company elects to prepay and terminate the Credit Facility prior to its scheduled maturity date, subject to LIBOR breakage and redeployment costs in certain circumstances.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59" w:lineRule="exact"/>
        <w:rPr>
          <w:sz w:val="20"/>
          <w:szCs w:val="20"/>
          <w:color w:val="auto"/>
        </w:rPr>
      </w:pPr>
    </w:p>
    <w:p>
      <w:pPr>
        <w:ind w:left="160" w:right="240" w:firstLine="288"/>
        <w:spacing w:after="0" w:line="278" w:lineRule="auto"/>
        <w:rPr>
          <w:sz w:val="20"/>
          <w:szCs w:val="20"/>
          <w:color w:val="auto"/>
        </w:rPr>
      </w:pPr>
      <w:r>
        <w:rPr>
          <w:rFonts w:ascii="Arial" w:cs="Arial" w:eastAsia="Arial" w:hAnsi="Arial"/>
          <w:sz w:val="16"/>
          <w:szCs w:val="16"/>
          <w:color w:val="auto"/>
        </w:rPr>
        <w:t>As of September 30, 2021, the weighted average interest rate on the Credit Agreement borrowings was 3.0%. The effective interest rate for the three months ended September 30, 2021 and 2020, was 3.2% and 10.1%, respectively. The effective interest rate for the nine months ended September 30, 2021 and 2020, was 3.3% and 9.8%, respectively.</w:t>
      </w:r>
    </w:p>
    <w:p>
      <w:pPr>
        <w:spacing w:after="0" w:line="171" w:lineRule="exact"/>
        <w:rPr>
          <w:sz w:val="20"/>
          <w:szCs w:val="20"/>
          <w:color w:val="auto"/>
        </w:rPr>
      </w:pPr>
    </w:p>
    <w:p>
      <w:pPr>
        <w:ind w:left="160" w:right="160" w:firstLine="288"/>
        <w:spacing w:after="0" w:line="269" w:lineRule="auto"/>
        <w:rPr>
          <w:sz w:val="20"/>
          <w:szCs w:val="20"/>
          <w:color w:val="auto"/>
        </w:rPr>
      </w:pPr>
      <w:r>
        <w:rPr>
          <w:rFonts w:ascii="Arial" w:cs="Arial" w:eastAsia="Arial" w:hAnsi="Arial"/>
          <w:sz w:val="16"/>
          <w:szCs w:val="16"/>
          <w:color w:val="auto"/>
        </w:rPr>
        <w:t>Commencing on March 31, 2021, the outstanding term loans amortizes in quarterly installments of $0.5 million per quarter on such date and during each of the next three quarters thereafter, $0.75 million per quarter during the next eight quarters thereafter and $1.0 million per quarter thereafter, with a balloon payment at maturity. Furthermore, within ninety days after the end of the Company’s fiscal year ended December 31, 2021, and for each fiscal year thereafter, the term loans may be permanently reduced pursuant to certain mandatory prepayment events including an annual “excess cash flow sweep” of 50% of the consolidated excess cash flow, as defined in the agreement; provided that, in any fiscal year, any voluntary prepayments of the term loans shall be credited against the Company’s “excess cash flow” prepayment obligations on a dollar-for-dollar basis for such fiscal year. Amounts outstanding under the revolving credit facility can be repaid at any time but are due in full at maturity.</w:t>
      </w:r>
    </w:p>
    <w:p>
      <w:pPr>
        <w:spacing w:after="0" w:line="176" w:lineRule="exact"/>
        <w:rPr>
          <w:sz w:val="20"/>
          <w:szCs w:val="20"/>
          <w:color w:val="auto"/>
        </w:rPr>
      </w:pPr>
    </w:p>
    <w:p>
      <w:pPr>
        <w:ind w:left="160" w:right="80" w:firstLine="288"/>
        <w:spacing w:after="0" w:line="305" w:lineRule="auto"/>
        <w:rPr>
          <w:sz w:val="20"/>
          <w:szCs w:val="20"/>
          <w:color w:val="auto"/>
        </w:rPr>
      </w:pPr>
      <w:r>
        <w:rPr>
          <w:rFonts w:ascii="Arial" w:cs="Arial" w:eastAsia="Arial" w:hAnsi="Arial"/>
          <w:sz w:val="15"/>
          <w:szCs w:val="15"/>
          <w:color w:val="auto"/>
        </w:rPr>
        <w:t>The Credit Agreement includes customary affirmative, negative, and financial covenants binding on the Company. The negative covenants limit the ability of the Company, among other things, to incur debt, incur liens, make investments, sell assets and pay dividends on its capital stock. The financial covenants include a maximum consolidated net leverage ratio and a minimum consolidated fixed charge coverage ratio. The Credit Agreement also includes customary events of default.</w:t>
      </w:r>
    </w:p>
    <w:p>
      <w:pPr>
        <w:spacing w:after="0" w:line="152" w:lineRule="exact"/>
        <w:rPr>
          <w:sz w:val="20"/>
          <w:szCs w:val="20"/>
          <w:color w:val="auto"/>
        </w:rPr>
      </w:pPr>
    </w:p>
    <w:p>
      <w:pPr>
        <w:ind w:left="160" w:right="200" w:firstLine="288"/>
        <w:spacing w:after="0" w:line="293" w:lineRule="auto"/>
        <w:rPr>
          <w:sz w:val="20"/>
          <w:szCs w:val="20"/>
          <w:color w:val="auto"/>
        </w:rPr>
      </w:pPr>
      <w:r>
        <w:rPr>
          <w:rFonts w:ascii="Arial" w:cs="Arial" w:eastAsia="Arial" w:hAnsi="Arial"/>
          <w:sz w:val="16"/>
          <w:szCs w:val="16"/>
          <w:color w:val="auto"/>
        </w:rPr>
        <w:t>The carrying value of the debt approximates fair value because the interest rate under the obligation approximates market rates of interest available to the Company for similar instruments.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Derivatives</w:t>
      </w:r>
    </w:p>
    <w:p>
      <w:pPr>
        <w:spacing w:after="0" w:line="225" w:lineRule="exact"/>
        <w:rPr>
          <w:sz w:val="20"/>
          <w:szCs w:val="20"/>
          <w:color w:val="auto"/>
        </w:rPr>
      </w:pPr>
    </w:p>
    <w:p>
      <w:pPr>
        <w:ind w:left="160" w:right="600" w:firstLine="288"/>
        <w:spacing w:after="0" w:line="293" w:lineRule="auto"/>
        <w:rPr>
          <w:sz w:val="20"/>
          <w:szCs w:val="20"/>
          <w:color w:val="auto"/>
        </w:rPr>
      </w:pPr>
      <w:r>
        <w:rPr>
          <w:rFonts w:ascii="Arial" w:cs="Arial" w:eastAsia="Arial" w:hAnsi="Arial"/>
          <w:sz w:val="16"/>
          <w:szCs w:val="16"/>
          <w:color w:val="auto"/>
        </w:rPr>
        <w:t>The Company monitors interest rate risk attributable to both its outstanding and forecasted debt obligations by the use of cash flow sensitivity analysis which estimates the expected impact of changes in interest rates on the Company’s future cash flows.</w:t>
      </w:r>
    </w:p>
    <w:p>
      <w:pPr>
        <w:spacing w:after="0" w:line="158" w:lineRule="exact"/>
        <w:rPr>
          <w:sz w:val="20"/>
          <w:szCs w:val="20"/>
          <w:color w:val="auto"/>
        </w:rPr>
      </w:pPr>
    </w:p>
    <w:p>
      <w:pPr>
        <w:ind w:left="160" w:right="40" w:firstLine="288"/>
        <w:spacing w:after="0" w:line="315" w:lineRule="auto"/>
        <w:rPr>
          <w:sz w:val="20"/>
          <w:szCs w:val="20"/>
          <w:color w:val="auto"/>
        </w:rPr>
      </w:pPr>
      <w:r>
        <w:rPr>
          <w:rFonts w:ascii="Arial" w:cs="Arial" w:eastAsia="Arial" w:hAnsi="Arial"/>
          <w:sz w:val="14"/>
          <w:szCs w:val="14"/>
          <w:color w:val="auto"/>
        </w:rPr>
        <w:t>On January 31, 2018, the Company entered into an interest rate swap contract with a notional amount of $36.0 million and a termination date of January 1, 2023. This swap contract, which converted specific variable-rate debt into fixed-rate debt and fixed the LIBOR rate associated with a portion of the term loan under the Company’s prior credit facility at 2.72% was cancelled on December 22, 2020, in connection with the new Credit Agreement as described in Note 9. The Company structured this interest rate swaps to be fully effective in accordance with ASC 815 “Derivatives and Hedging”, and therefore changes in the fair value of the swap offset the variability of cash flows associated with the variable-rate, long-term debt obligations and were reported in accumulated other comprehensive income (AOCI). These amounts subsequently were reclassified into interest expense as a yield adjustment of the hedged interest payments in the same period in which the related interest affects earnings.</w:t>
      </w:r>
    </w:p>
    <w:p>
      <w:pPr>
        <w:spacing w:after="0" w:line="150" w:lineRule="exact"/>
        <w:rPr>
          <w:sz w:val="20"/>
          <w:szCs w:val="20"/>
          <w:color w:val="auto"/>
        </w:rPr>
      </w:pPr>
    </w:p>
    <w:p>
      <w:pPr>
        <w:ind w:left="160" w:right="100" w:firstLine="288"/>
        <w:spacing w:after="0" w:line="293" w:lineRule="auto"/>
        <w:rPr>
          <w:sz w:val="20"/>
          <w:szCs w:val="20"/>
          <w:color w:val="auto"/>
        </w:rPr>
      </w:pPr>
      <w:r>
        <w:rPr>
          <w:rFonts w:ascii="Arial" w:cs="Arial" w:eastAsia="Arial" w:hAnsi="Arial"/>
          <w:sz w:val="16"/>
          <w:szCs w:val="16"/>
          <w:color w:val="auto"/>
        </w:rPr>
        <w:t>The following table summarizes the effect of derivatives designated as cash flow hedging instruments and their classification within comprehensive loss for the three and nine months ended September 30, 2020:</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 w:type="dxa"/>
            <w:vAlign w:val="bottom"/>
          </w:tcPr>
          <w:p>
            <w:pPr>
              <w:spacing w:after="0"/>
              <w:rPr>
                <w:sz w:val="17"/>
                <w:szCs w:val="17"/>
                <w:color w:val="auto"/>
              </w:rPr>
            </w:pPr>
          </w:p>
        </w:tc>
        <w:tc>
          <w:tcPr>
            <w:tcW w:w="6780" w:type="dxa"/>
            <w:vAlign w:val="bottom"/>
          </w:tcPr>
          <w:p>
            <w:pPr>
              <w:spacing w:after="0"/>
              <w:rPr>
                <w:sz w:val="17"/>
                <w:szCs w:val="17"/>
                <w:color w:val="auto"/>
              </w:rPr>
            </w:pPr>
          </w:p>
        </w:tc>
        <w:tc>
          <w:tcPr>
            <w:tcW w:w="162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w w:val="93"/>
              </w:rPr>
              <w:t>Three Months Ended</w:t>
            </w:r>
          </w:p>
        </w:tc>
        <w:tc>
          <w:tcPr>
            <w:tcW w:w="100" w:type="dxa"/>
            <w:vAlign w:val="bottom"/>
          </w:tcPr>
          <w:p>
            <w:pPr>
              <w:spacing w:after="0"/>
              <w:rPr>
                <w:sz w:val="17"/>
                <w:szCs w:val="17"/>
                <w:color w:val="auto"/>
              </w:rPr>
            </w:pPr>
          </w:p>
        </w:tc>
        <w:tc>
          <w:tcPr>
            <w:tcW w:w="160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w w:val="96"/>
              </w:rPr>
              <w:t>Nine Months Ended</w:t>
            </w:r>
          </w:p>
        </w:tc>
        <w:tc>
          <w:tcPr>
            <w:tcW w:w="740" w:type="dxa"/>
            <w:vAlign w:val="bottom"/>
          </w:tcPr>
          <w:p>
            <w:pPr>
              <w:spacing w:after="0"/>
              <w:rPr>
                <w:sz w:val="17"/>
                <w:szCs w:val="17"/>
                <w:color w:val="auto"/>
              </w:rPr>
            </w:pPr>
          </w:p>
        </w:tc>
      </w:tr>
      <w:tr>
        <w:trPr>
          <w:trHeight w:val="216"/>
        </w:trPr>
        <w:tc>
          <w:tcPr>
            <w:tcW w:w="40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(in thousands)</w:t>
            </w:r>
          </w:p>
        </w:tc>
        <w:tc>
          <w:tcPr>
            <w:tcW w:w="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September 30, 2020</w:t>
            </w:r>
          </w:p>
        </w:tc>
        <w:tc>
          <w:tcPr>
            <w:tcW w:w="100" w:type="dxa"/>
            <w:vAlign w:val="bottom"/>
          </w:tcPr>
          <w:p>
            <w:pPr>
              <w:spacing w:after="0"/>
              <w:rPr>
                <w:sz w:val="18"/>
                <w:szCs w:val="18"/>
                <w:color w:val="auto"/>
              </w:rPr>
            </w:pPr>
          </w:p>
        </w:tc>
        <w:tc>
          <w:tcPr>
            <w:tcW w:w="160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auto"/>
                <w:w w:val="95"/>
              </w:rPr>
              <w:t>September 30, 2020</w:t>
            </w:r>
          </w:p>
        </w:tc>
        <w:tc>
          <w:tcPr>
            <w:tcW w:w="740" w:type="dxa"/>
            <w:vAlign w:val="bottom"/>
          </w:tcPr>
          <w:p>
            <w:pPr>
              <w:spacing w:after="0"/>
              <w:rPr>
                <w:sz w:val="18"/>
                <w:szCs w:val="18"/>
                <w:color w:val="auto"/>
              </w:rPr>
            </w:pPr>
          </w:p>
        </w:tc>
      </w:tr>
      <w:tr>
        <w:trPr>
          <w:trHeight w:val="196"/>
        </w:trPr>
        <w:tc>
          <w:tcPr>
            <w:tcW w:w="400" w:type="dxa"/>
            <w:vAlign w:val="bottom"/>
          </w:tcPr>
          <w:p>
            <w:pPr>
              <w:spacing w:after="0"/>
              <w:rPr>
                <w:sz w:val="17"/>
                <w:szCs w:val="17"/>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Amount of loss recognized in OCL on derivatives (effective portion)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760" w:type="dxa"/>
            <w:vAlign w:val="bottom"/>
            <w:gridSpan w:val="2"/>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740" w:type="dxa"/>
            <w:vAlign w:val="bottom"/>
          </w:tcPr>
          <w:p>
            <w:pPr>
              <w:spacing w:after="0"/>
              <w:rPr>
                <w:sz w:val="17"/>
                <w:szCs w:val="17"/>
                <w:color w:val="auto"/>
              </w:rPr>
            </w:pPr>
          </w:p>
        </w:tc>
      </w:tr>
      <w:tr>
        <w:trPr>
          <w:trHeight w:val="203"/>
        </w:trPr>
        <w:tc>
          <w:tcPr>
            <w:tcW w:w="400" w:type="dxa"/>
            <w:vAlign w:val="bottom"/>
          </w:tcPr>
          <w:p>
            <w:pPr>
              <w:spacing w:after="0"/>
              <w:rPr>
                <w:sz w:val="17"/>
                <w:szCs w:val="17"/>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Amounts reclassified from accumulated other comprehensive loss to interest expense</w:t>
            </w:r>
          </w:p>
        </w:tc>
        <w:tc>
          <w:tcPr>
            <w:tcW w:w="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262</w:t>
            </w:r>
          </w:p>
        </w:tc>
        <w:tc>
          <w:tcPr>
            <w:tcW w:w="740" w:type="dxa"/>
            <w:vAlign w:val="bottom"/>
          </w:tcPr>
          <w:p>
            <w:pPr>
              <w:spacing w:after="0"/>
              <w:rPr>
                <w:sz w:val="17"/>
                <w:szCs w:val="17"/>
                <w:color w:val="auto"/>
              </w:rPr>
            </w:pPr>
          </w:p>
        </w:tc>
      </w:tr>
      <w:tr>
        <w:trPr>
          <w:trHeight w:val="236"/>
        </w:trPr>
        <w:tc>
          <w:tcPr>
            <w:tcW w:w="400" w:type="dxa"/>
            <w:vAlign w:val="bottom"/>
          </w:tcPr>
          <w:p>
            <w:pPr>
              <w:spacing w:after="0"/>
              <w:rPr>
                <w:sz w:val="20"/>
                <w:szCs w:val="20"/>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92</w:t>
            </w:r>
          </w:p>
        </w:tc>
        <w:tc>
          <w:tcPr>
            <w:tcW w:w="760" w:type="dxa"/>
            <w:vAlign w:val="bottom"/>
            <w:gridSpan w:val="2"/>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c>
          <w:tcPr>
            <w:tcW w:w="740" w:type="dxa"/>
            <w:vAlign w:val="bottom"/>
          </w:tcPr>
          <w:p>
            <w:pPr>
              <w:spacing w:after="0"/>
              <w:rPr>
                <w:sz w:val="20"/>
                <w:szCs w:val="20"/>
                <w:color w:val="auto"/>
              </w:rPr>
            </w:pPr>
          </w:p>
        </w:tc>
      </w:tr>
      <w:tr>
        <w:trPr>
          <w:trHeight w:val="379"/>
        </w:trPr>
        <w:tc>
          <w:tcPr>
            <w:tcW w:w="400" w:type="dxa"/>
            <w:vAlign w:val="bottom"/>
          </w:tcPr>
          <w:p>
            <w:pPr>
              <w:spacing w:after="0"/>
              <w:rPr>
                <w:sz w:val="24"/>
                <w:szCs w:val="24"/>
                <w:color w:val="auto"/>
              </w:rPr>
            </w:pPr>
          </w:p>
        </w:tc>
        <w:tc>
          <w:tcPr>
            <w:tcW w:w="6780" w:type="dxa"/>
            <w:vAlign w:val="bottom"/>
            <w:tcBorders>
              <w:top w:val="single" w:sz="8" w:color="CCEEFF"/>
            </w:tcBorders>
          </w:tcPr>
          <w:p>
            <w:pPr>
              <w:ind w:left="5140"/>
              <w:spacing w:after="0"/>
              <w:rPr>
                <w:sz w:val="20"/>
                <w:szCs w:val="20"/>
                <w:color w:val="auto"/>
              </w:rPr>
            </w:pPr>
            <w:r>
              <w:rPr>
                <w:rFonts w:ascii="Arial" w:cs="Arial" w:eastAsia="Arial" w:hAnsi="Arial"/>
                <w:sz w:val="16"/>
                <w:szCs w:val="16"/>
                <w:color w:val="auto"/>
              </w:rPr>
              <w:t>14</w:t>
            </w:r>
          </w:p>
        </w:tc>
        <w:tc>
          <w:tcPr>
            <w:tcW w:w="8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740" w:type="dxa"/>
            <w:vAlign w:val="bottom"/>
          </w:tcPr>
          <w:p>
            <w:pPr>
              <w:spacing w:after="0"/>
              <w:rPr>
                <w:sz w:val="24"/>
                <w:szCs w:val="24"/>
                <w:color w:val="auto"/>
              </w:rPr>
            </w:pPr>
          </w:p>
        </w:tc>
      </w:tr>
      <w:tr>
        <w:trPr>
          <w:trHeight w:val="121"/>
        </w:trPr>
        <w:tc>
          <w:tcPr>
            <w:tcW w:w="400" w:type="dxa"/>
            <w:vAlign w:val="bottom"/>
            <w:tcBorders>
              <w:bottom w:val="single" w:sz="8" w:color="auto"/>
            </w:tcBorders>
          </w:tcPr>
          <w:p>
            <w:pPr>
              <w:spacing w:after="0"/>
              <w:rPr>
                <w:sz w:val="10"/>
                <w:szCs w:val="10"/>
                <w:color w:val="auto"/>
              </w:rPr>
            </w:pPr>
          </w:p>
        </w:tc>
        <w:tc>
          <w:tcPr>
            <w:tcW w:w="67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39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Revenues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following tables represent a disaggregation of revenue from contracts with customers for the three and nine months ended September 30, 2021 and 2020:</w:t>
      </w:r>
    </w:p>
    <w:p>
      <w:pPr>
        <w:spacing w:after="0" w:line="229" w:lineRule="exact"/>
        <w:rPr>
          <w:sz w:val="20"/>
          <w:szCs w:val="20"/>
          <w:color w:val="auto"/>
        </w:rPr>
      </w:pPr>
    </w:p>
    <w:tbl>
      <w:tblPr>
        <w:tblLayout w:type="fixed"/>
        <w:tblInd w:w="400" w:type="dxa"/>
        <w:tblCellMar>
          <w:top w:w="0" w:type="dxa"/>
          <w:left w:w="0" w:type="dxa"/>
          <w:bottom w:w="0" w:type="dxa"/>
          <w:right w:w="0" w:type="dxa"/>
        </w:tblCellMar>
      </w:tblPr>
      <w:tr>
        <w:trPr>
          <w:trHeight w:val="203"/>
        </w:trPr>
        <w:tc>
          <w:tcPr>
            <w:tcW w:w="4560" w:type="dxa"/>
            <w:vAlign w:val="bottom"/>
          </w:tcPr>
          <w:p>
            <w:pPr>
              <w:spacing w:after="0"/>
              <w:rPr>
                <w:sz w:val="17"/>
                <w:szCs w:val="17"/>
                <w:color w:val="auto"/>
              </w:rPr>
            </w:pPr>
          </w:p>
        </w:tc>
        <w:tc>
          <w:tcPr>
            <w:tcW w:w="222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2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456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6"/>
                <w:szCs w:val="16"/>
                <w:b w:val="1"/>
                <w:bCs w:val="1"/>
                <w:color w:val="auto"/>
                <w:w w:val="95"/>
              </w:rPr>
              <w:t>September 30,</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r>
      <w:tr>
        <w:trPr>
          <w:trHeight w:val="202"/>
        </w:trPr>
        <w:tc>
          <w:tcPr>
            <w:tcW w:w="4560" w:type="dxa"/>
            <w:vAlign w:val="bottom"/>
          </w:tcPr>
          <w:p>
            <w:pPr>
              <w:spacing w:after="0"/>
              <w:rPr>
                <w:sz w:val="20"/>
                <w:szCs w:val="20"/>
                <w:color w:val="auto"/>
              </w:rPr>
            </w:pPr>
            <w:r>
              <w:rPr>
                <w:rFonts w:ascii="Arial" w:cs="Arial" w:eastAsia="Arial" w:hAnsi="Arial"/>
                <w:sz w:val="16"/>
                <w:szCs w:val="16"/>
                <w:color w:val="auto"/>
              </w:rPr>
              <w:t>(in thousands)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w w:val="89"/>
              </w:rPr>
              <w:t>2020</w:t>
            </w:r>
          </w:p>
        </w:tc>
      </w:tr>
      <w:tr>
        <w:trPr>
          <w:trHeight w:val="196"/>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Instruments, equipment, software and accessories</w:t>
            </w:r>
          </w:p>
        </w:tc>
        <w:tc>
          <w:tcPr>
            <w:tcW w:w="780" w:type="dxa"/>
            <w:vAlign w:val="bottom"/>
            <w:shd w:val="clear" w:color="auto" w:fill="CCEEFF"/>
          </w:tcPr>
          <w:p>
            <w:pPr>
              <w:jc w:val="right"/>
              <w:ind w:right="622"/>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28,485</w:t>
            </w:r>
          </w:p>
        </w:tc>
        <w:tc>
          <w:tcPr>
            <w:tcW w:w="880" w:type="dxa"/>
            <w:vAlign w:val="bottom"/>
            <w:gridSpan w:val="2"/>
            <w:shd w:val="clear" w:color="auto" w:fill="CCEEFF"/>
          </w:tcPr>
          <w:p>
            <w:pPr>
              <w:jc w:val="right"/>
              <w:ind w:right="59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5"/>
              </w:rPr>
              <w:t>21,851</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82,304</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66,857</w:t>
            </w:r>
          </w:p>
        </w:tc>
      </w:tr>
      <w:tr>
        <w:trPr>
          <w:trHeight w:val="203"/>
        </w:trPr>
        <w:tc>
          <w:tcPr>
            <w:tcW w:w="4560" w:type="dxa"/>
            <w:vAlign w:val="bottom"/>
          </w:tcPr>
          <w:p>
            <w:pPr>
              <w:spacing w:after="0"/>
              <w:rPr>
                <w:sz w:val="20"/>
                <w:szCs w:val="20"/>
                <w:color w:val="auto"/>
              </w:rPr>
            </w:pPr>
            <w:r>
              <w:rPr>
                <w:rFonts w:ascii="Arial" w:cs="Arial" w:eastAsia="Arial" w:hAnsi="Arial"/>
                <w:sz w:val="16"/>
                <w:szCs w:val="16"/>
                <w:color w:val="auto"/>
              </w:rPr>
              <w:t>Service, maintenance and warranty contracts</w:t>
            </w:r>
          </w:p>
        </w:tc>
        <w:tc>
          <w:tcPr>
            <w:tcW w:w="7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1,178</w:t>
            </w:r>
          </w:p>
        </w:tc>
        <w:tc>
          <w:tcPr>
            <w:tcW w:w="10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2,186</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3,545</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4,259</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Total revenues</w:t>
            </w:r>
          </w:p>
        </w:tc>
        <w:tc>
          <w:tcPr>
            <w:tcW w:w="780" w:type="dxa"/>
            <w:vAlign w:val="bottom"/>
            <w:shd w:val="clear" w:color="auto" w:fill="CCEEFF"/>
          </w:tcPr>
          <w:p>
            <w:pPr>
              <w:jc w:val="right"/>
              <w:ind w:right="622"/>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29,663</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5"/>
              </w:rPr>
              <w:t>24,037</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85,849</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71,116</w:t>
            </w:r>
          </w:p>
        </w:tc>
      </w:tr>
      <w:tr>
        <w:trPr>
          <w:trHeight w:val="20"/>
        </w:trPr>
        <w:tc>
          <w:tcPr>
            <w:tcW w:w="45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r>
    </w:tbl>
    <w:p>
      <w:pPr>
        <w:spacing w:after="0" w:line="19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following tables represent a disaggregation of revenue by geographic destination for the three and nine months ended September 30, 2021 and 2020:</w:t>
      </w:r>
    </w:p>
    <w:p>
      <w:pPr>
        <w:spacing w:after="0" w:line="229" w:lineRule="exact"/>
        <w:rPr>
          <w:sz w:val="20"/>
          <w:szCs w:val="20"/>
          <w:color w:val="auto"/>
        </w:rPr>
      </w:pPr>
    </w:p>
    <w:tbl>
      <w:tblPr>
        <w:tblLayout w:type="fixed"/>
        <w:tblInd w:w="400" w:type="dxa"/>
        <w:tblCellMar>
          <w:top w:w="0" w:type="dxa"/>
          <w:left w:w="0" w:type="dxa"/>
          <w:bottom w:w="0" w:type="dxa"/>
          <w:right w:w="0" w:type="dxa"/>
        </w:tblCellMar>
      </w:tblPr>
      <w:tr>
        <w:trPr>
          <w:trHeight w:val="203"/>
        </w:trPr>
        <w:tc>
          <w:tcPr>
            <w:tcW w:w="4560" w:type="dxa"/>
            <w:vAlign w:val="bottom"/>
          </w:tcPr>
          <w:p>
            <w:pPr>
              <w:spacing w:after="0"/>
              <w:rPr>
                <w:sz w:val="17"/>
                <w:szCs w:val="17"/>
                <w:color w:val="auto"/>
              </w:rPr>
            </w:pPr>
          </w:p>
        </w:tc>
        <w:tc>
          <w:tcPr>
            <w:tcW w:w="222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2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456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6"/>
                <w:szCs w:val="16"/>
                <w:b w:val="1"/>
                <w:bCs w:val="1"/>
                <w:color w:val="auto"/>
                <w:w w:val="95"/>
              </w:rPr>
              <w:t>September 30,</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r>
      <w:tr>
        <w:trPr>
          <w:trHeight w:val="202"/>
        </w:trPr>
        <w:tc>
          <w:tcPr>
            <w:tcW w:w="4560" w:type="dxa"/>
            <w:vAlign w:val="bottom"/>
          </w:tcPr>
          <w:p>
            <w:pPr>
              <w:spacing w:after="0"/>
              <w:rPr>
                <w:sz w:val="20"/>
                <w:szCs w:val="20"/>
                <w:color w:val="auto"/>
              </w:rPr>
            </w:pPr>
            <w:r>
              <w:rPr>
                <w:rFonts w:ascii="Arial" w:cs="Arial" w:eastAsia="Arial" w:hAnsi="Arial"/>
                <w:sz w:val="16"/>
                <w:szCs w:val="16"/>
                <w:color w:val="auto"/>
              </w:rPr>
              <w:t>(in thousands)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w w:val="89"/>
              </w:rPr>
              <w:t>2020</w:t>
            </w:r>
          </w:p>
        </w:tc>
      </w:tr>
      <w:tr>
        <w:trPr>
          <w:trHeight w:val="196"/>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United States</w:t>
            </w:r>
          </w:p>
        </w:tc>
        <w:tc>
          <w:tcPr>
            <w:tcW w:w="780" w:type="dxa"/>
            <w:vAlign w:val="bottom"/>
            <w:shd w:val="clear" w:color="auto" w:fill="CCEEFF"/>
          </w:tcPr>
          <w:p>
            <w:pPr>
              <w:jc w:val="right"/>
              <w:ind w:right="622"/>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12,709</w:t>
            </w:r>
          </w:p>
        </w:tc>
        <w:tc>
          <w:tcPr>
            <w:tcW w:w="880" w:type="dxa"/>
            <w:vAlign w:val="bottom"/>
            <w:gridSpan w:val="2"/>
            <w:shd w:val="clear" w:color="auto" w:fill="CCEEFF"/>
          </w:tcPr>
          <w:p>
            <w:pPr>
              <w:jc w:val="right"/>
              <w:ind w:right="59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5"/>
              </w:rPr>
              <w:t>11,110</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37,300</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30,381</w:t>
            </w:r>
          </w:p>
        </w:tc>
      </w:tr>
      <w:tr>
        <w:trPr>
          <w:trHeight w:val="203"/>
        </w:trPr>
        <w:tc>
          <w:tcPr>
            <w:tcW w:w="4560" w:type="dxa"/>
            <w:vAlign w:val="bottom"/>
          </w:tcPr>
          <w:p>
            <w:pPr>
              <w:spacing w:after="0"/>
              <w:rPr>
                <w:sz w:val="20"/>
                <w:szCs w:val="20"/>
                <w:color w:val="auto"/>
              </w:rPr>
            </w:pPr>
            <w:r>
              <w:rPr>
                <w:rFonts w:ascii="Arial" w:cs="Arial" w:eastAsia="Arial" w:hAnsi="Arial"/>
                <w:sz w:val="16"/>
                <w:szCs w:val="16"/>
                <w:color w:val="auto"/>
              </w:rPr>
              <w:t>Europe</w:t>
            </w:r>
          </w:p>
        </w:tc>
        <w:tc>
          <w:tcPr>
            <w:tcW w:w="780" w:type="dxa"/>
            <w:vAlign w:val="bottom"/>
          </w:tcPr>
          <w:p>
            <w:pPr>
              <w:spacing w:after="0"/>
              <w:rPr>
                <w:sz w:val="17"/>
                <w:szCs w:val="17"/>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8,366</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6,777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25,569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20,617</w:t>
            </w:r>
          </w:p>
        </w:tc>
      </w:tr>
      <w:tr>
        <w:trPr>
          <w:trHeight w:val="203"/>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Asia</w:t>
            </w:r>
          </w:p>
        </w:tc>
        <w:tc>
          <w:tcPr>
            <w:tcW w:w="7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7,161</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4,240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18,588</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14,180</w:t>
            </w:r>
          </w:p>
        </w:tc>
      </w:tr>
      <w:tr>
        <w:trPr>
          <w:trHeight w:val="203"/>
        </w:trPr>
        <w:tc>
          <w:tcPr>
            <w:tcW w:w="4560" w:type="dxa"/>
            <w:vAlign w:val="bottom"/>
          </w:tcPr>
          <w:p>
            <w:pPr>
              <w:spacing w:after="0"/>
              <w:rPr>
                <w:sz w:val="20"/>
                <w:szCs w:val="20"/>
                <w:color w:val="auto"/>
              </w:rPr>
            </w:pPr>
            <w:r>
              <w:rPr>
                <w:rFonts w:ascii="Arial" w:cs="Arial" w:eastAsia="Arial" w:hAnsi="Arial"/>
                <w:sz w:val="16"/>
                <w:szCs w:val="16"/>
                <w:color w:val="auto"/>
              </w:rPr>
              <w:t>Rest of the world</w:t>
            </w:r>
          </w:p>
        </w:tc>
        <w:tc>
          <w:tcPr>
            <w:tcW w:w="7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1,427</w:t>
            </w:r>
          </w:p>
        </w:tc>
        <w:tc>
          <w:tcPr>
            <w:tcW w:w="10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1,910</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4,392</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5,938</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Total revenues</w:t>
            </w:r>
          </w:p>
        </w:tc>
        <w:tc>
          <w:tcPr>
            <w:tcW w:w="780" w:type="dxa"/>
            <w:vAlign w:val="bottom"/>
            <w:shd w:val="clear" w:color="auto" w:fill="CCEEFF"/>
          </w:tcPr>
          <w:p>
            <w:pPr>
              <w:jc w:val="right"/>
              <w:ind w:right="622"/>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29,663</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5"/>
              </w:rPr>
              <w:t>24,037</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85,849</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71,116</w:t>
            </w:r>
          </w:p>
        </w:tc>
      </w:tr>
      <w:tr>
        <w:trPr>
          <w:trHeight w:val="20"/>
        </w:trPr>
        <w:tc>
          <w:tcPr>
            <w:tcW w:w="45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r>
    </w:tbl>
    <w:p>
      <w:pPr>
        <w:spacing w:after="0" w:line="19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 customer accounted for more than 10% of revenues for the three and nine months ended September 30, 2021 and 2020.</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Deferred revenue</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tables provide details of deferred revenue as of the periods indicated:</w:t>
      </w:r>
    </w:p>
    <w:p>
      <w:pPr>
        <w:spacing w:after="0" w:line="217" w:lineRule="exact"/>
        <w:rPr>
          <w:sz w:val="20"/>
          <w:szCs w:val="20"/>
          <w:color w:val="auto"/>
        </w:rPr>
      </w:pPr>
    </w:p>
    <w:tbl>
      <w:tblPr>
        <w:tblLayout w:type="fixed"/>
        <w:tblInd w:w="400" w:type="dxa"/>
        <w:tblCellMar>
          <w:top w:w="0" w:type="dxa"/>
          <w:left w:w="0" w:type="dxa"/>
          <w:bottom w:w="0" w:type="dxa"/>
          <w:right w:w="0" w:type="dxa"/>
        </w:tblCellMar>
      </w:tblPr>
      <w:tr>
        <w:trPr>
          <w:trHeight w:val="203"/>
        </w:trPr>
        <w:tc>
          <w:tcPr>
            <w:tcW w:w="4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b w:val="1"/>
                <w:bCs w:val="1"/>
                <w:color w:val="auto"/>
                <w:w w:val="93"/>
              </w:rPr>
              <w:t>September 30,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179"/>
              <w:spacing w:after="0"/>
              <w:rPr>
                <w:sz w:val="20"/>
                <w:szCs w:val="20"/>
                <w:color w:val="auto"/>
              </w:rPr>
            </w:pPr>
            <w:r>
              <w:rPr>
                <w:rFonts w:ascii="Arial" w:cs="Arial" w:eastAsia="Arial" w:hAnsi="Arial"/>
                <w:sz w:val="16"/>
                <w:szCs w:val="16"/>
                <w:b w:val="1"/>
                <w:bCs w:val="1"/>
                <w:color w:val="auto"/>
                <w:w w:val="94"/>
              </w:rPr>
              <w:t>December 31,</w:t>
            </w:r>
          </w:p>
        </w:tc>
      </w:tr>
      <w:tr>
        <w:trPr>
          <w:trHeight w:val="216"/>
        </w:trPr>
        <w:tc>
          <w:tcPr>
            <w:tcW w:w="4960" w:type="dxa"/>
            <w:vAlign w:val="bottom"/>
          </w:tcPr>
          <w:p>
            <w:pPr>
              <w:spacing w:after="0"/>
              <w:rPr>
                <w:sz w:val="20"/>
                <w:szCs w:val="20"/>
                <w:color w:val="auto"/>
              </w:rPr>
            </w:pPr>
            <w:r>
              <w:rPr>
                <w:rFonts w:ascii="Arial" w:cs="Arial" w:eastAsia="Arial" w:hAnsi="Arial"/>
                <w:sz w:val="16"/>
                <w:szCs w:val="16"/>
                <w:color w:val="auto"/>
              </w:rPr>
              <w:t>(in thousands)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r>
      <w:tr>
        <w:trPr>
          <w:trHeight w:val="196"/>
        </w:trPr>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Service contracts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1,839</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1,629</w:t>
            </w:r>
          </w:p>
        </w:tc>
      </w:tr>
      <w:tr>
        <w:trPr>
          <w:trHeight w:val="203"/>
        </w:trPr>
        <w:tc>
          <w:tcPr>
            <w:tcW w:w="4960" w:type="dxa"/>
            <w:vAlign w:val="bottom"/>
          </w:tcPr>
          <w:p>
            <w:pPr>
              <w:spacing w:after="0"/>
              <w:rPr>
                <w:sz w:val="20"/>
                <w:szCs w:val="20"/>
                <w:color w:val="auto"/>
              </w:rPr>
            </w:pPr>
            <w:r>
              <w:rPr>
                <w:rFonts w:ascii="Arial" w:cs="Arial" w:eastAsia="Arial" w:hAnsi="Arial"/>
                <w:sz w:val="16"/>
                <w:szCs w:val="16"/>
                <w:color w:val="auto"/>
              </w:rPr>
              <w:t>Customer advances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1,784</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2,142</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Total deferred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3,623</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3,771</w:t>
            </w:r>
          </w:p>
        </w:tc>
      </w:tr>
      <w:tr>
        <w:trPr>
          <w:trHeight w:val="20"/>
        </w:trPr>
        <w:tc>
          <w:tcPr>
            <w:tcW w:w="49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r>
    </w:tbl>
    <w:p>
      <w:pPr>
        <w:spacing w:after="0" w:line="193" w:lineRule="exact"/>
        <w:rPr>
          <w:sz w:val="20"/>
          <w:szCs w:val="20"/>
          <w:color w:val="auto"/>
        </w:rPr>
      </w:pPr>
    </w:p>
    <w:p>
      <w:pPr>
        <w:ind w:left="160" w:firstLine="288"/>
        <w:spacing w:after="0" w:line="293" w:lineRule="auto"/>
        <w:rPr>
          <w:sz w:val="20"/>
          <w:szCs w:val="20"/>
          <w:color w:val="auto"/>
        </w:rPr>
      </w:pPr>
      <w:r>
        <w:rPr>
          <w:rFonts w:ascii="Arial" w:cs="Arial" w:eastAsia="Arial" w:hAnsi="Arial"/>
          <w:sz w:val="16"/>
          <w:szCs w:val="16"/>
          <w:color w:val="auto"/>
        </w:rPr>
        <w:t>During the nine months ended September 30, 2021 and 2020, the Company recognized revenue of $1.4 million and $1.7 million from contract liabilities existing at December 31, 2020 and 2019, respectively.</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Allowance for Doubtful Accounts</w:t>
      </w:r>
    </w:p>
    <w:p>
      <w:pPr>
        <w:spacing w:after="0" w:line="221" w:lineRule="exact"/>
        <w:rPr>
          <w:sz w:val="20"/>
          <w:szCs w:val="20"/>
          <w:color w:val="auto"/>
        </w:rPr>
      </w:pPr>
    </w:p>
    <w:p>
      <w:pPr>
        <w:ind w:left="160" w:right="220" w:firstLine="288"/>
        <w:spacing w:after="0" w:line="293" w:lineRule="auto"/>
        <w:rPr>
          <w:sz w:val="20"/>
          <w:szCs w:val="20"/>
          <w:color w:val="auto"/>
        </w:rPr>
      </w:pPr>
      <w:r>
        <w:rPr>
          <w:rFonts w:ascii="Arial" w:cs="Arial" w:eastAsia="Arial" w:hAnsi="Arial"/>
          <w:sz w:val="16"/>
          <w:szCs w:val="16"/>
          <w:color w:val="auto"/>
        </w:rPr>
        <w:t>Allowance for doubtful accounts is based on the Company’s assessment of the collectability of accounts receivable. A rollforward of the allowance for doubtful accounts is as follows:</w:t>
      </w:r>
    </w:p>
    <w:p>
      <w:pPr>
        <w:sectPr>
          <w:pgSz w:w="11900" w:h="16838" w:orient="portrait"/>
          <w:cols w:equalWidth="0" w:num="1">
            <w:col w:w="11020"/>
          </w:cols>
          <w:pgMar w:left="320" w:top="395" w:right="55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 thousands)</w:t>
      </w:r>
    </w:p>
    <w:p>
      <w:pPr>
        <w:spacing w:after="0" w:line="2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Balance, beginning of period</w:t>
      </w:r>
    </w:p>
    <w:p>
      <w:pPr>
        <w:spacing w:after="0" w:line="1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Bad debt (credit) expense</w:t>
      </w:r>
    </w:p>
    <w:p>
      <w:pPr>
        <w:spacing w:after="0" w:line="1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Charge-offs and other</w:t>
      </w:r>
    </w:p>
    <w:p>
      <w:pPr>
        <w:spacing w:after="0" w:line="28" w:lineRule="exact"/>
        <w:rPr>
          <w:sz w:val="20"/>
          <w:szCs w:val="20"/>
          <w:color w:val="auto"/>
        </w:rPr>
      </w:pPr>
    </w:p>
    <w:p>
      <w:pPr>
        <w:ind w:left="560"/>
        <w:spacing w:after="0"/>
        <w:rPr>
          <w:sz w:val="20"/>
          <w:szCs w:val="20"/>
          <w:color w:val="auto"/>
        </w:rPr>
      </w:pPr>
      <w:r>
        <w:rPr>
          <w:rFonts w:ascii="Arial" w:cs="Arial" w:eastAsia="Arial" w:hAnsi="Arial"/>
          <w:sz w:val="15"/>
          <w:szCs w:val="15"/>
          <w:color w:val="auto"/>
        </w:rPr>
        <w:t>Effect of foreign currency translation</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Balance, end of period</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September 30,</w:t>
      </w:r>
    </w:p>
    <w:p>
      <w:pPr>
        <w:spacing w:after="0" w:line="19" w:lineRule="exact"/>
        <w:rPr>
          <w:sz w:val="20"/>
          <w:szCs w:val="20"/>
          <w:color w:val="auto"/>
        </w:rPr>
      </w:pPr>
    </w:p>
    <w:tbl>
      <w:tblPr>
        <w:tblLayout w:type="fixed"/>
        <w:tblInd w:w="520" w:type="dxa"/>
        <w:tblCellMar>
          <w:top w:w="0" w:type="dxa"/>
          <w:left w:w="0" w:type="dxa"/>
          <w:bottom w:w="0" w:type="dxa"/>
          <w:right w:w="0" w:type="dxa"/>
        </w:tblCellMar>
      </w:tblPr>
      <w:tr>
        <w:trPr>
          <w:trHeight w:val="202"/>
        </w:trPr>
        <w:tc>
          <w:tcPr>
            <w:tcW w:w="3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2020</w:t>
            </w:r>
          </w:p>
        </w:tc>
      </w:tr>
      <w:tr>
        <w:trPr>
          <w:trHeight w:val="186"/>
        </w:trPr>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227</w:t>
            </w:r>
          </w:p>
        </w:tc>
        <w:tc>
          <w:tcPr>
            <w:tcW w:w="80" w:type="dxa"/>
            <w:vAlign w:val="bottom"/>
          </w:tcPr>
          <w:p>
            <w:pPr>
              <w:spacing w:after="0"/>
              <w:rPr>
                <w:sz w:val="16"/>
                <w:szCs w:val="16"/>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325</w:t>
            </w:r>
          </w:p>
        </w:tc>
      </w:tr>
      <w:tr>
        <w:trPr>
          <w:trHeight w:val="203"/>
        </w:trPr>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03"/>
        </w:trPr>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09"/>
        </w:trPr>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199"/>
        </w:trPr>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-3263265</wp:posOffset>
            </wp:positionH>
            <wp:positionV relativeFrom="paragraph">
              <wp:posOffset>-676910</wp:posOffset>
            </wp:positionV>
            <wp:extent cx="570039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00395" cy="128905"/>
                    </a:xfrm>
                    <a:prstGeom prst="rect">
                      <a:avLst/>
                    </a:prstGeom>
                    <a:noFill/>
                  </pic:spPr>
                </pic:pic>
              </a:graphicData>
            </a:graphic>
          </wp:anchor>
        </w:drawing>
        <w:drawing>
          <wp:anchor simplePos="0" relativeHeight="251657728" behindDoc="1" locked="0" layoutInCell="0" allowOverlap="1">
            <wp:simplePos x="0" y="0"/>
            <wp:positionH relativeFrom="column">
              <wp:posOffset>-3263265</wp:posOffset>
            </wp:positionH>
            <wp:positionV relativeFrom="paragraph">
              <wp:posOffset>-419735</wp:posOffset>
            </wp:positionV>
            <wp:extent cx="570039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00395" cy="128905"/>
                    </a:xfrm>
                    <a:prstGeom prst="rect">
                      <a:avLst/>
                    </a:prstGeom>
                    <a:noFill/>
                  </pic:spPr>
                </pic:pic>
              </a:graphicData>
            </a:graphic>
          </wp:anchor>
        </w:drawing>
        <w:drawing>
          <wp:anchor simplePos="0" relativeHeight="251657728" behindDoc="1" locked="0" layoutInCell="0" allowOverlap="1">
            <wp:simplePos x="0" y="0"/>
            <wp:positionH relativeFrom="column">
              <wp:posOffset>-3263265</wp:posOffset>
            </wp:positionH>
            <wp:positionV relativeFrom="paragraph">
              <wp:posOffset>-153670</wp:posOffset>
            </wp:positionV>
            <wp:extent cx="5700395"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86360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820" w:space="720"/>
            <w:col w:w="5480"/>
          </w:cols>
          <w:pgMar w:left="320" w:top="395" w:right="55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Income Tax</w:t>
      </w:r>
    </w:p>
    <w:p>
      <w:pPr>
        <w:spacing w:after="0" w:line="225" w:lineRule="exact"/>
        <w:rPr>
          <w:sz w:val="20"/>
          <w:szCs w:val="20"/>
          <w:color w:val="auto"/>
        </w:rPr>
      </w:pPr>
    </w:p>
    <w:p>
      <w:pPr>
        <w:ind w:left="160" w:right="120" w:firstLine="288"/>
        <w:spacing w:after="0" w:line="305" w:lineRule="auto"/>
        <w:rPr>
          <w:sz w:val="20"/>
          <w:szCs w:val="20"/>
          <w:color w:val="auto"/>
        </w:rPr>
      </w:pPr>
      <w:r>
        <w:rPr>
          <w:rFonts w:ascii="Arial" w:cs="Arial" w:eastAsia="Arial" w:hAnsi="Arial"/>
          <w:sz w:val="15"/>
          <w:szCs w:val="15"/>
          <w:color w:val="auto"/>
        </w:rPr>
        <w:t>Income tax expense (benefit) was $0.2 million and $(0.3) million for the three months ended September 30, 2021 and 2020, respectively, and was less than $(0.1) million and $0.5 million for the nine months ended September 30, 2021 and 2020. The effective tax rates for the three months ended September 30, 2021 and 2020, were 477.8% and 22.4%, respectively. The effective tax rates for the nine months ended September 30, 2021 and 2020, were 1.7% and (6.7)%, respectively.</w:t>
      </w:r>
    </w:p>
    <w:p>
      <w:pPr>
        <w:spacing w:after="0" w:line="152" w:lineRule="exact"/>
        <w:rPr>
          <w:sz w:val="20"/>
          <w:szCs w:val="20"/>
          <w:color w:val="auto"/>
        </w:rPr>
      </w:pPr>
    </w:p>
    <w:p>
      <w:pPr>
        <w:ind w:left="160" w:right="240" w:firstLine="288"/>
        <w:spacing w:after="0" w:line="278" w:lineRule="auto"/>
        <w:rPr>
          <w:sz w:val="20"/>
          <w:szCs w:val="20"/>
          <w:color w:val="auto"/>
        </w:rPr>
      </w:pPr>
      <w:r>
        <w:rPr>
          <w:rFonts w:ascii="Arial" w:cs="Arial" w:eastAsia="Arial" w:hAnsi="Arial"/>
          <w:sz w:val="16"/>
          <w:szCs w:val="16"/>
          <w:color w:val="auto"/>
        </w:rPr>
        <w:t>The difference between the Company’s effective tax rates in 2021 and 2020 compared to the U.S. statutory tax rate of 21% is primarily due to changes in valuation allowances associated with the Company’s assessment of the likelihood of the recoverability of deferred tax assets. The Company currently has valuation allowances against substantially all of its net operating loss carryforwards and tax credit carryforwards.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Commitments and Contingent Liabilities</w:t>
      </w:r>
    </w:p>
    <w:p>
      <w:pPr>
        <w:spacing w:after="0" w:line="225" w:lineRule="exact"/>
        <w:rPr>
          <w:sz w:val="20"/>
          <w:szCs w:val="20"/>
          <w:color w:val="auto"/>
        </w:rPr>
      </w:pPr>
    </w:p>
    <w:p>
      <w:pPr>
        <w:ind w:left="160" w:right="40" w:firstLine="288"/>
        <w:spacing w:after="0" w:line="293" w:lineRule="auto"/>
        <w:rPr>
          <w:sz w:val="20"/>
          <w:szCs w:val="20"/>
          <w:color w:val="auto"/>
        </w:rPr>
      </w:pPr>
      <w:r>
        <w:rPr>
          <w:rFonts w:ascii="Arial" w:cs="Arial" w:eastAsia="Arial" w:hAnsi="Arial"/>
          <w:sz w:val="15"/>
          <w:szCs w:val="15"/>
          <w:color w:val="auto"/>
        </w:rPr>
        <w:t>On April 14, 2017, representatives for the estate of an individual plaintiff filed a wrongful death complaint with the Suffolk Superior Court, in the County of Suffolk, Massachusetts (the “Court”), against the Company and other defendants, including Biostage, Inc. (f/k/a Harvard Apparatus Regenerative Technology, Inc.) (“Biostage”), a former subsidiary of the Company that was spun off in 2013, as well as another third party. The complaint seeks payment for an unspecified amount of damages and alleges that the plaintiff sustained terminal injuries allegedly caused by products, including one synthetic trachea scaffold and two bioreactors, provided by certain of the named defendants and utilized in connection with surgeries performed by third parties in Europe in 2012 and 2013.</w:t>
      </w:r>
    </w:p>
    <w:p>
      <w:pPr>
        <w:spacing w:after="0" w:line="162" w:lineRule="exact"/>
        <w:rPr>
          <w:sz w:val="20"/>
          <w:szCs w:val="20"/>
          <w:color w:val="auto"/>
        </w:rPr>
      </w:pPr>
    </w:p>
    <w:p>
      <w:pPr>
        <w:ind w:left="160" w:right="200" w:firstLine="288"/>
        <w:spacing w:after="0" w:line="289" w:lineRule="auto"/>
        <w:rPr>
          <w:sz w:val="20"/>
          <w:szCs w:val="20"/>
          <w:color w:val="auto"/>
        </w:rPr>
      </w:pPr>
      <w:r>
        <w:rPr>
          <w:rFonts w:ascii="Arial" w:cs="Arial" w:eastAsia="Arial" w:hAnsi="Arial"/>
          <w:sz w:val="15"/>
          <w:szCs w:val="15"/>
          <w:color w:val="auto"/>
        </w:rPr>
        <w:t>On October 1, 2019, the Court entered an order granting plaintiffs’ motion to compel the defendant to produce discovery. Subsequently, the plaintiffs filed a motion for sanctions against the Company on January 6, 2020 claiming failure to produce. The Company’s counsel at the time, which had been selected for the case by the Company’s liability insurance carrier, never notified the Company of plaintiffs’ motion and never responded to plaintiff’ motion. As a result of the failure of our former counsel to respond, on January 29, 2020, the Court entered an order allowing plaintiffs’ sanctions against the Company and the other defendants, which establishes a sanction of admitted liability. In June 2021, the Company was informed of these 2019 and 2020 court actions by new defense counsel appointed by the Company’s liability insurance carrier. On June 9, 2021, the Company, together with the other defendants, filed a motion to vacate the Court’s order allowing plaintiffs’ motion for sanctions. On August 6, 2021, the Court issued a ruling in the Company’s favor, vacating the sanctions.</w:t>
      </w:r>
    </w:p>
    <w:p>
      <w:pPr>
        <w:spacing w:after="0" w:line="166" w:lineRule="exact"/>
        <w:rPr>
          <w:sz w:val="20"/>
          <w:szCs w:val="20"/>
          <w:color w:val="auto"/>
        </w:rPr>
      </w:pPr>
    </w:p>
    <w:p>
      <w:pPr>
        <w:jc w:val="both"/>
        <w:ind w:left="160" w:right="40" w:firstLine="288"/>
        <w:spacing w:after="0" w:line="303" w:lineRule="auto"/>
        <w:rPr>
          <w:sz w:val="20"/>
          <w:szCs w:val="20"/>
          <w:color w:val="auto"/>
        </w:rPr>
      </w:pPr>
      <w:r>
        <w:rPr>
          <w:rFonts w:ascii="Arial" w:cs="Arial" w:eastAsia="Arial" w:hAnsi="Arial"/>
          <w:sz w:val="14"/>
          <w:szCs w:val="14"/>
          <w:color w:val="auto"/>
        </w:rPr>
        <w:t>On September 15, 2021, Biostage’s products liability insurance carrier, which insures the Company as an additional insured and which had appointed defense counsel and had been defending both Biostage and the Company on this case, notified the Company and Biostage that it was denying coverage under the applicable policy for the lawsuit and would no longer be providing a defense to the Company or Biostage with respect thereto, or covering related legal expenses incurred after September 30,</w:t>
      </w:r>
    </w:p>
    <w:p>
      <w:pPr>
        <w:spacing w:after="0" w:line="2" w:lineRule="exact"/>
        <w:rPr>
          <w:sz w:val="20"/>
          <w:szCs w:val="20"/>
          <w:color w:val="auto"/>
        </w:rPr>
      </w:pPr>
    </w:p>
    <w:p>
      <w:pPr>
        <w:ind w:left="160"/>
        <w:spacing w:after="0" w:line="290" w:lineRule="auto"/>
        <w:rPr>
          <w:sz w:val="20"/>
          <w:szCs w:val="20"/>
          <w:color w:val="auto"/>
        </w:rPr>
      </w:pPr>
      <w:r>
        <w:rPr>
          <w:rFonts w:ascii="Arial" w:cs="Arial" w:eastAsia="Arial" w:hAnsi="Arial"/>
          <w:sz w:val="15"/>
          <w:szCs w:val="15"/>
          <w:color w:val="auto"/>
        </w:rPr>
        <w:t>2021. The insurance carrier also filed a corresponding complaint for declaratory judgment with the Court asking the Court to declare that said insurance provider is not required to defend, indemnify or provide coverage to the Company or Biostage with respect to the lawsuit. The Company believes that the insurance carrier’s grounds for denying coverage are without merit, and intends to vigorously defend against this complaint for declaratory judgment and the insurance carrier’s denial of the claim and related matters in order to, among other things, restore the Company’s rights to seek insurance coverage for any damages awarded in the lawsuit. However, there can be no assurance that the Company and Biostage will prevail in the insurance coverage litigation. As such, it is unclear at this point if the Company’s liability insurance coverage will reimburse the Company for all or any portion of any defense costs or damages if the Company were to lose the underlying case on the merits.</w:t>
      </w:r>
    </w:p>
    <w:p>
      <w:pPr>
        <w:spacing w:after="0" w:line="163" w:lineRule="exact"/>
        <w:rPr>
          <w:sz w:val="20"/>
          <w:szCs w:val="20"/>
          <w:color w:val="auto"/>
        </w:rPr>
      </w:pPr>
    </w:p>
    <w:p>
      <w:pPr>
        <w:ind w:left="160" w:firstLine="288"/>
        <w:spacing w:after="0" w:line="310" w:lineRule="auto"/>
        <w:rPr>
          <w:sz w:val="20"/>
          <w:szCs w:val="20"/>
          <w:color w:val="auto"/>
        </w:rPr>
      </w:pPr>
      <w:r>
        <w:rPr>
          <w:rFonts w:ascii="Arial" w:cs="Arial" w:eastAsia="Arial" w:hAnsi="Arial"/>
          <w:sz w:val="14"/>
          <w:szCs w:val="14"/>
          <w:color w:val="auto"/>
        </w:rPr>
        <w:t>While there can be no assurance of prevailing, the Company intends to defend the plaintiff’s claims against the Company vigorously. The Company has retained new defense counsel for the lawsuit and a trial date has been set for October 2022. If the Company loses on the merits and a jury awards damages, the Company does not know the exact amount of compensatory and, potentially, punitive damages that could be awarded, but the amounts could be substantial. The Company is also evaluating possible malpractice claims as one source of recovery but has not asserted such a claim and cannot provide assurance that such a claim would provide a recovery. Further, while Biostage has agreed to indemnify the Company for claims and losses relating to certain liabilities that it has assumed from the Company, including liabilities in connection with the sale of Biostage’s products and other liabilities related to the operation of Biostage’s business, the Company cannot be assured that Biostage will have the ability to indemnify the Company against the liabilities the Company may incur in this lawsuit, in particular due to Biostage’s overall financial condition. If Biostage is unable to satisfy its obligations under its indemnity to the Company and if the insurance carrier does not fund the defense of the case, the Company may have to fund the entire defense of the case and satisfy the liabilities in this lawsuit, which could have an adverse impact on the Company’s financial condition or cash flows.</w:t>
      </w:r>
    </w:p>
    <w:p>
      <w:pPr>
        <w:spacing w:after="0" w:line="153" w:lineRule="exact"/>
        <w:rPr>
          <w:sz w:val="20"/>
          <w:szCs w:val="20"/>
          <w:color w:val="auto"/>
        </w:rPr>
      </w:pPr>
    </w:p>
    <w:p>
      <w:pPr>
        <w:ind w:left="160" w:right="20" w:firstLine="288"/>
        <w:spacing w:after="0" w:line="271" w:lineRule="auto"/>
        <w:rPr>
          <w:sz w:val="20"/>
          <w:szCs w:val="20"/>
          <w:color w:val="auto"/>
        </w:rPr>
      </w:pPr>
      <w:r>
        <w:rPr>
          <w:rFonts w:ascii="Arial" w:cs="Arial" w:eastAsia="Arial" w:hAnsi="Arial"/>
          <w:sz w:val="16"/>
          <w:szCs w:val="16"/>
          <w:color w:val="auto"/>
        </w:rPr>
        <w:t>The Company is involved in various other claims and legal proceedings arising in the ordinary course of business. After consultation with legal counsel, the Company has determined that the ultimate disposition of such proceedings is not likely to have a material adverse effect on its business, financial condition, results of operations or cash flows. Although unfavorable outcomes in the proceedings are possible, the Company has not accrued for loss contingencies relating to any such matters as they are not considered to be probable and reasonably estimable. If one or more of these matters are resolved in a manner adverse to the Company, the impact on the Company’s business, financial condition, results of operations and cash flows could be material.</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4"/>
          <w:szCs w:val="14"/>
          <w:b w:val="1"/>
          <w:bCs w:val="1"/>
          <w:color w:val="auto"/>
        </w:rPr>
        <w:t>Management</w:t>
      </w:r>
      <w:r>
        <w:rPr>
          <w:rFonts w:ascii="Arial" w:cs="Arial" w:eastAsia="Arial" w:hAnsi="Arial"/>
          <w:sz w:val="14"/>
          <w:szCs w:val="14"/>
          <w:color w:val="auto"/>
        </w:rPr>
        <w:t>’</w:t>
      </w:r>
      <w:r>
        <w:rPr>
          <w:rFonts w:ascii="Arial" w:cs="Arial" w:eastAsia="Arial" w:hAnsi="Arial"/>
          <w:sz w:val="14"/>
          <w:szCs w:val="14"/>
          <w:b w:val="1"/>
          <w:bCs w:val="1"/>
          <w:color w:val="auto"/>
        </w:rPr>
        <w:t>s Discussion and Analysis of Financial Condition and Results of Operations.</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Forward-Looking Statements</w:t>
      </w:r>
    </w:p>
    <w:p>
      <w:pPr>
        <w:spacing w:after="0" w:line="225" w:lineRule="exact"/>
        <w:rPr>
          <w:sz w:val="20"/>
          <w:szCs w:val="20"/>
          <w:color w:val="auto"/>
        </w:rPr>
      </w:pPr>
    </w:p>
    <w:p>
      <w:pPr>
        <w:jc w:val="both"/>
        <w:ind w:left="520" w:firstLine="270"/>
        <w:spacing w:after="0" w:line="304" w:lineRule="auto"/>
        <w:rPr>
          <w:sz w:val="20"/>
          <w:szCs w:val="20"/>
          <w:color w:val="auto"/>
        </w:rPr>
      </w:pPr>
      <w:r>
        <w:rPr>
          <w:rFonts w:ascii="Arial" w:cs="Arial" w:eastAsia="Arial" w:hAnsi="Arial"/>
          <w:sz w:val="14"/>
          <w:szCs w:val="14"/>
          <w:i w:val="1"/>
          <w:iCs w:val="1"/>
          <w:color w:val="auto"/>
        </w:rPr>
        <w:t xml:space="preserve">This Quarterly Report on Form 10-Q contains statements that are not statements of historical fact and are forward-looking statements within the meaning of Section 27A of the Securities Act of 1933 and Section 21E of the Securities Exchange Act of 1934 (the </w:t>
      </w:r>
      <w:r>
        <w:rPr>
          <w:rFonts w:ascii="Arial" w:cs="Arial" w:eastAsia="Arial" w:hAnsi="Arial"/>
          <w:sz w:val="14"/>
          <w:szCs w:val="14"/>
          <w:color w:val="auto"/>
        </w:rPr>
        <w:t>“</w:t>
      </w:r>
      <w:r>
        <w:rPr>
          <w:rFonts w:ascii="Arial" w:cs="Arial" w:eastAsia="Arial" w:hAnsi="Arial"/>
          <w:sz w:val="14"/>
          <w:szCs w:val="14"/>
          <w:i w:val="1"/>
          <w:iCs w:val="1"/>
          <w:color w:val="auto"/>
        </w:rPr>
        <w:t>Exchange Act</w:t>
      </w:r>
      <w:r>
        <w:rPr>
          <w:rFonts w:ascii="Arial" w:cs="Arial" w:eastAsia="Arial" w:hAnsi="Arial"/>
          <w:sz w:val="14"/>
          <w:szCs w:val="14"/>
          <w:color w:val="auto"/>
        </w:rPr>
        <w:t>”</w:t>
      </w:r>
      <w:r>
        <w:rPr>
          <w:rFonts w:ascii="Arial" w:cs="Arial" w:eastAsia="Arial" w:hAnsi="Arial"/>
          <w:sz w:val="14"/>
          <w:szCs w:val="14"/>
          <w:i w:val="1"/>
          <w:iCs w:val="1"/>
          <w:color w:val="auto"/>
        </w:rPr>
        <w:t xml:space="preserve">). The forward-looking statements are principally, but not exclusively, contained in </w:t>
      </w:r>
      <w:r>
        <w:rPr>
          <w:rFonts w:ascii="Arial" w:cs="Arial" w:eastAsia="Arial" w:hAnsi="Arial"/>
          <w:sz w:val="14"/>
          <w:szCs w:val="14"/>
          <w:color w:val="auto"/>
        </w:rPr>
        <w:t>“</w:t>
      </w:r>
      <w:r>
        <w:rPr>
          <w:rFonts w:ascii="Arial" w:cs="Arial" w:eastAsia="Arial" w:hAnsi="Arial"/>
          <w:sz w:val="14"/>
          <w:szCs w:val="14"/>
          <w:i w:val="1"/>
          <w:iCs w:val="1"/>
          <w:color w:val="auto"/>
        </w:rPr>
        <w:t>Item 2: Management</w:t>
      </w:r>
      <w:r>
        <w:rPr>
          <w:rFonts w:ascii="Arial" w:cs="Arial" w:eastAsia="Arial" w:hAnsi="Arial"/>
          <w:sz w:val="14"/>
          <w:szCs w:val="14"/>
          <w:color w:val="auto"/>
        </w:rPr>
        <w:t>’</w:t>
      </w:r>
      <w:r>
        <w:rPr>
          <w:rFonts w:ascii="Arial" w:cs="Arial" w:eastAsia="Arial" w:hAnsi="Arial"/>
          <w:sz w:val="14"/>
          <w:szCs w:val="14"/>
          <w:i w:val="1"/>
          <w:iCs w:val="1"/>
          <w:color w:val="auto"/>
        </w:rPr>
        <w:t>s Discussion and Analysis of Financial Condition and Results of Operations.</w:t>
      </w:r>
      <w:r>
        <w:rPr>
          <w:rFonts w:ascii="Arial" w:cs="Arial" w:eastAsia="Arial" w:hAnsi="Arial"/>
          <w:sz w:val="14"/>
          <w:szCs w:val="14"/>
          <w:color w:val="auto"/>
        </w:rPr>
        <w:t>”</w:t>
      </w:r>
      <w:r>
        <w:rPr>
          <w:rFonts w:ascii="Arial" w:cs="Arial" w:eastAsia="Arial" w:hAnsi="Arial"/>
          <w:sz w:val="14"/>
          <w:szCs w:val="14"/>
          <w:i w:val="1"/>
          <w:iCs w:val="1"/>
          <w:color w:val="auto"/>
        </w:rPr>
        <w:t xml:space="preserve"> These statements involve known and unknown risks, uncertainties and other factors that may cause our actual results, performance, or achievements to be materially different from any future results, performance or achievements expressed or implied by the forward-looking statements. Forward-looking statements include, but are not limited to, statements about management</w:t>
      </w:r>
      <w:r>
        <w:rPr>
          <w:rFonts w:ascii="Arial" w:cs="Arial" w:eastAsia="Arial" w:hAnsi="Arial"/>
          <w:sz w:val="14"/>
          <w:szCs w:val="14"/>
          <w:color w:val="auto"/>
        </w:rPr>
        <w:t>’</w:t>
      </w:r>
      <w:r>
        <w:rPr>
          <w:rFonts w:ascii="Arial" w:cs="Arial" w:eastAsia="Arial" w:hAnsi="Arial"/>
          <w:sz w:val="14"/>
          <w:szCs w:val="14"/>
          <w:i w:val="1"/>
          <w:iCs w:val="1"/>
          <w:color w:val="auto"/>
        </w:rPr>
        <w:t xml:space="preserve">s confidence or expectations, and our plans, objectives, expectations, and intentions that are not historical facts. In some cases, you can identify forward-looking statements by terms such as </w:t>
      </w:r>
      <w:r>
        <w:rPr>
          <w:rFonts w:ascii="Arial" w:cs="Arial" w:eastAsia="Arial" w:hAnsi="Arial"/>
          <w:sz w:val="14"/>
          <w:szCs w:val="14"/>
          <w:color w:val="auto"/>
        </w:rPr>
        <w:t>“</w:t>
      </w:r>
      <w:r>
        <w:rPr>
          <w:rFonts w:ascii="Arial" w:cs="Arial" w:eastAsia="Arial" w:hAnsi="Arial"/>
          <w:sz w:val="14"/>
          <w:szCs w:val="14"/>
          <w:i w:val="1"/>
          <w:iCs w:val="1"/>
          <w:color w:val="auto"/>
        </w:rPr>
        <w:t>may,</w:t>
      </w:r>
      <w:r>
        <w:rPr>
          <w:rFonts w:ascii="Arial" w:cs="Arial" w:eastAsia="Arial" w:hAnsi="Arial"/>
          <w:sz w:val="14"/>
          <w:szCs w:val="14"/>
          <w:color w:val="auto"/>
        </w:rPr>
        <w:t>” “</w:t>
      </w:r>
      <w:r>
        <w:rPr>
          <w:rFonts w:ascii="Arial" w:cs="Arial" w:eastAsia="Arial" w:hAnsi="Arial"/>
          <w:sz w:val="14"/>
          <w:szCs w:val="14"/>
          <w:i w:val="1"/>
          <w:iCs w:val="1"/>
          <w:color w:val="auto"/>
        </w:rPr>
        <w:t>will,</w:t>
      </w:r>
      <w:r>
        <w:rPr>
          <w:rFonts w:ascii="Arial" w:cs="Arial" w:eastAsia="Arial" w:hAnsi="Arial"/>
          <w:sz w:val="14"/>
          <w:szCs w:val="14"/>
          <w:color w:val="auto"/>
        </w:rPr>
        <w:t>” “</w:t>
      </w:r>
      <w:r>
        <w:rPr>
          <w:rFonts w:ascii="Arial" w:cs="Arial" w:eastAsia="Arial" w:hAnsi="Arial"/>
          <w:sz w:val="14"/>
          <w:szCs w:val="14"/>
          <w:i w:val="1"/>
          <w:iCs w:val="1"/>
          <w:color w:val="auto"/>
        </w:rPr>
        <w:t>should,</w:t>
      </w:r>
      <w:r>
        <w:rPr>
          <w:rFonts w:ascii="Arial" w:cs="Arial" w:eastAsia="Arial" w:hAnsi="Arial"/>
          <w:sz w:val="14"/>
          <w:szCs w:val="14"/>
          <w:color w:val="auto"/>
        </w:rPr>
        <w:t>” “</w:t>
      </w:r>
      <w:r>
        <w:rPr>
          <w:rFonts w:ascii="Arial" w:cs="Arial" w:eastAsia="Arial" w:hAnsi="Arial"/>
          <w:sz w:val="14"/>
          <w:szCs w:val="14"/>
          <w:i w:val="1"/>
          <w:iCs w:val="1"/>
          <w:color w:val="auto"/>
        </w:rPr>
        <w:t>could,</w:t>
      </w:r>
      <w:r>
        <w:rPr>
          <w:rFonts w:ascii="Arial" w:cs="Arial" w:eastAsia="Arial" w:hAnsi="Arial"/>
          <w:sz w:val="14"/>
          <w:szCs w:val="14"/>
          <w:color w:val="auto"/>
        </w:rPr>
        <w:t>” “</w:t>
      </w:r>
      <w:r>
        <w:rPr>
          <w:rFonts w:ascii="Arial" w:cs="Arial" w:eastAsia="Arial" w:hAnsi="Arial"/>
          <w:sz w:val="14"/>
          <w:szCs w:val="14"/>
          <w:i w:val="1"/>
          <w:iCs w:val="1"/>
          <w:color w:val="auto"/>
        </w:rPr>
        <w:t>would,</w:t>
      </w:r>
      <w:r>
        <w:rPr>
          <w:rFonts w:ascii="Arial" w:cs="Arial" w:eastAsia="Arial" w:hAnsi="Arial"/>
          <w:sz w:val="14"/>
          <w:szCs w:val="14"/>
          <w:color w:val="auto"/>
        </w:rPr>
        <w:t>” “</w:t>
      </w:r>
      <w:r>
        <w:rPr>
          <w:rFonts w:ascii="Arial" w:cs="Arial" w:eastAsia="Arial" w:hAnsi="Arial"/>
          <w:sz w:val="14"/>
          <w:szCs w:val="14"/>
          <w:i w:val="1"/>
          <w:iCs w:val="1"/>
          <w:color w:val="auto"/>
        </w:rPr>
        <w:t>seek,</w:t>
      </w:r>
      <w:r>
        <w:rPr>
          <w:rFonts w:ascii="Arial" w:cs="Arial" w:eastAsia="Arial" w:hAnsi="Arial"/>
          <w:sz w:val="14"/>
          <w:szCs w:val="14"/>
          <w:color w:val="auto"/>
        </w:rPr>
        <w:t>” “</w:t>
      </w:r>
      <w:r>
        <w:rPr>
          <w:rFonts w:ascii="Arial" w:cs="Arial" w:eastAsia="Arial" w:hAnsi="Arial"/>
          <w:sz w:val="14"/>
          <w:szCs w:val="14"/>
          <w:i w:val="1"/>
          <w:iCs w:val="1"/>
          <w:color w:val="auto"/>
        </w:rPr>
        <w:t>expects,</w:t>
      </w:r>
      <w:r>
        <w:rPr>
          <w:rFonts w:ascii="Arial" w:cs="Arial" w:eastAsia="Arial" w:hAnsi="Arial"/>
          <w:sz w:val="14"/>
          <w:szCs w:val="14"/>
          <w:color w:val="auto"/>
        </w:rPr>
        <w:t>” “</w:t>
      </w:r>
      <w:r>
        <w:rPr>
          <w:rFonts w:ascii="Arial" w:cs="Arial" w:eastAsia="Arial" w:hAnsi="Arial"/>
          <w:sz w:val="14"/>
          <w:szCs w:val="14"/>
          <w:i w:val="1"/>
          <w:iCs w:val="1"/>
          <w:color w:val="auto"/>
        </w:rPr>
        <w:t>plans,</w:t>
      </w:r>
      <w:r>
        <w:rPr>
          <w:rFonts w:ascii="Arial" w:cs="Arial" w:eastAsia="Arial" w:hAnsi="Arial"/>
          <w:sz w:val="14"/>
          <w:szCs w:val="14"/>
          <w:color w:val="auto"/>
        </w:rPr>
        <w:t>” “</w:t>
      </w:r>
      <w:r>
        <w:rPr>
          <w:rFonts w:ascii="Arial" w:cs="Arial" w:eastAsia="Arial" w:hAnsi="Arial"/>
          <w:sz w:val="14"/>
          <w:szCs w:val="14"/>
          <w:i w:val="1"/>
          <w:iCs w:val="1"/>
          <w:color w:val="auto"/>
        </w:rPr>
        <w:t>aim,</w:t>
      </w:r>
      <w:r>
        <w:rPr>
          <w:rFonts w:ascii="Arial" w:cs="Arial" w:eastAsia="Arial" w:hAnsi="Arial"/>
          <w:sz w:val="14"/>
          <w:szCs w:val="14"/>
          <w:color w:val="auto"/>
        </w:rPr>
        <w:t>” “</w:t>
      </w:r>
      <w:r>
        <w:rPr>
          <w:rFonts w:ascii="Arial" w:cs="Arial" w:eastAsia="Arial" w:hAnsi="Arial"/>
          <w:sz w:val="14"/>
          <w:szCs w:val="14"/>
          <w:i w:val="1"/>
          <w:iCs w:val="1"/>
          <w:color w:val="auto"/>
        </w:rPr>
        <w:t>anticipates,</w:t>
      </w:r>
      <w:r>
        <w:rPr>
          <w:rFonts w:ascii="Arial" w:cs="Arial" w:eastAsia="Arial" w:hAnsi="Arial"/>
          <w:sz w:val="14"/>
          <w:szCs w:val="14"/>
          <w:color w:val="auto"/>
        </w:rPr>
        <w:t>” “</w:t>
      </w:r>
      <w:r>
        <w:rPr>
          <w:rFonts w:ascii="Arial" w:cs="Arial" w:eastAsia="Arial" w:hAnsi="Arial"/>
          <w:sz w:val="14"/>
          <w:szCs w:val="14"/>
          <w:i w:val="1"/>
          <w:iCs w:val="1"/>
          <w:color w:val="auto"/>
        </w:rPr>
        <w:t>believes,</w:t>
      </w:r>
      <w:r>
        <w:rPr>
          <w:rFonts w:ascii="Arial" w:cs="Arial" w:eastAsia="Arial" w:hAnsi="Arial"/>
          <w:sz w:val="14"/>
          <w:szCs w:val="14"/>
          <w:color w:val="auto"/>
        </w:rPr>
        <w:t>”</w:t>
      </w:r>
      <w:r>
        <w:rPr>
          <w:rFonts w:ascii="Arial" w:cs="Arial" w:eastAsia="Arial" w:hAnsi="Arial"/>
          <w:sz w:val="14"/>
          <w:szCs w:val="14"/>
          <w:i w:val="1"/>
          <w:iCs w:val="1"/>
          <w:color w:val="auto"/>
        </w:rPr>
        <w:t xml:space="preserve"> </w:t>
      </w:r>
      <w:r>
        <w:rPr>
          <w:rFonts w:ascii="Arial" w:cs="Arial" w:eastAsia="Arial" w:hAnsi="Arial"/>
          <w:sz w:val="14"/>
          <w:szCs w:val="14"/>
          <w:color w:val="auto"/>
        </w:rPr>
        <w:t>“</w:t>
      </w:r>
      <w:r>
        <w:rPr>
          <w:rFonts w:ascii="Arial" w:cs="Arial" w:eastAsia="Arial" w:hAnsi="Arial"/>
          <w:sz w:val="14"/>
          <w:szCs w:val="14"/>
          <w:i w:val="1"/>
          <w:iCs w:val="1"/>
          <w:color w:val="auto"/>
        </w:rPr>
        <w:t>estimates,</w:t>
      </w:r>
      <w:r>
        <w:rPr>
          <w:rFonts w:ascii="Arial" w:cs="Arial" w:eastAsia="Arial" w:hAnsi="Arial"/>
          <w:sz w:val="14"/>
          <w:szCs w:val="14"/>
          <w:color w:val="auto"/>
        </w:rPr>
        <w:t>” “</w:t>
      </w:r>
      <w:r>
        <w:rPr>
          <w:rFonts w:ascii="Arial" w:cs="Arial" w:eastAsia="Arial" w:hAnsi="Arial"/>
          <w:sz w:val="14"/>
          <w:szCs w:val="14"/>
          <w:i w:val="1"/>
          <w:iCs w:val="1"/>
          <w:color w:val="auto"/>
        </w:rPr>
        <w:t>projects,</w:t>
      </w:r>
      <w:r>
        <w:rPr>
          <w:rFonts w:ascii="Arial" w:cs="Arial" w:eastAsia="Arial" w:hAnsi="Arial"/>
          <w:sz w:val="14"/>
          <w:szCs w:val="14"/>
          <w:color w:val="auto"/>
        </w:rPr>
        <w:t>” “</w:t>
      </w:r>
      <w:r>
        <w:rPr>
          <w:rFonts w:ascii="Arial" w:cs="Arial" w:eastAsia="Arial" w:hAnsi="Arial"/>
          <w:sz w:val="14"/>
          <w:szCs w:val="14"/>
          <w:i w:val="1"/>
          <w:iCs w:val="1"/>
          <w:color w:val="auto"/>
        </w:rPr>
        <w:t>predicts,</w:t>
      </w:r>
      <w:r>
        <w:rPr>
          <w:rFonts w:ascii="Arial" w:cs="Arial" w:eastAsia="Arial" w:hAnsi="Arial"/>
          <w:sz w:val="14"/>
          <w:szCs w:val="14"/>
          <w:color w:val="auto"/>
        </w:rPr>
        <w:t>” “</w:t>
      </w:r>
      <w:r>
        <w:rPr>
          <w:rFonts w:ascii="Arial" w:cs="Arial" w:eastAsia="Arial" w:hAnsi="Arial"/>
          <w:sz w:val="14"/>
          <w:szCs w:val="14"/>
          <w:i w:val="1"/>
          <w:iCs w:val="1"/>
          <w:color w:val="auto"/>
        </w:rPr>
        <w:t>intends,</w:t>
      </w:r>
      <w:r>
        <w:rPr>
          <w:rFonts w:ascii="Arial" w:cs="Arial" w:eastAsia="Arial" w:hAnsi="Arial"/>
          <w:sz w:val="14"/>
          <w:szCs w:val="14"/>
          <w:color w:val="auto"/>
        </w:rPr>
        <w:t>” “</w:t>
      </w:r>
      <w:r>
        <w:rPr>
          <w:rFonts w:ascii="Arial" w:cs="Arial" w:eastAsia="Arial" w:hAnsi="Arial"/>
          <w:sz w:val="14"/>
          <w:szCs w:val="14"/>
          <w:i w:val="1"/>
          <w:iCs w:val="1"/>
          <w:color w:val="auto"/>
        </w:rPr>
        <w:t>think,</w:t>
      </w:r>
      <w:r>
        <w:rPr>
          <w:rFonts w:ascii="Arial" w:cs="Arial" w:eastAsia="Arial" w:hAnsi="Arial"/>
          <w:sz w:val="14"/>
          <w:szCs w:val="14"/>
          <w:color w:val="auto"/>
        </w:rPr>
        <w:t>” “</w:t>
      </w:r>
      <w:r>
        <w:rPr>
          <w:rFonts w:ascii="Arial" w:cs="Arial" w:eastAsia="Arial" w:hAnsi="Arial"/>
          <w:sz w:val="14"/>
          <w:szCs w:val="14"/>
          <w:i w:val="1"/>
          <w:iCs w:val="1"/>
          <w:color w:val="auto"/>
        </w:rPr>
        <w:t>potential,</w:t>
      </w:r>
      <w:r>
        <w:rPr>
          <w:rFonts w:ascii="Arial" w:cs="Arial" w:eastAsia="Arial" w:hAnsi="Arial"/>
          <w:sz w:val="14"/>
          <w:szCs w:val="14"/>
          <w:color w:val="auto"/>
        </w:rPr>
        <w:t>” “</w:t>
      </w:r>
      <w:r>
        <w:rPr>
          <w:rFonts w:ascii="Arial" w:cs="Arial" w:eastAsia="Arial" w:hAnsi="Arial"/>
          <w:sz w:val="14"/>
          <w:szCs w:val="14"/>
          <w:i w:val="1"/>
          <w:iCs w:val="1"/>
          <w:color w:val="auto"/>
        </w:rPr>
        <w:t>objectives,</w:t>
      </w:r>
      <w:r>
        <w:rPr>
          <w:rFonts w:ascii="Arial" w:cs="Arial" w:eastAsia="Arial" w:hAnsi="Arial"/>
          <w:sz w:val="14"/>
          <w:szCs w:val="14"/>
          <w:color w:val="auto"/>
        </w:rPr>
        <w:t>” “</w:t>
      </w:r>
      <w:r>
        <w:rPr>
          <w:rFonts w:ascii="Arial" w:cs="Arial" w:eastAsia="Arial" w:hAnsi="Arial"/>
          <w:sz w:val="14"/>
          <w:szCs w:val="14"/>
          <w:i w:val="1"/>
          <w:iCs w:val="1"/>
          <w:color w:val="auto"/>
        </w:rPr>
        <w:t>optimistic,</w:t>
      </w:r>
      <w:r>
        <w:rPr>
          <w:rFonts w:ascii="Arial" w:cs="Arial" w:eastAsia="Arial" w:hAnsi="Arial"/>
          <w:sz w:val="14"/>
          <w:szCs w:val="14"/>
          <w:color w:val="auto"/>
        </w:rPr>
        <w:t>” “</w:t>
      </w:r>
      <w:r>
        <w:rPr>
          <w:rFonts w:ascii="Arial" w:cs="Arial" w:eastAsia="Arial" w:hAnsi="Arial"/>
          <w:sz w:val="14"/>
          <w:szCs w:val="14"/>
          <w:i w:val="1"/>
          <w:iCs w:val="1"/>
          <w:color w:val="auto"/>
        </w:rPr>
        <w:t>strategy,</w:t>
      </w:r>
      <w:r>
        <w:rPr>
          <w:rFonts w:ascii="Arial" w:cs="Arial" w:eastAsia="Arial" w:hAnsi="Arial"/>
          <w:sz w:val="14"/>
          <w:szCs w:val="14"/>
          <w:color w:val="auto"/>
        </w:rPr>
        <w:t>” “</w:t>
      </w:r>
      <w:r>
        <w:rPr>
          <w:rFonts w:ascii="Arial" w:cs="Arial" w:eastAsia="Arial" w:hAnsi="Arial"/>
          <w:sz w:val="14"/>
          <w:szCs w:val="14"/>
          <w:i w:val="1"/>
          <w:iCs w:val="1"/>
          <w:color w:val="auto"/>
        </w:rPr>
        <w:t>goals,</w:t>
      </w:r>
      <w:r>
        <w:rPr>
          <w:rFonts w:ascii="Arial" w:cs="Arial" w:eastAsia="Arial" w:hAnsi="Arial"/>
          <w:sz w:val="14"/>
          <w:szCs w:val="14"/>
          <w:color w:val="auto"/>
        </w:rPr>
        <w:t>” “</w:t>
      </w:r>
      <w:r>
        <w:rPr>
          <w:rFonts w:ascii="Arial" w:cs="Arial" w:eastAsia="Arial" w:hAnsi="Arial"/>
          <w:sz w:val="14"/>
          <w:szCs w:val="14"/>
          <w:i w:val="1"/>
          <w:iCs w:val="1"/>
          <w:color w:val="auto"/>
        </w:rPr>
        <w:t>sees,</w:t>
      </w:r>
      <w:r>
        <w:rPr>
          <w:rFonts w:ascii="Arial" w:cs="Arial" w:eastAsia="Arial" w:hAnsi="Arial"/>
          <w:sz w:val="14"/>
          <w:szCs w:val="14"/>
          <w:color w:val="auto"/>
        </w:rPr>
        <w:t>” “</w:t>
      </w:r>
      <w:r>
        <w:rPr>
          <w:rFonts w:ascii="Arial" w:cs="Arial" w:eastAsia="Arial" w:hAnsi="Arial"/>
          <w:sz w:val="14"/>
          <w:szCs w:val="14"/>
          <w:i w:val="1"/>
          <w:iCs w:val="1"/>
          <w:color w:val="auto"/>
        </w:rPr>
        <w:t>new,</w:t>
      </w:r>
      <w:r>
        <w:rPr>
          <w:rFonts w:ascii="Arial" w:cs="Arial" w:eastAsia="Arial" w:hAnsi="Arial"/>
          <w:sz w:val="14"/>
          <w:szCs w:val="14"/>
          <w:color w:val="auto"/>
        </w:rPr>
        <w:t>” “</w:t>
      </w:r>
      <w:r>
        <w:rPr>
          <w:rFonts w:ascii="Arial" w:cs="Arial" w:eastAsia="Arial" w:hAnsi="Arial"/>
          <w:sz w:val="14"/>
          <w:szCs w:val="14"/>
          <w:i w:val="1"/>
          <w:iCs w:val="1"/>
          <w:color w:val="auto"/>
        </w:rPr>
        <w:t>guidance,</w:t>
      </w:r>
      <w:r>
        <w:rPr>
          <w:rFonts w:ascii="Arial" w:cs="Arial" w:eastAsia="Arial" w:hAnsi="Arial"/>
          <w:sz w:val="14"/>
          <w:szCs w:val="14"/>
          <w:color w:val="auto"/>
        </w:rPr>
        <w:t>” “</w:t>
      </w:r>
      <w:r>
        <w:rPr>
          <w:rFonts w:ascii="Arial" w:cs="Arial" w:eastAsia="Arial" w:hAnsi="Arial"/>
          <w:sz w:val="14"/>
          <w:szCs w:val="14"/>
          <w:i w:val="1"/>
          <w:iCs w:val="1"/>
          <w:color w:val="auto"/>
        </w:rPr>
        <w:t>future,</w:t>
      </w:r>
      <w:r>
        <w:rPr>
          <w:rFonts w:ascii="Arial" w:cs="Arial" w:eastAsia="Arial" w:hAnsi="Arial"/>
          <w:sz w:val="14"/>
          <w:szCs w:val="14"/>
          <w:color w:val="auto"/>
        </w:rPr>
        <w:t>” “</w:t>
      </w:r>
      <w:r>
        <w:rPr>
          <w:rFonts w:ascii="Arial" w:cs="Arial" w:eastAsia="Arial" w:hAnsi="Arial"/>
          <w:sz w:val="14"/>
          <w:szCs w:val="14"/>
          <w:i w:val="1"/>
          <w:iCs w:val="1"/>
          <w:color w:val="auto"/>
        </w:rPr>
        <w:t>continue,</w:t>
      </w:r>
      <w:r>
        <w:rPr>
          <w:rFonts w:ascii="Arial" w:cs="Arial" w:eastAsia="Arial" w:hAnsi="Arial"/>
          <w:sz w:val="14"/>
          <w:szCs w:val="14"/>
          <w:color w:val="auto"/>
        </w:rPr>
        <w:t>” “</w:t>
      </w:r>
      <w:r>
        <w:rPr>
          <w:rFonts w:ascii="Arial" w:cs="Arial" w:eastAsia="Arial" w:hAnsi="Arial"/>
          <w:sz w:val="14"/>
          <w:szCs w:val="14"/>
          <w:i w:val="1"/>
          <w:iCs w:val="1"/>
          <w:color w:val="auto"/>
        </w:rPr>
        <w:t>drive,</w:t>
      </w:r>
      <w:r>
        <w:rPr>
          <w:rFonts w:ascii="Arial" w:cs="Arial" w:eastAsia="Arial" w:hAnsi="Arial"/>
          <w:sz w:val="14"/>
          <w:szCs w:val="14"/>
          <w:color w:val="auto"/>
        </w:rPr>
        <w:t>” “</w:t>
      </w:r>
      <w:r>
        <w:rPr>
          <w:rFonts w:ascii="Arial" w:cs="Arial" w:eastAsia="Arial" w:hAnsi="Arial"/>
          <w:sz w:val="14"/>
          <w:szCs w:val="14"/>
          <w:i w:val="1"/>
          <w:iCs w:val="1"/>
          <w:color w:val="auto"/>
        </w:rPr>
        <w:t>growth,</w:t>
      </w:r>
      <w:r>
        <w:rPr>
          <w:rFonts w:ascii="Arial" w:cs="Arial" w:eastAsia="Arial" w:hAnsi="Arial"/>
          <w:sz w:val="14"/>
          <w:szCs w:val="14"/>
          <w:color w:val="auto"/>
        </w:rPr>
        <w:t>” “</w:t>
      </w:r>
      <w:r>
        <w:rPr>
          <w:rFonts w:ascii="Arial" w:cs="Arial" w:eastAsia="Arial" w:hAnsi="Arial"/>
          <w:sz w:val="14"/>
          <w:szCs w:val="14"/>
          <w:i w:val="1"/>
          <w:iCs w:val="1"/>
          <w:color w:val="auto"/>
        </w:rPr>
        <w:t>long-term,</w:t>
      </w:r>
      <w:r>
        <w:rPr>
          <w:rFonts w:ascii="Arial" w:cs="Arial" w:eastAsia="Arial" w:hAnsi="Arial"/>
          <w:sz w:val="14"/>
          <w:szCs w:val="14"/>
          <w:color w:val="auto"/>
        </w:rPr>
        <w:t>” “</w:t>
      </w:r>
      <w:r>
        <w:rPr>
          <w:rFonts w:ascii="Arial" w:cs="Arial" w:eastAsia="Arial" w:hAnsi="Arial"/>
          <w:sz w:val="14"/>
          <w:szCs w:val="14"/>
          <w:i w:val="1"/>
          <w:iCs w:val="1"/>
          <w:color w:val="auto"/>
        </w:rPr>
        <w:t>projects,</w:t>
      </w:r>
      <w:r>
        <w:rPr>
          <w:rFonts w:ascii="Arial" w:cs="Arial" w:eastAsia="Arial" w:hAnsi="Arial"/>
          <w:sz w:val="14"/>
          <w:szCs w:val="14"/>
          <w:color w:val="auto"/>
        </w:rPr>
        <w:t>” “</w:t>
      </w:r>
      <w:r>
        <w:rPr>
          <w:rFonts w:ascii="Arial" w:cs="Arial" w:eastAsia="Arial" w:hAnsi="Arial"/>
          <w:sz w:val="14"/>
          <w:szCs w:val="14"/>
          <w:i w:val="1"/>
          <w:iCs w:val="1"/>
          <w:color w:val="auto"/>
        </w:rPr>
        <w:t>develop,</w:t>
      </w:r>
      <w:r>
        <w:rPr>
          <w:rFonts w:ascii="Arial" w:cs="Arial" w:eastAsia="Arial" w:hAnsi="Arial"/>
          <w:sz w:val="14"/>
          <w:szCs w:val="14"/>
          <w:color w:val="auto"/>
        </w:rPr>
        <w:t>” “</w:t>
      </w:r>
      <w:r>
        <w:rPr>
          <w:rFonts w:ascii="Arial" w:cs="Arial" w:eastAsia="Arial" w:hAnsi="Arial"/>
          <w:sz w:val="14"/>
          <w:szCs w:val="14"/>
          <w:i w:val="1"/>
          <w:iCs w:val="1"/>
          <w:color w:val="auto"/>
        </w:rPr>
        <w:t>possible,</w:t>
      </w:r>
      <w:r>
        <w:rPr>
          <w:rFonts w:ascii="Arial" w:cs="Arial" w:eastAsia="Arial" w:hAnsi="Arial"/>
          <w:sz w:val="14"/>
          <w:szCs w:val="14"/>
          <w:color w:val="auto"/>
        </w:rPr>
        <w:t>” “</w:t>
      </w:r>
      <w:r>
        <w:rPr>
          <w:rFonts w:ascii="Arial" w:cs="Arial" w:eastAsia="Arial" w:hAnsi="Arial"/>
          <w:sz w:val="14"/>
          <w:szCs w:val="14"/>
          <w:i w:val="1"/>
          <w:iCs w:val="1"/>
          <w:color w:val="auto"/>
        </w:rPr>
        <w:t>emerging,</w:t>
      </w:r>
      <w:r>
        <w:rPr>
          <w:rFonts w:ascii="Arial" w:cs="Arial" w:eastAsia="Arial" w:hAnsi="Arial"/>
          <w:sz w:val="14"/>
          <w:szCs w:val="14"/>
          <w:color w:val="auto"/>
        </w:rPr>
        <w:t>” “</w:t>
      </w:r>
      <w:r>
        <w:rPr>
          <w:rFonts w:ascii="Arial" w:cs="Arial" w:eastAsia="Arial" w:hAnsi="Arial"/>
          <w:sz w:val="14"/>
          <w:szCs w:val="14"/>
          <w:i w:val="1"/>
          <w:iCs w:val="1"/>
          <w:color w:val="auto"/>
        </w:rPr>
        <w:t>opportunity,</w:t>
      </w:r>
      <w:r>
        <w:rPr>
          <w:rFonts w:ascii="Arial" w:cs="Arial" w:eastAsia="Arial" w:hAnsi="Arial"/>
          <w:sz w:val="14"/>
          <w:szCs w:val="14"/>
          <w:color w:val="auto"/>
        </w:rPr>
        <w:t>” “</w:t>
      </w:r>
      <w:r>
        <w:rPr>
          <w:rFonts w:ascii="Arial" w:cs="Arial" w:eastAsia="Arial" w:hAnsi="Arial"/>
          <w:sz w:val="14"/>
          <w:szCs w:val="14"/>
          <w:i w:val="1"/>
          <w:iCs w:val="1"/>
          <w:color w:val="auto"/>
        </w:rPr>
        <w:t>pursue</w:t>
      </w:r>
      <w:r>
        <w:rPr>
          <w:rFonts w:ascii="Arial" w:cs="Arial" w:eastAsia="Arial" w:hAnsi="Arial"/>
          <w:sz w:val="14"/>
          <w:szCs w:val="14"/>
          <w:color w:val="auto"/>
        </w:rPr>
        <w:t xml:space="preserve">” </w:t>
      </w:r>
      <w:r>
        <w:rPr>
          <w:rFonts w:ascii="Arial" w:cs="Arial" w:eastAsia="Arial" w:hAnsi="Arial"/>
          <w:sz w:val="14"/>
          <w:szCs w:val="14"/>
          <w:i w:val="1"/>
          <w:iCs w:val="1"/>
          <w:color w:val="auto"/>
        </w:rPr>
        <w:t>and similar expressions intended to identify forward-looking</w:t>
      </w:r>
      <w:r>
        <w:rPr>
          <w:rFonts w:ascii="Arial" w:cs="Arial" w:eastAsia="Arial" w:hAnsi="Arial"/>
          <w:sz w:val="14"/>
          <w:szCs w:val="14"/>
          <w:color w:val="auto"/>
        </w:rPr>
        <w:t xml:space="preserve"> </w:t>
      </w:r>
      <w:r>
        <w:rPr>
          <w:rFonts w:ascii="Arial" w:cs="Arial" w:eastAsia="Arial" w:hAnsi="Arial"/>
          <w:sz w:val="14"/>
          <w:szCs w:val="14"/>
          <w:i w:val="1"/>
          <w:iCs w:val="1"/>
          <w:color w:val="auto"/>
        </w:rPr>
        <w:t>statements. These statements reflect our current views with respect to future events and are based on assumptions and subject to risks and uncertainties. Given these uncertainties, you should not place undue reliance on these forward-looking statements. Factors that may cause our actual results to differ materially from those in the forward-looking statements include the duration and severity of the COVID-19 pandemic and its impact on our business</w:t>
      </w:r>
      <w:r>
        <w:rPr>
          <w:rFonts w:ascii="Arial" w:cs="Arial" w:eastAsia="Arial" w:hAnsi="Arial"/>
          <w:sz w:val="14"/>
          <w:szCs w:val="14"/>
          <w:color w:val="auto"/>
        </w:rPr>
        <w:t>;</w:t>
      </w:r>
      <w:r>
        <w:rPr>
          <w:rFonts w:ascii="Arial" w:cs="Arial" w:eastAsia="Arial" w:hAnsi="Arial"/>
          <w:sz w:val="14"/>
          <w:szCs w:val="14"/>
          <w:i w:val="1"/>
          <w:iCs w:val="1"/>
          <w:color w:val="auto"/>
        </w:rPr>
        <w:t xml:space="preserve"> reductions in customers</w:t>
      </w:r>
      <w:r>
        <w:rPr>
          <w:rFonts w:ascii="Arial" w:cs="Arial" w:eastAsia="Arial" w:hAnsi="Arial"/>
          <w:sz w:val="14"/>
          <w:szCs w:val="14"/>
          <w:color w:val="auto"/>
        </w:rPr>
        <w:t>’</w:t>
      </w:r>
      <w:r>
        <w:rPr>
          <w:rFonts w:ascii="Arial" w:cs="Arial" w:eastAsia="Arial" w:hAnsi="Arial"/>
          <w:sz w:val="14"/>
          <w:szCs w:val="14"/>
          <w:i w:val="1"/>
          <w:iCs w:val="1"/>
          <w:color w:val="auto"/>
        </w:rPr>
        <w:t xml:space="preserve"> research budgets or government funding</w:t>
      </w:r>
      <w:r>
        <w:rPr>
          <w:rFonts w:ascii="Arial" w:cs="Arial" w:eastAsia="Arial" w:hAnsi="Arial"/>
          <w:sz w:val="14"/>
          <w:szCs w:val="14"/>
          <w:color w:val="auto"/>
        </w:rPr>
        <w:t>;</w:t>
      </w:r>
      <w:r>
        <w:rPr>
          <w:rFonts w:ascii="Arial" w:cs="Arial" w:eastAsia="Arial" w:hAnsi="Arial"/>
          <w:sz w:val="14"/>
          <w:szCs w:val="14"/>
          <w:i w:val="1"/>
          <w:iCs w:val="1"/>
          <w:color w:val="auto"/>
        </w:rPr>
        <w:t xml:space="preserve"> domestic and global economic conditions</w:t>
      </w:r>
      <w:r>
        <w:rPr>
          <w:rFonts w:ascii="Arial" w:cs="Arial" w:eastAsia="Arial" w:hAnsi="Arial"/>
          <w:sz w:val="14"/>
          <w:szCs w:val="14"/>
          <w:color w:val="auto"/>
        </w:rPr>
        <w:t>;</w:t>
      </w:r>
      <w:r>
        <w:rPr>
          <w:rFonts w:ascii="Arial" w:cs="Arial" w:eastAsia="Arial" w:hAnsi="Arial"/>
          <w:sz w:val="14"/>
          <w:szCs w:val="14"/>
          <w:i w:val="1"/>
          <w:iCs w:val="1"/>
          <w:color w:val="auto"/>
        </w:rPr>
        <w:t xml:space="preserve"> economic, political and other risks associated with international revenues and operations</w:t>
      </w:r>
      <w:r>
        <w:rPr>
          <w:rFonts w:ascii="Arial" w:cs="Arial" w:eastAsia="Arial" w:hAnsi="Arial"/>
          <w:sz w:val="14"/>
          <w:szCs w:val="14"/>
          <w:color w:val="auto"/>
        </w:rPr>
        <w:t>;</w:t>
      </w:r>
      <w:r>
        <w:rPr>
          <w:rFonts w:ascii="Arial" w:cs="Arial" w:eastAsia="Arial" w:hAnsi="Arial"/>
          <w:sz w:val="14"/>
          <w:szCs w:val="14"/>
          <w:i w:val="1"/>
          <w:iCs w:val="1"/>
          <w:color w:val="auto"/>
        </w:rPr>
        <w:t xml:space="preserve"> recently enacted U.S. government tax reform</w:t>
      </w:r>
      <w:r>
        <w:rPr>
          <w:rFonts w:ascii="Arial" w:cs="Arial" w:eastAsia="Arial" w:hAnsi="Arial"/>
          <w:sz w:val="14"/>
          <w:szCs w:val="14"/>
          <w:color w:val="auto"/>
        </w:rPr>
        <w:t>;</w:t>
      </w:r>
      <w:r>
        <w:rPr>
          <w:rFonts w:ascii="Arial" w:cs="Arial" w:eastAsia="Arial" w:hAnsi="Arial"/>
          <w:sz w:val="14"/>
          <w:szCs w:val="14"/>
          <w:i w:val="1"/>
          <w:iCs w:val="1"/>
          <w:color w:val="auto"/>
        </w:rPr>
        <w:t xml:space="preserve"> currency exchange rate fluctuations</w:t>
      </w:r>
      <w:r>
        <w:rPr>
          <w:rFonts w:ascii="Arial" w:cs="Arial" w:eastAsia="Arial" w:hAnsi="Arial"/>
          <w:sz w:val="14"/>
          <w:szCs w:val="14"/>
          <w:color w:val="auto"/>
        </w:rPr>
        <w:t>;</w:t>
      </w:r>
      <w:r>
        <w:rPr>
          <w:rFonts w:ascii="Arial" w:cs="Arial" w:eastAsia="Arial" w:hAnsi="Arial"/>
          <w:sz w:val="14"/>
          <w:szCs w:val="14"/>
          <w:i w:val="1"/>
          <w:iCs w:val="1"/>
          <w:color w:val="auto"/>
        </w:rPr>
        <w:t xml:space="preserve"> economic and political conditions generally and those affecting pharmaceutical and biotechnology industries</w:t>
      </w:r>
      <w:r>
        <w:rPr>
          <w:rFonts w:ascii="Arial" w:cs="Arial" w:eastAsia="Arial" w:hAnsi="Arial"/>
          <w:sz w:val="14"/>
          <w:szCs w:val="14"/>
          <w:color w:val="auto"/>
        </w:rPr>
        <w:t>;</w:t>
      </w:r>
      <w:r>
        <w:rPr>
          <w:rFonts w:ascii="Arial" w:cs="Arial" w:eastAsia="Arial" w:hAnsi="Arial"/>
          <w:sz w:val="14"/>
          <w:szCs w:val="14"/>
          <w:i w:val="1"/>
          <w:iCs w:val="1"/>
          <w:color w:val="auto"/>
        </w:rPr>
        <w:t xml:space="preserve"> the seasonal nature of purchasing in Europe</w:t>
      </w:r>
      <w:r>
        <w:rPr>
          <w:rFonts w:ascii="Arial" w:cs="Arial" w:eastAsia="Arial" w:hAnsi="Arial"/>
          <w:sz w:val="14"/>
          <w:szCs w:val="14"/>
          <w:color w:val="auto"/>
        </w:rPr>
        <w:t>;</w:t>
      </w:r>
      <w:r>
        <w:rPr>
          <w:rFonts w:ascii="Arial" w:cs="Arial" w:eastAsia="Arial" w:hAnsi="Arial"/>
          <w:sz w:val="14"/>
          <w:szCs w:val="14"/>
          <w:i w:val="1"/>
          <w:iCs w:val="1"/>
          <w:color w:val="auto"/>
        </w:rPr>
        <w:t xml:space="preserve"> our failure to expand into foreign countries and international markets</w:t>
      </w:r>
      <w:r>
        <w:rPr>
          <w:rFonts w:ascii="Arial" w:cs="Arial" w:eastAsia="Arial" w:hAnsi="Arial"/>
          <w:sz w:val="14"/>
          <w:szCs w:val="14"/>
          <w:color w:val="auto"/>
        </w:rPr>
        <w:t>;</w:t>
      </w:r>
      <w:r>
        <w:rPr>
          <w:rFonts w:ascii="Arial" w:cs="Arial" w:eastAsia="Arial" w:hAnsi="Arial"/>
          <w:sz w:val="14"/>
          <w:szCs w:val="14"/>
          <w:i w:val="1"/>
          <w:iCs w:val="1"/>
          <w:color w:val="auto"/>
        </w:rPr>
        <w:t xml:space="preserve"> our inability to manage our growth</w:t>
      </w:r>
      <w:r>
        <w:rPr>
          <w:rFonts w:ascii="Arial" w:cs="Arial" w:eastAsia="Arial" w:hAnsi="Arial"/>
          <w:sz w:val="14"/>
          <w:szCs w:val="14"/>
          <w:color w:val="auto"/>
        </w:rPr>
        <w:t>;</w:t>
      </w:r>
      <w:r>
        <w:rPr>
          <w:rFonts w:ascii="Arial" w:cs="Arial" w:eastAsia="Arial" w:hAnsi="Arial"/>
          <w:sz w:val="14"/>
          <w:szCs w:val="14"/>
          <w:i w:val="1"/>
          <w:iCs w:val="1"/>
          <w:color w:val="auto"/>
        </w:rPr>
        <w:t xml:space="preserve"> competition from our competitors</w:t>
      </w:r>
      <w:r>
        <w:rPr>
          <w:rFonts w:ascii="Arial" w:cs="Arial" w:eastAsia="Arial" w:hAnsi="Arial"/>
          <w:sz w:val="14"/>
          <w:szCs w:val="14"/>
          <w:color w:val="auto"/>
        </w:rPr>
        <w:t>;</w:t>
      </w:r>
      <w:r>
        <w:rPr>
          <w:rFonts w:ascii="Arial" w:cs="Arial" w:eastAsia="Arial" w:hAnsi="Arial"/>
          <w:sz w:val="14"/>
          <w:szCs w:val="14"/>
          <w:i w:val="1"/>
          <w:iCs w:val="1"/>
          <w:color w:val="auto"/>
        </w:rPr>
        <w:t xml:space="preserve"> our substantial debt and our ability to meet the financial covenants contained in our credit facility</w:t>
      </w:r>
      <w:r>
        <w:rPr>
          <w:rFonts w:ascii="Arial" w:cs="Arial" w:eastAsia="Arial" w:hAnsi="Arial"/>
          <w:sz w:val="14"/>
          <w:szCs w:val="14"/>
          <w:color w:val="auto"/>
        </w:rPr>
        <w:t>;</w:t>
      </w:r>
      <w:r>
        <w:rPr>
          <w:rFonts w:ascii="Arial" w:cs="Arial" w:eastAsia="Arial" w:hAnsi="Arial"/>
          <w:sz w:val="14"/>
          <w:szCs w:val="14"/>
          <w:i w:val="1"/>
          <w:iCs w:val="1"/>
          <w:color w:val="auto"/>
        </w:rPr>
        <w:t xml:space="preserve"> failure or inadequacy of the our information technology structure</w:t>
      </w:r>
      <w:r>
        <w:rPr>
          <w:rFonts w:ascii="Arial" w:cs="Arial" w:eastAsia="Arial" w:hAnsi="Arial"/>
          <w:sz w:val="14"/>
          <w:szCs w:val="14"/>
          <w:color w:val="auto"/>
        </w:rPr>
        <w:t>;</w:t>
      </w:r>
      <w:r>
        <w:rPr>
          <w:rFonts w:ascii="Arial" w:cs="Arial" w:eastAsia="Arial" w:hAnsi="Arial"/>
          <w:sz w:val="14"/>
          <w:szCs w:val="14"/>
          <w:i w:val="1"/>
          <w:iCs w:val="1"/>
          <w:color w:val="auto"/>
        </w:rPr>
        <w:t xml:space="preserve"> impact of difficulties implementing our enterprise resource planning systems</w:t>
      </w:r>
      <w:r>
        <w:rPr>
          <w:rFonts w:ascii="Arial" w:cs="Arial" w:eastAsia="Arial" w:hAnsi="Arial"/>
          <w:sz w:val="14"/>
          <w:szCs w:val="14"/>
          <w:color w:val="auto"/>
        </w:rPr>
        <w:t>;</w:t>
      </w:r>
      <w:r>
        <w:rPr>
          <w:rFonts w:ascii="Arial" w:cs="Arial" w:eastAsia="Arial" w:hAnsi="Arial"/>
          <w:sz w:val="14"/>
          <w:szCs w:val="14"/>
          <w:i w:val="1"/>
          <w:iCs w:val="1"/>
          <w:color w:val="auto"/>
        </w:rPr>
        <w:t xml:space="preserve"> information security incidents or cybersecurity breaches</w:t>
      </w:r>
      <w:r>
        <w:rPr>
          <w:rFonts w:ascii="Arial" w:cs="Arial" w:eastAsia="Arial" w:hAnsi="Arial"/>
          <w:sz w:val="14"/>
          <w:szCs w:val="14"/>
          <w:color w:val="auto"/>
        </w:rPr>
        <w:t>;</w:t>
      </w:r>
      <w:r>
        <w:rPr>
          <w:rFonts w:ascii="Arial" w:cs="Arial" w:eastAsia="Arial" w:hAnsi="Arial"/>
          <w:sz w:val="14"/>
          <w:szCs w:val="14"/>
          <w:i w:val="1"/>
          <w:iCs w:val="1"/>
          <w:color w:val="auto"/>
        </w:rPr>
        <w:t xml:space="preserve"> our failure to identify potential acquisition candidates and successfully close such acquisitions with favorable pricing or integrate acquired businesses or technologies</w:t>
      </w:r>
      <w:r>
        <w:rPr>
          <w:rFonts w:ascii="Arial" w:cs="Arial" w:eastAsia="Arial" w:hAnsi="Arial"/>
          <w:sz w:val="14"/>
          <w:szCs w:val="14"/>
          <w:color w:val="auto"/>
        </w:rPr>
        <w:t>;</w:t>
      </w:r>
      <w:r>
        <w:rPr>
          <w:rFonts w:ascii="Arial" w:cs="Arial" w:eastAsia="Arial" w:hAnsi="Arial"/>
          <w:sz w:val="14"/>
          <w:szCs w:val="14"/>
          <w:i w:val="1"/>
          <w:iCs w:val="1"/>
          <w:color w:val="auto"/>
        </w:rPr>
        <w:t xml:space="preserve"> unanticipated costs relating to acquisitions and known and unknown costs arising in connection with our consolidation of business functions and our current and any future restructuring initiatives</w:t>
      </w:r>
      <w:r>
        <w:rPr>
          <w:rFonts w:ascii="Arial" w:cs="Arial" w:eastAsia="Arial" w:hAnsi="Arial"/>
          <w:sz w:val="14"/>
          <w:szCs w:val="14"/>
          <w:color w:val="auto"/>
        </w:rPr>
        <w:t>;</w:t>
      </w:r>
      <w:r>
        <w:rPr>
          <w:rFonts w:ascii="Arial" w:cs="Arial" w:eastAsia="Arial" w:hAnsi="Arial"/>
          <w:sz w:val="14"/>
          <w:szCs w:val="14"/>
          <w:i w:val="1"/>
          <w:iCs w:val="1"/>
          <w:color w:val="auto"/>
        </w:rPr>
        <w:t xml:space="preserve"> failure of any banking institution in which we deposit our funds or its failure to provide services</w:t>
      </w:r>
      <w:r>
        <w:rPr>
          <w:rFonts w:ascii="Arial" w:cs="Arial" w:eastAsia="Arial" w:hAnsi="Arial"/>
          <w:sz w:val="14"/>
          <w:szCs w:val="14"/>
          <w:color w:val="auto"/>
        </w:rPr>
        <w:t>;</w:t>
      </w:r>
      <w:r>
        <w:rPr>
          <w:rFonts w:ascii="Arial" w:cs="Arial" w:eastAsia="Arial" w:hAnsi="Arial"/>
          <w:sz w:val="14"/>
          <w:szCs w:val="14"/>
          <w:i w:val="1"/>
          <w:iCs w:val="1"/>
          <w:color w:val="auto"/>
        </w:rPr>
        <w:t xml:space="preserve"> our failure to raise or generate capital necessary to implement our acquisition and expansion strategy</w:t>
      </w:r>
      <w:r>
        <w:rPr>
          <w:rFonts w:ascii="Arial" w:cs="Arial" w:eastAsia="Arial" w:hAnsi="Arial"/>
          <w:sz w:val="14"/>
          <w:szCs w:val="14"/>
          <w:color w:val="auto"/>
        </w:rPr>
        <w:t>;</w:t>
      </w:r>
      <w:r>
        <w:rPr>
          <w:rFonts w:ascii="Arial" w:cs="Arial" w:eastAsia="Arial" w:hAnsi="Arial"/>
          <w:sz w:val="14"/>
          <w:szCs w:val="14"/>
          <w:i w:val="1"/>
          <w:iCs w:val="1"/>
          <w:color w:val="auto"/>
        </w:rPr>
        <w:t xml:space="preserve"> the failure of Biostage to indemnify us for any liabilities associated with Biostage</w:t>
      </w:r>
      <w:r>
        <w:rPr>
          <w:rFonts w:ascii="Arial" w:cs="Arial" w:eastAsia="Arial" w:hAnsi="Arial"/>
          <w:sz w:val="14"/>
          <w:szCs w:val="14"/>
          <w:color w:val="auto"/>
        </w:rPr>
        <w:t>’</w:t>
      </w:r>
      <w:r>
        <w:rPr>
          <w:rFonts w:ascii="Arial" w:cs="Arial" w:eastAsia="Arial" w:hAnsi="Arial"/>
          <w:sz w:val="14"/>
          <w:szCs w:val="14"/>
          <w:i w:val="1"/>
          <w:iCs w:val="1"/>
          <w:color w:val="auto"/>
        </w:rPr>
        <w:t>s business</w:t>
      </w:r>
      <w:r>
        <w:rPr>
          <w:rFonts w:ascii="Arial" w:cs="Arial" w:eastAsia="Arial" w:hAnsi="Arial"/>
          <w:sz w:val="14"/>
          <w:szCs w:val="14"/>
          <w:color w:val="auto"/>
        </w:rPr>
        <w:t>;</w:t>
      </w:r>
      <w:r>
        <w:rPr>
          <w:rFonts w:ascii="Arial" w:cs="Arial" w:eastAsia="Arial" w:hAnsi="Arial"/>
          <w:sz w:val="14"/>
          <w:szCs w:val="14"/>
          <w:i w:val="1"/>
          <w:iCs w:val="1"/>
          <w:color w:val="auto"/>
        </w:rPr>
        <w:t xml:space="preserve"> impact of any impairment of our goodwill or intangible assets</w:t>
      </w:r>
      <w:r>
        <w:rPr>
          <w:rFonts w:ascii="Arial" w:cs="Arial" w:eastAsia="Arial" w:hAnsi="Arial"/>
          <w:sz w:val="14"/>
          <w:szCs w:val="14"/>
          <w:color w:val="auto"/>
        </w:rPr>
        <w:t>;</w:t>
      </w:r>
      <w:r>
        <w:rPr>
          <w:rFonts w:ascii="Arial" w:cs="Arial" w:eastAsia="Arial" w:hAnsi="Arial"/>
          <w:sz w:val="14"/>
          <w:szCs w:val="14"/>
          <w:i w:val="1"/>
          <w:iCs w:val="1"/>
          <w:color w:val="auto"/>
        </w:rPr>
        <w:t xml:space="preserve"> our ability to retain key personnel</w:t>
      </w:r>
      <w:r>
        <w:rPr>
          <w:rFonts w:ascii="Arial" w:cs="Arial" w:eastAsia="Arial" w:hAnsi="Arial"/>
          <w:sz w:val="14"/>
          <w:szCs w:val="14"/>
          <w:color w:val="auto"/>
        </w:rPr>
        <w:t>;</w:t>
      </w:r>
      <w:r>
        <w:rPr>
          <w:rFonts w:ascii="Arial" w:cs="Arial" w:eastAsia="Arial" w:hAnsi="Arial"/>
          <w:sz w:val="14"/>
          <w:szCs w:val="14"/>
          <w:i w:val="1"/>
          <w:iCs w:val="1"/>
          <w:color w:val="auto"/>
        </w:rPr>
        <w:t xml:space="preserve"> failure or inadequacy or our information technology structure</w:t>
      </w:r>
      <w:r>
        <w:rPr>
          <w:rFonts w:ascii="Arial" w:cs="Arial" w:eastAsia="Arial" w:hAnsi="Arial"/>
          <w:sz w:val="14"/>
          <w:szCs w:val="14"/>
          <w:color w:val="auto"/>
        </w:rPr>
        <w:t>;</w:t>
      </w:r>
      <w:r>
        <w:rPr>
          <w:rFonts w:ascii="Arial" w:cs="Arial" w:eastAsia="Arial" w:hAnsi="Arial"/>
          <w:sz w:val="14"/>
          <w:szCs w:val="14"/>
          <w:i w:val="1"/>
          <w:iCs w:val="1"/>
          <w:color w:val="auto"/>
        </w:rPr>
        <w:t xml:space="preserve"> rising commodity and precious metals costs</w:t>
      </w:r>
      <w:r>
        <w:rPr>
          <w:rFonts w:ascii="Arial" w:cs="Arial" w:eastAsia="Arial" w:hAnsi="Arial"/>
          <w:sz w:val="14"/>
          <w:szCs w:val="14"/>
          <w:color w:val="auto"/>
        </w:rPr>
        <w:t>;</w:t>
      </w:r>
      <w:r>
        <w:rPr>
          <w:rFonts w:ascii="Arial" w:cs="Arial" w:eastAsia="Arial" w:hAnsi="Arial"/>
          <w:sz w:val="14"/>
          <w:szCs w:val="14"/>
          <w:i w:val="1"/>
          <w:iCs w:val="1"/>
          <w:color w:val="auto"/>
        </w:rPr>
        <w:t xml:space="preserve"> our ability to protect our intellectual property and operate without infringing on others</w:t>
      </w:r>
      <w:r>
        <w:rPr>
          <w:rFonts w:ascii="Arial" w:cs="Arial" w:eastAsia="Arial" w:hAnsi="Arial"/>
          <w:sz w:val="14"/>
          <w:szCs w:val="14"/>
          <w:color w:val="auto"/>
        </w:rPr>
        <w:t>’</w:t>
      </w:r>
      <w:r>
        <w:rPr>
          <w:rFonts w:ascii="Arial" w:cs="Arial" w:eastAsia="Arial" w:hAnsi="Arial"/>
          <w:sz w:val="14"/>
          <w:szCs w:val="14"/>
          <w:i w:val="1"/>
          <w:iCs w:val="1"/>
          <w:color w:val="auto"/>
        </w:rPr>
        <w:t xml:space="preserve"> intellectual property</w:t>
      </w:r>
      <w:r>
        <w:rPr>
          <w:rFonts w:ascii="Arial" w:cs="Arial" w:eastAsia="Arial" w:hAnsi="Arial"/>
          <w:sz w:val="14"/>
          <w:szCs w:val="14"/>
          <w:color w:val="auto"/>
        </w:rPr>
        <w:t>;</w:t>
      </w:r>
      <w:r>
        <w:rPr>
          <w:rFonts w:ascii="Arial" w:cs="Arial" w:eastAsia="Arial" w:hAnsi="Arial"/>
          <w:sz w:val="14"/>
          <w:szCs w:val="14"/>
          <w:i w:val="1"/>
          <w:iCs w:val="1"/>
          <w:color w:val="auto"/>
        </w:rPr>
        <w:t xml:space="preserve"> exposure to product and other liability claims</w:t>
      </w:r>
      <w:r>
        <w:rPr>
          <w:rFonts w:ascii="Arial" w:cs="Arial" w:eastAsia="Arial" w:hAnsi="Arial"/>
          <w:sz w:val="14"/>
          <w:szCs w:val="14"/>
          <w:color w:val="auto"/>
        </w:rPr>
        <w:t>;</w:t>
      </w:r>
      <w:r>
        <w:rPr>
          <w:rFonts w:ascii="Arial" w:cs="Arial" w:eastAsia="Arial" w:hAnsi="Arial"/>
          <w:sz w:val="14"/>
          <w:szCs w:val="14"/>
          <w:i w:val="1"/>
          <w:iCs w:val="1"/>
          <w:color w:val="auto"/>
        </w:rPr>
        <w:t xml:space="preserve"> global stock market volatility, currency exchange rate fluctuations and regulatory changes caused by the United Kingdom</w:t>
      </w:r>
      <w:r>
        <w:rPr>
          <w:rFonts w:ascii="Arial" w:cs="Arial" w:eastAsia="Arial" w:hAnsi="Arial"/>
          <w:sz w:val="14"/>
          <w:szCs w:val="14"/>
          <w:color w:val="auto"/>
        </w:rPr>
        <w:t>’</w:t>
      </w:r>
      <w:r>
        <w:rPr>
          <w:rFonts w:ascii="Arial" w:cs="Arial" w:eastAsia="Arial" w:hAnsi="Arial"/>
          <w:sz w:val="14"/>
          <w:szCs w:val="14"/>
          <w:i w:val="1"/>
          <w:iCs w:val="1"/>
          <w:color w:val="auto"/>
        </w:rPr>
        <w:t>s exit from the European Union</w:t>
      </w:r>
      <w:r>
        <w:rPr>
          <w:rFonts w:ascii="Arial" w:cs="Arial" w:eastAsia="Arial" w:hAnsi="Arial"/>
          <w:sz w:val="14"/>
          <w:szCs w:val="14"/>
          <w:color w:val="auto"/>
        </w:rPr>
        <w:t>;</w:t>
      </w:r>
      <w:r>
        <w:rPr>
          <w:rFonts w:ascii="Arial" w:cs="Arial" w:eastAsia="Arial" w:hAnsi="Arial"/>
          <w:sz w:val="14"/>
          <w:szCs w:val="14"/>
          <w:i w:val="1"/>
          <w:iCs w:val="1"/>
          <w:color w:val="auto"/>
        </w:rPr>
        <w:t xml:space="preserve"> plus other factors described under the heading </w:t>
      </w:r>
      <w:r>
        <w:rPr>
          <w:rFonts w:ascii="Arial" w:cs="Arial" w:eastAsia="Arial" w:hAnsi="Arial"/>
          <w:sz w:val="14"/>
          <w:szCs w:val="14"/>
          <w:color w:val="auto"/>
        </w:rPr>
        <w:t>“</w:t>
      </w:r>
      <w:r>
        <w:rPr>
          <w:rFonts w:ascii="Arial" w:cs="Arial" w:eastAsia="Arial" w:hAnsi="Arial"/>
          <w:sz w:val="14"/>
          <w:szCs w:val="14"/>
          <w:i w:val="1"/>
          <w:iCs w:val="1"/>
          <w:color w:val="auto"/>
        </w:rPr>
        <w:t>Item 1A. Risk Factors</w:t>
      </w:r>
      <w:r>
        <w:rPr>
          <w:rFonts w:ascii="Arial" w:cs="Arial" w:eastAsia="Arial" w:hAnsi="Arial"/>
          <w:sz w:val="14"/>
          <w:szCs w:val="14"/>
          <w:color w:val="auto"/>
        </w:rPr>
        <w:t>”</w:t>
      </w:r>
      <w:r>
        <w:rPr>
          <w:rFonts w:ascii="Arial" w:cs="Arial" w:eastAsia="Arial" w:hAnsi="Arial"/>
          <w:sz w:val="14"/>
          <w:szCs w:val="14"/>
          <w:i w:val="1"/>
          <w:iCs w:val="1"/>
          <w:color w:val="auto"/>
        </w:rPr>
        <w:t xml:space="preserve"> in our Annual Report on Form 10-K for year ended December 31, 2020, or described in our other public filings. Our results may also be affected by factors of which we are not currently aware. We may not update these forward-looking statements, even though our situation may change in the future, unless we have obligations under the federal securities laws to update and disclose material developments related to previously disclosed information.</w:t>
      </w:r>
    </w:p>
    <w:p>
      <w:pPr>
        <w:spacing w:after="0" w:line="367" w:lineRule="exact"/>
        <w:rPr>
          <w:sz w:val="20"/>
          <w:szCs w:val="20"/>
          <w:color w:val="auto"/>
        </w:rPr>
      </w:pPr>
    </w:p>
    <w:p>
      <w:pPr>
        <w:jc w:val="center"/>
        <w:ind w:right="500"/>
        <w:spacing w:after="0"/>
        <w:rPr>
          <w:sz w:val="20"/>
          <w:szCs w:val="20"/>
          <w:color w:val="auto"/>
        </w:rPr>
      </w:pPr>
      <w:r>
        <w:rPr>
          <w:rFonts w:ascii="Arial" w:cs="Arial" w:eastAsia="Arial" w:hAnsi="Arial"/>
          <w:sz w:val="16"/>
          <w:szCs w:val="16"/>
          <w:color w:val="auto"/>
        </w:rPr>
        <w:t>Unless the context requires otherwise, references in this Quarterly Report to “we,” “us” and “our” refer to Harvard Bioscience, Inc., and its subsidiaries.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55"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Overview</w:t>
      </w:r>
    </w:p>
    <w:p>
      <w:pPr>
        <w:spacing w:after="0" w:line="225" w:lineRule="exact"/>
        <w:rPr>
          <w:sz w:val="20"/>
          <w:szCs w:val="20"/>
          <w:color w:val="auto"/>
        </w:rPr>
      </w:pPr>
    </w:p>
    <w:p>
      <w:pPr>
        <w:jc w:val="both"/>
        <w:ind w:left="160" w:firstLine="288"/>
        <w:spacing w:after="0" w:line="273" w:lineRule="auto"/>
        <w:rPr>
          <w:sz w:val="20"/>
          <w:szCs w:val="20"/>
          <w:color w:val="auto"/>
        </w:rPr>
      </w:pPr>
      <w:r>
        <w:rPr>
          <w:rFonts w:ascii="Arial" w:cs="Arial" w:eastAsia="Arial" w:hAnsi="Arial"/>
          <w:sz w:val="16"/>
          <w:szCs w:val="16"/>
          <w:color w:val="auto"/>
        </w:rPr>
        <w:t>Harvard Bioscience, Inc. is a leading developer, manufacturer and seller of technologies, products and services that enable fundamental research, discovery, and preclinical testing for drug development. Our customers range from renowned academic institutions and government laboratories to the world’s leading pharmaceutical, biotechnology and contract research organizations. With operations in North America, Europe, and China, we sell through a combination of direct and distribution channels to customers around the world.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Recent Developments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COVID-19</w:t>
      </w:r>
    </w:p>
    <w:p>
      <w:pPr>
        <w:spacing w:after="0" w:line="221" w:lineRule="exact"/>
        <w:rPr>
          <w:sz w:val="20"/>
          <w:szCs w:val="20"/>
          <w:color w:val="auto"/>
        </w:rPr>
      </w:pPr>
    </w:p>
    <w:p>
      <w:pPr>
        <w:jc w:val="both"/>
        <w:ind w:left="160" w:firstLine="288"/>
        <w:spacing w:after="0" w:line="287" w:lineRule="auto"/>
        <w:rPr>
          <w:sz w:val="20"/>
          <w:szCs w:val="20"/>
          <w:color w:val="auto"/>
        </w:rPr>
      </w:pPr>
      <w:r>
        <w:rPr>
          <w:rFonts w:ascii="Arial" w:cs="Arial" w:eastAsia="Arial" w:hAnsi="Arial"/>
          <w:sz w:val="15"/>
          <w:szCs w:val="15"/>
          <w:color w:val="auto"/>
        </w:rPr>
        <w:t>On March 11, 2020, the World Health Organization declared the outbreak of a novel coronavirus (COVID-19) as a pandemic. The COVID-19 pandemic has had a negative impact on our operations to date and the future impacts of the pandemic and any resulting economic impact remain unknown and rapidly evolving. Since the global outbreak of COVID-19, many customers, particularly academic research institutions, reduced laboratory work which has negatively impacted, and will continue to negatively impact, our sales. While many of our customers, including academic labs, have reopened, a significant number of them remained closed or at significantly lower capacity levels through the third quarter of 2021. Additionally, to ensure business continuity while maintaining a safe environment for employees aligned with guidance from government and health organizations, we transitioned a significant portion of our workforce to work-from-home while implementing social distancing requirements and other measures to allow manufacturing and other personnel essential to production to continue work within our facilities. Business travel was significantly reduced during this period. While a portion of the workforce has returned to in-office work and travel is less restricted, we continue to have restrictions which represent disruptions which can impact productivity including sales and marketing activities.</w:t>
      </w:r>
    </w:p>
    <w:p>
      <w:pPr>
        <w:spacing w:after="0" w:line="169" w:lineRule="exact"/>
        <w:rPr>
          <w:sz w:val="20"/>
          <w:szCs w:val="20"/>
          <w:color w:val="auto"/>
        </w:rPr>
      </w:pPr>
    </w:p>
    <w:p>
      <w:pPr>
        <w:jc w:val="both"/>
        <w:ind w:left="160" w:firstLine="288"/>
        <w:spacing w:after="0" w:line="273" w:lineRule="auto"/>
        <w:rPr>
          <w:sz w:val="20"/>
          <w:szCs w:val="20"/>
          <w:color w:val="auto"/>
        </w:rPr>
      </w:pPr>
      <w:r>
        <w:rPr>
          <w:rFonts w:ascii="Arial" w:cs="Arial" w:eastAsia="Arial" w:hAnsi="Arial"/>
          <w:sz w:val="16"/>
          <w:szCs w:val="16"/>
          <w:color w:val="auto"/>
        </w:rPr>
        <w:t>The global supply chain has experienced significant disruptions during 2021 due to electronic component and labor shortages and other macroeconomic factors, leading to increased cost of freight, purchased materials and manufacturing labor costs, while also delaying customer shipments. We believe these supply chain trends will continue through the rest of 2021. These conditions in addition to the overall impact on the global economy have negatively impacted our results of operations and cash flows.</w:t>
      </w:r>
    </w:p>
    <w:p>
      <w:pPr>
        <w:spacing w:after="0" w:line="175" w:lineRule="exact"/>
        <w:rPr>
          <w:sz w:val="20"/>
          <w:szCs w:val="20"/>
          <w:color w:val="auto"/>
        </w:rPr>
      </w:pPr>
    </w:p>
    <w:p>
      <w:pPr>
        <w:jc w:val="both"/>
        <w:ind w:left="160" w:firstLine="288"/>
        <w:spacing w:after="0" w:line="305" w:lineRule="auto"/>
        <w:rPr>
          <w:sz w:val="20"/>
          <w:szCs w:val="20"/>
          <w:color w:val="auto"/>
        </w:rPr>
      </w:pPr>
      <w:r>
        <w:rPr>
          <w:rFonts w:ascii="Arial" w:cs="Arial" w:eastAsia="Arial" w:hAnsi="Arial"/>
          <w:sz w:val="15"/>
          <w:szCs w:val="15"/>
          <w:color w:val="auto"/>
        </w:rPr>
        <w:t>Revenue for the three and nine months ended September 30, 2021, and for the year ending December 31, 2020, was negatively impacted due to the conditions noted. If business interruptions resulting from COVID-19 were to be prolonged or expanded in scope, our business, financial condition, results of operations and cash flows would be negatively impacted. We will continue to actively monitor this situation and will implement actions necessary to maintain business continuity.</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Restructuring Plan</w:t>
      </w:r>
    </w:p>
    <w:p>
      <w:pPr>
        <w:spacing w:after="0" w:line="221" w:lineRule="exact"/>
        <w:rPr>
          <w:sz w:val="20"/>
          <w:szCs w:val="20"/>
          <w:color w:val="auto"/>
        </w:rPr>
      </w:pPr>
    </w:p>
    <w:p>
      <w:pPr>
        <w:jc w:val="both"/>
        <w:ind w:left="160" w:firstLine="288"/>
        <w:spacing w:after="0" w:line="271" w:lineRule="auto"/>
        <w:rPr>
          <w:sz w:val="20"/>
          <w:szCs w:val="20"/>
          <w:color w:val="auto"/>
        </w:rPr>
      </w:pPr>
      <w:r>
        <w:rPr>
          <w:rFonts w:ascii="Arial" w:cs="Arial" w:eastAsia="Arial" w:hAnsi="Arial"/>
          <w:sz w:val="16"/>
          <w:szCs w:val="16"/>
          <w:color w:val="auto"/>
        </w:rPr>
        <w:t>In December 2019, we implemented a restructuring plan (the “2019 Restructuring Plan”) to deliver significant cost savings beginning in 2020 and support delivery of a strategic action plan announced in September, 2019. The 2019 Restructuring Plan includes consolidation of our Connecticut manufacturing plant with our existing Massachusetts site, downsizing of operations in the United Kingdom and a reduction in force across the business equal to approximately 10% of our headcount. The 2019 Restructuring Plan is expected to deliver approximately $4.5 million of annualized run-rate savings. The original initiatives under the 2019 Restructuring Plan were completed in the second half of 2020.</w:t>
      </w:r>
    </w:p>
    <w:p>
      <w:pPr>
        <w:spacing w:after="0" w:line="176" w:lineRule="exact"/>
        <w:rPr>
          <w:sz w:val="20"/>
          <w:szCs w:val="20"/>
          <w:color w:val="auto"/>
        </w:rPr>
      </w:pPr>
    </w:p>
    <w:p>
      <w:pPr>
        <w:jc w:val="both"/>
        <w:ind w:left="160" w:firstLine="288"/>
        <w:spacing w:after="0" w:line="271" w:lineRule="auto"/>
        <w:rPr>
          <w:sz w:val="20"/>
          <w:szCs w:val="20"/>
          <w:color w:val="auto"/>
        </w:rPr>
      </w:pPr>
      <w:r>
        <w:rPr>
          <w:rFonts w:ascii="Arial" w:cs="Arial" w:eastAsia="Arial" w:hAnsi="Arial"/>
          <w:sz w:val="16"/>
          <w:szCs w:val="16"/>
          <w:color w:val="auto"/>
        </w:rPr>
        <w:t>We continued to execute the 2019 Restructuring Plan during the COVID-19 pandemic and expanded the scope of the restructuring by realigning our organizational structure to reduce management layers and accelerated our efforts to move to a leaner organization and operation. As a result of this expanded scope, we eliminated additional headcount during 2020 and in the first quarter of 2021 communicated to employees our plan to consolidate certain engineering operations and eliminate two small facilities in Europe. These incremental actions are expected to generate additional annualized cost savings of approximately $2.0 million and were substantially complete as of June 30, 2021.</w:t>
      </w:r>
    </w:p>
    <w:p>
      <w:pPr>
        <w:spacing w:after="0" w:line="176" w:lineRule="exact"/>
        <w:rPr>
          <w:sz w:val="20"/>
          <w:szCs w:val="20"/>
          <w:color w:val="auto"/>
        </w:rPr>
      </w:pPr>
    </w:p>
    <w:p>
      <w:pPr>
        <w:jc w:val="both"/>
        <w:ind w:left="160" w:right="20" w:firstLine="288"/>
        <w:spacing w:after="0" w:line="293" w:lineRule="auto"/>
        <w:rPr>
          <w:sz w:val="20"/>
          <w:szCs w:val="20"/>
          <w:color w:val="auto"/>
        </w:rPr>
      </w:pPr>
      <w:r>
        <w:rPr>
          <w:rFonts w:ascii="Arial" w:cs="Arial" w:eastAsia="Arial" w:hAnsi="Arial"/>
          <w:sz w:val="16"/>
          <w:szCs w:val="16"/>
          <w:color w:val="auto"/>
        </w:rPr>
        <w:t>We incurred cash outlays of approximately $9.0 million as a result of the actions taken under the 2019 Restructuring Plan and incremental cost reductions and other business improvements. We believe these strategic actions will position the business for improved financial performance.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Selected Results of Operations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Three months ended September 30, 2021, compared to three months ended September 30, 2020.</w:t>
      </w:r>
    </w:p>
    <w:p>
      <w:pPr>
        <w:spacing w:after="0" w:line="217" w:lineRule="exact"/>
        <w:rPr>
          <w:sz w:val="20"/>
          <w:szCs w:val="20"/>
          <w:color w:val="auto"/>
        </w:rPr>
      </w:pPr>
    </w:p>
    <w:tbl>
      <w:tblPr>
        <w:tblLayout w:type="fixed"/>
        <w:tblInd w:w="400" w:type="dxa"/>
        <w:tblCellMar>
          <w:top w:w="0" w:type="dxa"/>
          <w:left w:w="0" w:type="dxa"/>
          <w:bottom w:w="0" w:type="dxa"/>
          <w:right w:w="0" w:type="dxa"/>
        </w:tblCellMar>
      </w:tblPr>
      <w:tr>
        <w:trPr>
          <w:trHeight w:val="210"/>
        </w:trPr>
        <w:tc>
          <w:tcPr>
            <w:tcW w:w="45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6"/>
                <w:szCs w:val="16"/>
                <w:b w:val="1"/>
                <w:bCs w:val="1"/>
                <w:color w:val="auto"/>
                <w:w w:val="96"/>
              </w:rPr>
              <w:t>Three Months Ended September 30,</w:t>
            </w:r>
          </w:p>
        </w:tc>
        <w:tc>
          <w:tcPr>
            <w:tcW w:w="13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4540" w:type="dxa"/>
            <w:vAlign w:val="bottom"/>
          </w:tcPr>
          <w:p>
            <w:pPr>
              <w:spacing w:after="0"/>
              <w:rPr>
                <w:sz w:val="20"/>
                <w:szCs w:val="20"/>
                <w:color w:val="auto"/>
              </w:rPr>
            </w:pPr>
            <w:r>
              <w:rPr>
                <w:rFonts w:ascii="Arial" w:cs="Arial" w:eastAsia="Arial" w:hAnsi="Arial"/>
                <w:sz w:val="16"/>
                <w:szCs w:val="16"/>
                <w:color w:val="auto"/>
              </w:rPr>
              <w:t>(dollars in thousands)</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40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 of revenue</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of revenue</w:t>
            </w:r>
          </w:p>
        </w:tc>
        <w:tc>
          <w:tcPr>
            <w:tcW w:w="20" w:type="dxa"/>
            <w:vAlign w:val="bottom"/>
          </w:tcPr>
          <w:p>
            <w:pPr>
              <w:spacing w:after="0"/>
              <w:rPr>
                <w:sz w:val="17"/>
                <w:szCs w:val="17"/>
                <w:color w:val="auto"/>
              </w:rPr>
            </w:pPr>
          </w:p>
        </w:tc>
      </w:tr>
      <w:tr>
        <w:trPr>
          <w:trHeight w:val="196"/>
        </w:trPr>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29,663</w:t>
            </w:r>
          </w:p>
        </w:tc>
        <w:tc>
          <w:tcPr>
            <w:tcW w:w="17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24,037</w:t>
            </w:r>
          </w:p>
        </w:tc>
        <w:tc>
          <w:tcPr>
            <w:tcW w:w="13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540" w:type="dxa"/>
            <w:vAlign w:val="bottom"/>
          </w:tcPr>
          <w:p>
            <w:pPr>
              <w:spacing w:after="0"/>
              <w:rPr>
                <w:sz w:val="20"/>
                <w:szCs w:val="20"/>
                <w:color w:val="auto"/>
              </w:rPr>
            </w:pPr>
            <w:r>
              <w:rPr>
                <w:rFonts w:ascii="Arial" w:cs="Arial" w:eastAsia="Arial" w:hAnsi="Arial"/>
                <w:sz w:val="16"/>
                <w:szCs w:val="16"/>
                <w:color w:val="auto"/>
              </w:rPr>
              <w:t>Gross profit</w:t>
            </w:r>
          </w:p>
        </w:tc>
        <w:tc>
          <w:tcPr>
            <w:tcW w:w="28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16,308</w:t>
            </w:r>
          </w:p>
        </w:tc>
        <w:tc>
          <w:tcPr>
            <w:tcW w:w="1500" w:type="dxa"/>
            <w:vAlign w:val="bottom"/>
            <w:gridSpan w:val="2"/>
          </w:tcPr>
          <w:p>
            <w:pPr>
              <w:jc w:val="right"/>
              <w:ind w:right="100"/>
              <w:spacing w:after="0"/>
              <w:rPr>
                <w:sz w:val="20"/>
                <w:szCs w:val="20"/>
                <w:color w:val="auto"/>
              </w:rPr>
            </w:pPr>
            <w:r>
              <w:rPr>
                <w:rFonts w:ascii="Arial" w:cs="Arial" w:eastAsia="Arial" w:hAnsi="Arial"/>
                <w:sz w:val="16"/>
                <w:szCs w:val="16"/>
                <w:color w:val="auto"/>
              </w:rPr>
              <w:t>55.0%</w:t>
            </w:r>
          </w:p>
        </w:tc>
        <w:tc>
          <w:tcPr>
            <w:tcW w:w="260" w:type="dxa"/>
            <w:vAlign w:val="bottom"/>
          </w:tcPr>
          <w:p>
            <w:pPr>
              <w:spacing w:after="0"/>
              <w:rPr>
                <w:sz w:val="17"/>
                <w:szCs w:val="17"/>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13,495</w:t>
            </w:r>
          </w:p>
        </w:tc>
        <w:tc>
          <w:tcPr>
            <w:tcW w:w="1340" w:type="dxa"/>
            <w:vAlign w:val="bottom"/>
          </w:tcPr>
          <w:p>
            <w:pPr>
              <w:jc w:val="right"/>
              <w:spacing w:after="0"/>
              <w:rPr>
                <w:sz w:val="20"/>
                <w:szCs w:val="20"/>
                <w:color w:val="auto"/>
              </w:rPr>
            </w:pPr>
            <w:r>
              <w:rPr>
                <w:rFonts w:ascii="Arial" w:cs="Arial" w:eastAsia="Arial" w:hAnsi="Arial"/>
                <w:sz w:val="16"/>
                <w:szCs w:val="16"/>
                <w:color w:val="auto"/>
              </w:rPr>
              <w:t>56.1%</w:t>
            </w:r>
          </w:p>
        </w:tc>
        <w:tc>
          <w:tcPr>
            <w:tcW w:w="20" w:type="dxa"/>
            <w:vAlign w:val="bottom"/>
          </w:tcPr>
          <w:p>
            <w:pPr>
              <w:spacing w:after="0"/>
              <w:rPr>
                <w:sz w:val="17"/>
                <w:szCs w:val="17"/>
                <w:color w:val="auto"/>
              </w:rPr>
            </w:pPr>
          </w:p>
        </w:tc>
      </w:tr>
      <w:tr>
        <w:trPr>
          <w:trHeight w:val="203"/>
        </w:trPr>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rPr>
              <w:t>Sales and marketing expenses</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6,183</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20.8%</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4,588</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20" w:type="dxa"/>
            <w:vAlign w:val="bottom"/>
          </w:tcPr>
          <w:p>
            <w:pPr>
              <w:spacing w:after="0"/>
              <w:rPr>
                <w:sz w:val="17"/>
                <w:szCs w:val="17"/>
                <w:color w:val="auto"/>
              </w:rPr>
            </w:pPr>
          </w:p>
        </w:tc>
      </w:tr>
      <w:tr>
        <w:trPr>
          <w:trHeight w:val="203"/>
        </w:trPr>
        <w:tc>
          <w:tcPr>
            <w:tcW w:w="454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28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5,458</w:t>
            </w:r>
          </w:p>
        </w:tc>
        <w:tc>
          <w:tcPr>
            <w:tcW w:w="1500" w:type="dxa"/>
            <w:vAlign w:val="bottom"/>
            <w:gridSpan w:val="2"/>
          </w:tcPr>
          <w:p>
            <w:pPr>
              <w:jc w:val="right"/>
              <w:ind w:right="100"/>
              <w:spacing w:after="0"/>
              <w:rPr>
                <w:sz w:val="20"/>
                <w:szCs w:val="20"/>
                <w:color w:val="auto"/>
              </w:rPr>
            </w:pPr>
            <w:r>
              <w:rPr>
                <w:rFonts w:ascii="Arial" w:cs="Arial" w:eastAsia="Arial" w:hAnsi="Arial"/>
                <w:sz w:val="16"/>
                <w:szCs w:val="16"/>
                <w:color w:val="auto"/>
              </w:rPr>
              <w:t>18.4%</w:t>
            </w:r>
          </w:p>
        </w:tc>
        <w:tc>
          <w:tcPr>
            <w:tcW w:w="260" w:type="dxa"/>
            <w:vAlign w:val="bottom"/>
          </w:tcPr>
          <w:p>
            <w:pPr>
              <w:spacing w:after="0"/>
              <w:rPr>
                <w:sz w:val="17"/>
                <w:szCs w:val="17"/>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5,399</w:t>
            </w:r>
          </w:p>
        </w:tc>
        <w:tc>
          <w:tcPr>
            <w:tcW w:w="1340" w:type="dxa"/>
            <w:vAlign w:val="bottom"/>
          </w:tcPr>
          <w:p>
            <w:pPr>
              <w:jc w:val="right"/>
              <w:spacing w:after="0"/>
              <w:rPr>
                <w:sz w:val="20"/>
                <w:szCs w:val="20"/>
                <w:color w:val="auto"/>
              </w:rPr>
            </w:pPr>
            <w:r>
              <w:rPr>
                <w:rFonts w:ascii="Arial" w:cs="Arial" w:eastAsia="Arial" w:hAnsi="Arial"/>
                <w:sz w:val="16"/>
                <w:szCs w:val="16"/>
                <w:color w:val="auto"/>
              </w:rPr>
              <w:t>22.5%</w:t>
            </w:r>
          </w:p>
        </w:tc>
        <w:tc>
          <w:tcPr>
            <w:tcW w:w="20" w:type="dxa"/>
            <w:vAlign w:val="bottom"/>
          </w:tcPr>
          <w:p>
            <w:pPr>
              <w:spacing w:after="0"/>
              <w:rPr>
                <w:sz w:val="17"/>
                <w:szCs w:val="17"/>
                <w:color w:val="auto"/>
              </w:rPr>
            </w:pPr>
          </w:p>
        </w:tc>
      </w:tr>
      <w:tr>
        <w:trPr>
          <w:trHeight w:val="203"/>
        </w:trPr>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 expenses</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2,660</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9.0%</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1,949</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20" w:type="dxa"/>
            <w:vAlign w:val="bottom"/>
          </w:tcPr>
          <w:p>
            <w:pPr>
              <w:spacing w:after="0"/>
              <w:rPr>
                <w:sz w:val="17"/>
                <w:szCs w:val="17"/>
                <w:color w:val="auto"/>
              </w:rPr>
            </w:pPr>
          </w:p>
        </w:tc>
      </w:tr>
      <w:tr>
        <w:trPr>
          <w:trHeight w:val="202"/>
        </w:trPr>
        <w:tc>
          <w:tcPr>
            <w:tcW w:w="4540" w:type="dxa"/>
            <w:vAlign w:val="bottom"/>
          </w:tcPr>
          <w:p>
            <w:pPr>
              <w:spacing w:after="0"/>
              <w:rPr>
                <w:sz w:val="20"/>
                <w:szCs w:val="20"/>
                <w:color w:val="auto"/>
              </w:rPr>
            </w:pPr>
            <w:r>
              <w:rPr>
                <w:rFonts w:ascii="Arial" w:cs="Arial" w:eastAsia="Arial" w:hAnsi="Arial"/>
                <w:sz w:val="16"/>
                <w:szCs w:val="16"/>
                <w:color w:val="auto"/>
              </w:rPr>
              <w:t>Amortization of intangible assets</w:t>
            </w:r>
          </w:p>
        </w:tc>
        <w:tc>
          <w:tcPr>
            <w:tcW w:w="28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1,459</w:t>
            </w:r>
          </w:p>
        </w:tc>
        <w:tc>
          <w:tcPr>
            <w:tcW w:w="1500" w:type="dxa"/>
            <w:vAlign w:val="bottom"/>
            <w:gridSpan w:val="2"/>
          </w:tcPr>
          <w:p>
            <w:pPr>
              <w:jc w:val="right"/>
              <w:ind w:right="100"/>
              <w:spacing w:after="0"/>
              <w:rPr>
                <w:sz w:val="20"/>
                <w:szCs w:val="20"/>
                <w:color w:val="auto"/>
              </w:rPr>
            </w:pPr>
            <w:r>
              <w:rPr>
                <w:rFonts w:ascii="Arial" w:cs="Arial" w:eastAsia="Arial" w:hAnsi="Arial"/>
                <w:sz w:val="16"/>
                <w:szCs w:val="16"/>
                <w:color w:val="auto"/>
              </w:rPr>
              <w:t>4.9%</w:t>
            </w:r>
          </w:p>
        </w:tc>
        <w:tc>
          <w:tcPr>
            <w:tcW w:w="260" w:type="dxa"/>
            <w:vAlign w:val="bottom"/>
          </w:tcPr>
          <w:p>
            <w:pPr>
              <w:spacing w:after="0"/>
              <w:rPr>
                <w:sz w:val="17"/>
                <w:szCs w:val="17"/>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1,377</w:t>
            </w:r>
          </w:p>
        </w:tc>
        <w:tc>
          <w:tcPr>
            <w:tcW w:w="1340" w:type="dxa"/>
            <w:vAlign w:val="bottom"/>
          </w:tcPr>
          <w:p>
            <w:pPr>
              <w:jc w:val="right"/>
              <w:spacing w:after="0"/>
              <w:rPr>
                <w:sz w:val="20"/>
                <w:szCs w:val="20"/>
                <w:color w:val="auto"/>
              </w:rPr>
            </w:pPr>
            <w:r>
              <w:rPr>
                <w:rFonts w:ascii="Arial" w:cs="Arial" w:eastAsia="Arial" w:hAnsi="Arial"/>
                <w:sz w:val="16"/>
                <w:szCs w:val="16"/>
                <w:color w:val="auto"/>
              </w:rPr>
              <w:t>5.7%</w:t>
            </w:r>
          </w:p>
        </w:tc>
        <w:tc>
          <w:tcPr>
            <w:tcW w:w="20" w:type="dxa"/>
            <w:vAlign w:val="bottom"/>
          </w:tcPr>
          <w:p>
            <w:pPr>
              <w:spacing w:after="0"/>
              <w:rPr>
                <w:sz w:val="17"/>
                <w:szCs w:val="17"/>
                <w:color w:val="auto"/>
              </w:rPr>
            </w:pPr>
          </w:p>
        </w:tc>
      </w:tr>
      <w:tr>
        <w:trPr>
          <w:trHeight w:val="203"/>
        </w:trPr>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373</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1,205</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20" w:type="dxa"/>
            <w:vAlign w:val="bottom"/>
          </w:tcPr>
          <w:p>
            <w:pPr>
              <w:spacing w:after="0"/>
              <w:rPr>
                <w:sz w:val="17"/>
                <w:szCs w:val="17"/>
                <w:color w:val="auto"/>
              </w:rPr>
            </w:pPr>
          </w:p>
        </w:tc>
      </w:tr>
      <w:tr>
        <w:trPr>
          <w:trHeight w:val="206"/>
        </w:trPr>
        <w:tc>
          <w:tcPr>
            <w:tcW w:w="4540" w:type="dxa"/>
            <w:vAlign w:val="bottom"/>
          </w:tcPr>
          <w:p>
            <w:pPr>
              <w:spacing w:after="0"/>
              <w:rPr>
                <w:sz w:val="20"/>
                <w:szCs w:val="20"/>
                <w:color w:val="auto"/>
              </w:rPr>
            </w:pPr>
            <w:r>
              <w:rPr>
                <w:rFonts w:ascii="Arial" w:cs="Arial" w:eastAsia="Arial" w:hAnsi="Arial"/>
                <w:sz w:val="16"/>
                <w:szCs w:val="16"/>
                <w:color w:val="auto"/>
              </w:rPr>
              <w:t>Income tax (benefit) expense</w:t>
            </w:r>
          </w:p>
        </w:tc>
        <w:tc>
          <w:tcPr>
            <w:tcW w:w="28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215</w:t>
            </w:r>
          </w:p>
        </w:tc>
        <w:tc>
          <w:tcPr>
            <w:tcW w:w="1500" w:type="dxa"/>
            <w:vAlign w:val="bottom"/>
            <w:gridSpan w:val="2"/>
          </w:tcPr>
          <w:p>
            <w:pPr>
              <w:jc w:val="right"/>
              <w:ind w:right="100"/>
              <w:spacing w:after="0"/>
              <w:rPr>
                <w:sz w:val="20"/>
                <w:szCs w:val="20"/>
                <w:color w:val="auto"/>
              </w:rPr>
            </w:pPr>
            <w:r>
              <w:rPr>
                <w:rFonts w:ascii="Arial" w:cs="Arial" w:eastAsia="Arial" w:hAnsi="Arial"/>
                <w:sz w:val="16"/>
                <w:szCs w:val="16"/>
                <w:color w:val="auto"/>
              </w:rPr>
              <w:t>0.7%</w:t>
            </w:r>
          </w:p>
        </w:tc>
        <w:tc>
          <w:tcPr>
            <w:tcW w:w="26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(317)</w:t>
            </w:r>
          </w:p>
        </w:tc>
        <w:tc>
          <w:tcPr>
            <w:tcW w:w="1340" w:type="dxa"/>
            <w:vAlign w:val="bottom"/>
          </w:tcPr>
          <w:p>
            <w:pPr>
              <w:jc w:val="right"/>
              <w:spacing w:after="0"/>
              <w:rPr>
                <w:sz w:val="20"/>
                <w:szCs w:val="20"/>
                <w:color w:val="auto"/>
              </w:rPr>
            </w:pPr>
            <w:r>
              <w:rPr>
                <w:rFonts w:ascii="Arial" w:cs="Arial" w:eastAsia="Arial" w:hAnsi="Arial"/>
                <w:sz w:val="16"/>
                <w:szCs w:val="16"/>
                <w:color w:val="auto"/>
              </w:rPr>
              <w:t>-1.3%</w:t>
            </w:r>
          </w:p>
        </w:tc>
        <w:tc>
          <w:tcPr>
            <w:tcW w:w="20" w:type="dxa"/>
            <w:vAlign w:val="bottom"/>
          </w:tcPr>
          <w:p>
            <w:pPr>
              <w:spacing w:after="0"/>
              <w:rPr>
                <w:sz w:val="17"/>
                <w:szCs w:val="17"/>
                <w:color w:val="auto"/>
              </w:rPr>
            </w:pPr>
          </w:p>
        </w:tc>
      </w:tr>
    </w:tbl>
    <w:p>
      <w:pPr>
        <w:spacing w:after="0" w:line="189"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Revenue</w:t>
      </w:r>
    </w:p>
    <w:p>
      <w:pPr>
        <w:spacing w:after="0" w:line="221" w:lineRule="exact"/>
        <w:rPr>
          <w:sz w:val="20"/>
          <w:szCs w:val="20"/>
          <w:color w:val="auto"/>
        </w:rPr>
      </w:pPr>
    </w:p>
    <w:p>
      <w:pPr>
        <w:jc w:val="both"/>
        <w:ind w:left="160" w:firstLine="288"/>
        <w:spacing w:after="0" w:line="271" w:lineRule="auto"/>
        <w:rPr>
          <w:sz w:val="20"/>
          <w:szCs w:val="20"/>
          <w:color w:val="auto"/>
        </w:rPr>
      </w:pPr>
      <w:r>
        <w:rPr>
          <w:rFonts w:ascii="Arial" w:cs="Arial" w:eastAsia="Arial" w:hAnsi="Arial"/>
          <w:sz w:val="16"/>
          <w:szCs w:val="16"/>
          <w:color w:val="auto"/>
        </w:rPr>
        <w:t>Revenues for the three months ended September 30, 2021, were $29.7 million, an increase of approximately $5.7 million, or 23.4%, compared to revenues of $24.0 million for the three months ended September 30, 2020. Revenue improved significantly due to academic labs reopening in 2021 as a number of academic labs remained closed during the third quarter of 2020. We believe that academic lab activity has not yet returned to pre-COVID levels, but activity is significantly higher than the prior year period. Revenue also increased due to improved sales of products from our preclinical product family associated with improved sales processes as well as significant growth in China.</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Gross profit</w:t>
      </w:r>
    </w:p>
    <w:p>
      <w:pPr>
        <w:spacing w:after="0" w:line="221" w:lineRule="exact"/>
        <w:rPr>
          <w:sz w:val="20"/>
          <w:szCs w:val="20"/>
          <w:color w:val="auto"/>
        </w:rPr>
      </w:pPr>
    </w:p>
    <w:p>
      <w:pPr>
        <w:jc w:val="both"/>
        <w:ind w:left="160" w:firstLine="288"/>
        <w:spacing w:after="0" w:line="318" w:lineRule="auto"/>
        <w:rPr>
          <w:sz w:val="20"/>
          <w:szCs w:val="20"/>
          <w:color w:val="auto"/>
        </w:rPr>
      </w:pPr>
      <w:r>
        <w:rPr>
          <w:rFonts w:ascii="Arial" w:cs="Arial" w:eastAsia="Arial" w:hAnsi="Arial"/>
          <w:sz w:val="14"/>
          <w:szCs w:val="14"/>
          <w:color w:val="auto"/>
        </w:rPr>
        <w:t>Gross profit increased $2.8 million, or 20.8%, to $16.3 million for the three months ended September 30, 2021, compared with $13.5 million for the three months ended September 30, 2020, due primarily to the increase in revenue noted. Gross margin decreased to 55.0% for the three months ended September 30, 2021, compared with 56.1% for the three months ended September 30, 2020. The decrease in gross margin was due to higher supply chain, logistics and manufacturing labor costs. The global supply chain has experienced significant disruptions during 2021 due to electronic component and labor shortages and other macroeconomic factors, leading to the increased cost noted. We believe these supply chain trends will continue through the rest of 2021. These costs were partially offset by volume and improved product mix.</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Sales and marketing expenses</w:t>
      </w:r>
    </w:p>
    <w:p>
      <w:pPr>
        <w:spacing w:after="0" w:line="221" w:lineRule="exact"/>
        <w:rPr>
          <w:sz w:val="20"/>
          <w:szCs w:val="20"/>
          <w:color w:val="auto"/>
        </w:rPr>
      </w:pPr>
    </w:p>
    <w:p>
      <w:pPr>
        <w:jc w:val="both"/>
        <w:ind w:left="160" w:firstLine="288"/>
        <w:spacing w:after="0" w:line="273" w:lineRule="auto"/>
        <w:rPr>
          <w:sz w:val="20"/>
          <w:szCs w:val="20"/>
          <w:color w:val="auto"/>
        </w:rPr>
      </w:pPr>
      <w:r>
        <w:rPr>
          <w:rFonts w:ascii="Arial" w:cs="Arial" w:eastAsia="Arial" w:hAnsi="Arial"/>
          <w:sz w:val="16"/>
          <w:szCs w:val="16"/>
          <w:color w:val="auto"/>
        </w:rPr>
        <w:t>Sales and marketing expenses increased $1.6 million, or 34.8%, to $6.2 million for the three months ended September 30, 2021, compared to $4.6 million during the same period in 2020. The increase was primarily due to investments in new marketing and sales support personnel and higher related costs as our employees returned from part-time to full-time status. During the third quarter of 2020 part-time work and other temporary cost reduction measures were in place in response to the rapid reduction of revenue following the onset of COVID-19.</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221" w:lineRule="exact"/>
        <w:rPr>
          <w:sz w:val="20"/>
          <w:szCs w:val="20"/>
          <w:color w:val="auto"/>
        </w:rPr>
      </w:pPr>
    </w:p>
    <w:p>
      <w:pPr>
        <w:jc w:val="both"/>
        <w:ind w:left="160" w:firstLine="288"/>
        <w:spacing w:after="0" w:line="278" w:lineRule="auto"/>
        <w:rPr>
          <w:sz w:val="20"/>
          <w:szCs w:val="20"/>
          <w:color w:val="auto"/>
        </w:rPr>
      </w:pPr>
      <w:r>
        <w:rPr>
          <w:rFonts w:ascii="Arial" w:cs="Arial" w:eastAsia="Arial" w:hAnsi="Arial"/>
          <w:sz w:val="16"/>
          <w:szCs w:val="16"/>
          <w:color w:val="auto"/>
        </w:rPr>
        <w:t>General and administrative expenses were $5.5 million for the three months ended September 30, 2021, an increase of $0.1 million, or 1.1%, compared with $5.4 million for the three months ended September 30, 2020. The increase was due to higher variable compensation offset by lower restructuring and turnaround related costs as compared to the prior period.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221" w:lineRule="exact"/>
        <w:rPr>
          <w:sz w:val="20"/>
          <w:szCs w:val="20"/>
          <w:color w:val="auto"/>
        </w:rPr>
      </w:pPr>
    </w:p>
    <w:p>
      <w:pPr>
        <w:jc w:val="both"/>
        <w:ind w:left="160" w:firstLine="288"/>
        <w:spacing w:after="0" w:line="273" w:lineRule="auto"/>
        <w:rPr>
          <w:sz w:val="20"/>
          <w:szCs w:val="20"/>
          <w:color w:val="auto"/>
        </w:rPr>
      </w:pPr>
      <w:r>
        <w:rPr>
          <w:rFonts w:ascii="Arial" w:cs="Arial" w:eastAsia="Arial" w:hAnsi="Arial"/>
          <w:sz w:val="16"/>
          <w:szCs w:val="16"/>
          <w:color w:val="auto"/>
        </w:rPr>
        <w:t>Research and development expenses were $2.7 million for the three months ended September 30, 2021, an increase of $0.8 million, or 36.5%, compared with $1.9 million for the three months ended September 30, 2020. The increase was due to higher compensation as our employees returned from part-time to full-time status and higher project related costs. During the third quarter of 2020 part-time work and other temporary cost reduction measures were in place in response to the rapid reduction of revenue following the onset of COVID-19.</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59"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Amortization of intangible assets</w:t>
      </w:r>
    </w:p>
    <w:p>
      <w:pPr>
        <w:spacing w:after="0" w:line="221" w:lineRule="exact"/>
        <w:rPr>
          <w:sz w:val="20"/>
          <w:szCs w:val="20"/>
          <w:color w:val="auto"/>
        </w:rPr>
      </w:pPr>
    </w:p>
    <w:p>
      <w:pPr>
        <w:jc w:val="both"/>
        <w:ind w:left="160" w:firstLine="288"/>
        <w:spacing w:after="0" w:line="293" w:lineRule="auto"/>
        <w:rPr>
          <w:sz w:val="20"/>
          <w:szCs w:val="20"/>
          <w:color w:val="auto"/>
        </w:rPr>
      </w:pPr>
      <w:r>
        <w:rPr>
          <w:rFonts w:ascii="Arial" w:cs="Arial" w:eastAsia="Arial" w:hAnsi="Arial"/>
          <w:sz w:val="16"/>
          <w:szCs w:val="16"/>
          <w:color w:val="auto"/>
        </w:rPr>
        <w:t>Amortization of intangible asset expenses was $1.5 million for the three months ended September 30, 2021, compared to$1.4 million for the three months ended September 30, 2020.</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Interest expense</w:t>
      </w:r>
    </w:p>
    <w:p>
      <w:pPr>
        <w:spacing w:after="0" w:line="221" w:lineRule="exact"/>
        <w:rPr>
          <w:sz w:val="20"/>
          <w:szCs w:val="20"/>
          <w:color w:val="auto"/>
        </w:rPr>
      </w:pPr>
    </w:p>
    <w:p>
      <w:pPr>
        <w:jc w:val="both"/>
        <w:ind w:left="160" w:right="20" w:firstLine="288"/>
        <w:spacing w:after="0" w:line="328" w:lineRule="auto"/>
        <w:rPr>
          <w:sz w:val="20"/>
          <w:szCs w:val="20"/>
          <w:color w:val="auto"/>
        </w:rPr>
      </w:pPr>
      <w:r>
        <w:rPr>
          <w:rFonts w:ascii="Arial" w:cs="Arial" w:eastAsia="Arial" w:hAnsi="Arial"/>
          <w:sz w:val="15"/>
          <w:szCs w:val="15"/>
          <w:color w:val="auto"/>
        </w:rPr>
        <w:t>Interest expense was $0.4 million for the three months ended September 30, 2021, a decrease of $0.8 million, or 69.0%, compared with $1.2 million for the three months ended September 30, 2020. The decrease was primarily due to lower interest rates under our new Credit Agreement entered into on December 22, 2020.</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Income tax expense (benefit)</w:t>
      </w:r>
    </w:p>
    <w:p>
      <w:pPr>
        <w:spacing w:after="0" w:line="221" w:lineRule="exact"/>
        <w:rPr>
          <w:sz w:val="20"/>
          <w:szCs w:val="20"/>
          <w:color w:val="auto"/>
        </w:rPr>
      </w:pPr>
    </w:p>
    <w:p>
      <w:pPr>
        <w:jc w:val="both"/>
        <w:ind w:left="160" w:firstLine="288"/>
        <w:spacing w:after="0" w:line="273" w:lineRule="auto"/>
        <w:rPr>
          <w:sz w:val="20"/>
          <w:szCs w:val="20"/>
          <w:color w:val="auto"/>
        </w:rPr>
      </w:pPr>
      <w:r>
        <w:rPr>
          <w:rFonts w:ascii="Arial" w:cs="Arial" w:eastAsia="Arial" w:hAnsi="Arial"/>
          <w:sz w:val="16"/>
          <w:szCs w:val="16"/>
          <w:color w:val="auto"/>
        </w:rPr>
        <w:t>Income tax expense (benefit) for the three months ended September 30, 2021 and 2020 was $0.2 million and $(0.3) million, respectively. The difference between our effective tax rates in 2021 and 2020 compared to the U.S. statutory tax rate of 21% is primarily due to changes in valuation allowances associated with our assessment of the likelihood of the recoverability of our deferred tax assets. We currently have valuation allowances against substantially all of our net operating loss carryforwards and tax credit carryforwards.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Nine months ended September 30, 2021, compared to nine months ended September 30, 2020.</w:t>
      </w:r>
    </w:p>
    <w:p>
      <w:pPr>
        <w:spacing w:after="0" w:line="217" w:lineRule="exact"/>
        <w:rPr>
          <w:sz w:val="20"/>
          <w:szCs w:val="20"/>
          <w:color w:val="auto"/>
        </w:rPr>
      </w:pPr>
    </w:p>
    <w:tbl>
      <w:tblPr>
        <w:tblLayout w:type="fixed"/>
        <w:tblInd w:w="400" w:type="dxa"/>
        <w:tblCellMar>
          <w:top w:w="0" w:type="dxa"/>
          <w:left w:w="0" w:type="dxa"/>
          <w:bottom w:w="0" w:type="dxa"/>
          <w:right w:w="0" w:type="dxa"/>
        </w:tblCellMar>
      </w:tblPr>
      <w:tr>
        <w:trPr>
          <w:trHeight w:val="210"/>
        </w:trPr>
        <w:tc>
          <w:tcPr>
            <w:tcW w:w="45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6"/>
                <w:szCs w:val="16"/>
                <w:b w:val="1"/>
                <w:bCs w:val="1"/>
                <w:color w:val="auto"/>
                <w:w w:val="94"/>
              </w:rPr>
              <w:t>Nine Months Ended September 30,</w:t>
            </w: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4540" w:type="dxa"/>
            <w:vAlign w:val="bottom"/>
          </w:tcPr>
          <w:p>
            <w:pPr>
              <w:spacing w:after="0"/>
              <w:rPr>
                <w:sz w:val="20"/>
                <w:szCs w:val="20"/>
                <w:color w:val="auto"/>
              </w:rPr>
            </w:pPr>
            <w:r>
              <w:rPr>
                <w:rFonts w:ascii="Arial" w:cs="Arial" w:eastAsia="Arial" w:hAnsi="Arial"/>
                <w:sz w:val="16"/>
                <w:szCs w:val="16"/>
                <w:color w:val="auto"/>
              </w:rPr>
              <w:t>(dollars in thousands)</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134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 of revenue</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of revenue</w:t>
            </w:r>
          </w:p>
        </w:tc>
        <w:tc>
          <w:tcPr>
            <w:tcW w:w="20" w:type="dxa"/>
            <w:vAlign w:val="bottom"/>
          </w:tcPr>
          <w:p>
            <w:pPr>
              <w:spacing w:after="0"/>
              <w:rPr>
                <w:sz w:val="17"/>
                <w:szCs w:val="17"/>
                <w:color w:val="auto"/>
              </w:rPr>
            </w:pPr>
          </w:p>
        </w:tc>
      </w:tr>
      <w:tr>
        <w:trPr>
          <w:trHeight w:val="196"/>
        </w:trPr>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85,849</w:t>
            </w:r>
          </w:p>
        </w:tc>
        <w:tc>
          <w:tcPr>
            <w:tcW w:w="180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71,116</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540" w:type="dxa"/>
            <w:vAlign w:val="bottom"/>
          </w:tcPr>
          <w:p>
            <w:pPr>
              <w:spacing w:after="0"/>
              <w:rPr>
                <w:sz w:val="20"/>
                <w:szCs w:val="20"/>
                <w:color w:val="auto"/>
              </w:rPr>
            </w:pPr>
            <w:r>
              <w:rPr>
                <w:rFonts w:ascii="Arial" w:cs="Arial" w:eastAsia="Arial" w:hAnsi="Arial"/>
                <w:sz w:val="16"/>
                <w:szCs w:val="16"/>
                <w:color w:val="auto"/>
              </w:rPr>
              <w:t>Gross profit</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48,092</w:t>
            </w:r>
          </w:p>
        </w:tc>
        <w:tc>
          <w:tcPr>
            <w:tcW w:w="1540" w:type="dxa"/>
            <w:vAlign w:val="bottom"/>
            <w:gridSpan w:val="3"/>
          </w:tcPr>
          <w:p>
            <w:pPr>
              <w:jc w:val="right"/>
              <w:ind w:right="100"/>
              <w:spacing w:after="0"/>
              <w:rPr>
                <w:sz w:val="20"/>
                <w:szCs w:val="20"/>
                <w:color w:val="auto"/>
              </w:rPr>
            </w:pPr>
            <w:r>
              <w:rPr>
                <w:rFonts w:ascii="Arial" w:cs="Arial" w:eastAsia="Arial" w:hAnsi="Arial"/>
                <w:sz w:val="16"/>
                <w:szCs w:val="16"/>
                <w:color w:val="auto"/>
              </w:rPr>
              <w:t>56.0%</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40,333</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56.7%</w:t>
            </w:r>
          </w:p>
        </w:tc>
        <w:tc>
          <w:tcPr>
            <w:tcW w:w="20" w:type="dxa"/>
            <w:vAlign w:val="bottom"/>
          </w:tcPr>
          <w:p>
            <w:pPr>
              <w:spacing w:after="0"/>
              <w:rPr>
                <w:sz w:val="17"/>
                <w:szCs w:val="17"/>
                <w:color w:val="auto"/>
              </w:rPr>
            </w:pPr>
          </w:p>
        </w:tc>
      </w:tr>
      <w:tr>
        <w:trPr>
          <w:trHeight w:val="203"/>
        </w:trPr>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rPr>
              <w:t>Sales and marketing expenses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17,299</w:t>
            </w: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20.2%</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14,446</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20" w:type="dxa"/>
            <w:vAlign w:val="bottom"/>
          </w:tcPr>
          <w:p>
            <w:pPr>
              <w:spacing w:after="0"/>
              <w:rPr>
                <w:sz w:val="17"/>
                <w:szCs w:val="17"/>
                <w:color w:val="auto"/>
              </w:rPr>
            </w:pPr>
          </w:p>
        </w:tc>
      </w:tr>
      <w:tr>
        <w:trPr>
          <w:trHeight w:val="203"/>
        </w:trPr>
        <w:tc>
          <w:tcPr>
            <w:tcW w:w="454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18,190</w:t>
            </w:r>
          </w:p>
        </w:tc>
        <w:tc>
          <w:tcPr>
            <w:tcW w:w="1540" w:type="dxa"/>
            <w:vAlign w:val="bottom"/>
            <w:gridSpan w:val="3"/>
          </w:tcPr>
          <w:p>
            <w:pPr>
              <w:jc w:val="right"/>
              <w:ind w:right="100"/>
              <w:spacing w:after="0"/>
              <w:rPr>
                <w:sz w:val="20"/>
                <w:szCs w:val="20"/>
                <w:color w:val="auto"/>
              </w:rPr>
            </w:pPr>
            <w:r>
              <w:rPr>
                <w:rFonts w:ascii="Arial" w:cs="Arial" w:eastAsia="Arial" w:hAnsi="Arial"/>
                <w:sz w:val="16"/>
                <w:szCs w:val="16"/>
                <w:color w:val="auto"/>
              </w:rPr>
              <w:t>21.2%</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17,828</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25.1%</w:t>
            </w:r>
          </w:p>
        </w:tc>
        <w:tc>
          <w:tcPr>
            <w:tcW w:w="20" w:type="dxa"/>
            <w:vAlign w:val="bottom"/>
          </w:tcPr>
          <w:p>
            <w:pPr>
              <w:spacing w:after="0"/>
              <w:rPr>
                <w:sz w:val="17"/>
                <w:szCs w:val="17"/>
                <w:color w:val="auto"/>
              </w:rPr>
            </w:pPr>
          </w:p>
        </w:tc>
      </w:tr>
      <w:tr>
        <w:trPr>
          <w:trHeight w:val="203"/>
        </w:trPr>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 expenses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7,848</w:t>
            </w: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9.1%</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6,336</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20" w:type="dxa"/>
            <w:vAlign w:val="bottom"/>
          </w:tcPr>
          <w:p>
            <w:pPr>
              <w:spacing w:after="0"/>
              <w:rPr>
                <w:sz w:val="17"/>
                <w:szCs w:val="17"/>
                <w:color w:val="auto"/>
              </w:rPr>
            </w:pPr>
          </w:p>
        </w:tc>
      </w:tr>
      <w:tr>
        <w:trPr>
          <w:trHeight w:val="203"/>
        </w:trPr>
        <w:tc>
          <w:tcPr>
            <w:tcW w:w="4540" w:type="dxa"/>
            <w:vAlign w:val="bottom"/>
          </w:tcPr>
          <w:p>
            <w:pPr>
              <w:spacing w:after="0"/>
              <w:rPr>
                <w:sz w:val="20"/>
                <w:szCs w:val="20"/>
                <w:color w:val="auto"/>
              </w:rPr>
            </w:pPr>
            <w:r>
              <w:rPr>
                <w:rFonts w:ascii="Arial" w:cs="Arial" w:eastAsia="Arial" w:hAnsi="Arial"/>
                <w:sz w:val="16"/>
                <w:szCs w:val="16"/>
                <w:color w:val="auto"/>
              </w:rPr>
              <w:t>Amortization of intangible assets</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4,388</w:t>
            </w:r>
          </w:p>
        </w:tc>
        <w:tc>
          <w:tcPr>
            <w:tcW w:w="1540" w:type="dxa"/>
            <w:vAlign w:val="bottom"/>
            <w:gridSpan w:val="3"/>
          </w:tcPr>
          <w:p>
            <w:pPr>
              <w:jc w:val="right"/>
              <w:ind w:right="100"/>
              <w:spacing w:after="0"/>
              <w:rPr>
                <w:sz w:val="20"/>
                <w:szCs w:val="20"/>
                <w:color w:val="auto"/>
              </w:rPr>
            </w:pPr>
            <w:r>
              <w:rPr>
                <w:rFonts w:ascii="Arial" w:cs="Arial" w:eastAsia="Arial" w:hAnsi="Arial"/>
                <w:sz w:val="16"/>
                <w:szCs w:val="16"/>
                <w:color w:val="auto"/>
              </w:rPr>
              <w:t>5.1%</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4,258</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6.0%</w:t>
            </w:r>
          </w:p>
        </w:tc>
        <w:tc>
          <w:tcPr>
            <w:tcW w:w="20" w:type="dxa"/>
            <w:vAlign w:val="bottom"/>
          </w:tcPr>
          <w:p>
            <w:pPr>
              <w:spacing w:after="0"/>
              <w:rPr>
                <w:sz w:val="17"/>
                <w:szCs w:val="17"/>
                <w:color w:val="auto"/>
              </w:rPr>
            </w:pPr>
          </w:p>
        </w:tc>
      </w:tr>
      <w:tr>
        <w:trPr>
          <w:trHeight w:val="203"/>
        </w:trPr>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w:t>
            </w: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1.4%</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20" w:type="dxa"/>
            <w:vAlign w:val="bottom"/>
          </w:tcPr>
          <w:p>
            <w:pPr>
              <w:spacing w:after="0"/>
              <w:rPr>
                <w:sz w:val="17"/>
                <w:szCs w:val="17"/>
                <w:color w:val="auto"/>
              </w:rPr>
            </w:pPr>
          </w:p>
        </w:tc>
      </w:tr>
      <w:tr>
        <w:trPr>
          <w:trHeight w:val="206"/>
        </w:trPr>
        <w:tc>
          <w:tcPr>
            <w:tcW w:w="4540" w:type="dxa"/>
            <w:vAlign w:val="bottom"/>
          </w:tcPr>
          <w:p>
            <w:pPr>
              <w:spacing w:after="0"/>
              <w:rPr>
                <w:sz w:val="20"/>
                <w:szCs w:val="20"/>
                <w:color w:val="auto"/>
              </w:rPr>
            </w:pPr>
            <w:r>
              <w:rPr>
                <w:rFonts w:ascii="Arial" w:cs="Arial" w:eastAsia="Arial" w:hAnsi="Arial"/>
                <w:sz w:val="16"/>
                <w:szCs w:val="16"/>
                <w:color w:val="auto"/>
              </w:rPr>
              <w:t>Income tax (benefit) expense</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w:t>
            </w:r>
          </w:p>
        </w:tc>
        <w:tc>
          <w:tcPr>
            <w:tcW w:w="1540" w:type="dxa"/>
            <w:vAlign w:val="bottom"/>
            <w:gridSpan w:val="3"/>
          </w:tcPr>
          <w:p>
            <w:pPr>
              <w:jc w:val="right"/>
              <w:ind w:right="100"/>
              <w:spacing w:after="0"/>
              <w:rPr>
                <w:sz w:val="20"/>
                <w:szCs w:val="20"/>
                <w:color w:val="auto"/>
              </w:rPr>
            </w:pPr>
            <w:r>
              <w:rPr>
                <w:rFonts w:ascii="Arial" w:cs="Arial" w:eastAsia="Arial" w:hAnsi="Arial"/>
                <w:sz w:val="16"/>
                <w:szCs w:val="16"/>
                <w:color w:val="auto"/>
              </w:rPr>
              <w:t>0.0%</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451</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0.6%</w:t>
            </w:r>
          </w:p>
        </w:tc>
        <w:tc>
          <w:tcPr>
            <w:tcW w:w="20" w:type="dxa"/>
            <w:vAlign w:val="bottom"/>
          </w:tcPr>
          <w:p>
            <w:pPr>
              <w:spacing w:after="0"/>
              <w:rPr>
                <w:sz w:val="17"/>
                <w:szCs w:val="17"/>
                <w:color w:val="auto"/>
              </w:rPr>
            </w:pPr>
          </w:p>
        </w:tc>
      </w:tr>
    </w:tbl>
    <w:p>
      <w:pPr>
        <w:spacing w:after="0" w:line="189"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Revenues</w:t>
      </w:r>
    </w:p>
    <w:p>
      <w:pPr>
        <w:spacing w:after="0" w:line="221" w:lineRule="exact"/>
        <w:rPr>
          <w:sz w:val="20"/>
          <w:szCs w:val="20"/>
          <w:color w:val="auto"/>
        </w:rPr>
      </w:pPr>
    </w:p>
    <w:p>
      <w:pPr>
        <w:jc w:val="both"/>
        <w:ind w:left="160" w:firstLine="288"/>
        <w:spacing w:after="0" w:line="271" w:lineRule="auto"/>
        <w:rPr>
          <w:sz w:val="20"/>
          <w:szCs w:val="20"/>
          <w:color w:val="auto"/>
        </w:rPr>
      </w:pPr>
      <w:r>
        <w:rPr>
          <w:rFonts w:ascii="Arial" w:cs="Arial" w:eastAsia="Arial" w:hAnsi="Arial"/>
          <w:sz w:val="16"/>
          <w:szCs w:val="16"/>
          <w:color w:val="auto"/>
        </w:rPr>
        <w:t>Revenues for the nine months ended September 30, 2021, were $85.8 million, an increase of approximately $14.7 million, or 20.7%, compared to revenues of $71.1 million for the nine months ended September 30, 2020. Revenue improved significantly due to academic labs reopening in 2021. A large number of academic labs remained closed during 2020. We believe that academic lab activity has not yet returned to pre-COVID levels, but activity is significantly higher than prior year. Revenue also increased due to improved sales of products from our preclinical product family associated with improved sales processes, product enhancements released in 2020 and significant growth in China.</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Gross profit</w:t>
      </w:r>
    </w:p>
    <w:p>
      <w:pPr>
        <w:spacing w:after="0" w:line="221" w:lineRule="exact"/>
        <w:rPr>
          <w:sz w:val="20"/>
          <w:szCs w:val="20"/>
          <w:color w:val="auto"/>
        </w:rPr>
      </w:pPr>
    </w:p>
    <w:p>
      <w:pPr>
        <w:jc w:val="both"/>
        <w:ind w:left="160" w:firstLine="288"/>
        <w:spacing w:after="0" w:line="273" w:lineRule="auto"/>
        <w:rPr>
          <w:sz w:val="20"/>
          <w:szCs w:val="20"/>
          <w:color w:val="auto"/>
        </w:rPr>
      </w:pPr>
      <w:r>
        <w:rPr>
          <w:rFonts w:ascii="Arial" w:cs="Arial" w:eastAsia="Arial" w:hAnsi="Arial"/>
          <w:sz w:val="16"/>
          <w:szCs w:val="16"/>
          <w:color w:val="auto"/>
        </w:rPr>
        <w:t>Gross profit increased $7.8 million, or 19.2%, to $48.1 million for the nine months ended September 30, 2021, compared with $40.3 million for the nine months ended September 30, 2020, due primarily to the increase in revenue noted. Gross margin decreased slightly to 56.0% for the nine months ended September 30, 2021, compared with 56.7% for the nine months ended September 30, 2020. The decrease in gross margin was due to supply chain cost increases which were offset by gross margin increases due to higher volumes and improved product mix.</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Sales and marketing expenses</w:t>
      </w:r>
    </w:p>
    <w:p>
      <w:pPr>
        <w:spacing w:after="0" w:line="221" w:lineRule="exact"/>
        <w:rPr>
          <w:sz w:val="20"/>
          <w:szCs w:val="20"/>
          <w:color w:val="auto"/>
        </w:rPr>
      </w:pPr>
    </w:p>
    <w:p>
      <w:pPr>
        <w:jc w:val="both"/>
        <w:ind w:left="160" w:firstLine="288"/>
        <w:spacing w:after="0" w:line="278" w:lineRule="auto"/>
        <w:rPr>
          <w:sz w:val="20"/>
          <w:szCs w:val="20"/>
          <w:color w:val="auto"/>
        </w:rPr>
      </w:pPr>
      <w:r>
        <w:rPr>
          <w:rFonts w:ascii="Arial" w:cs="Arial" w:eastAsia="Arial" w:hAnsi="Arial"/>
          <w:sz w:val="16"/>
          <w:szCs w:val="16"/>
          <w:color w:val="auto"/>
        </w:rPr>
        <w:t>Sales and marketing expenses increased $2.9 million, or 19.7%, to $17.3 million for the nine months ended September 30, 2021, compared to $14.4 million during the same period in 2020. The increase was primarily due to investments in new marketing and sales support personnel and related costs as our employees returned from part-time to full-time status and higher variable sales costs.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221" w:lineRule="exact"/>
        <w:rPr>
          <w:sz w:val="20"/>
          <w:szCs w:val="20"/>
          <w:color w:val="auto"/>
        </w:rPr>
      </w:pPr>
    </w:p>
    <w:p>
      <w:pPr>
        <w:jc w:val="both"/>
        <w:ind w:left="160" w:firstLine="288"/>
        <w:spacing w:after="0" w:line="335" w:lineRule="auto"/>
        <w:rPr>
          <w:sz w:val="20"/>
          <w:szCs w:val="20"/>
          <w:color w:val="auto"/>
        </w:rPr>
      </w:pPr>
      <w:r>
        <w:rPr>
          <w:rFonts w:ascii="Arial" w:cs="Arial" w:eastAsia="Arial" w:hAnsi="Arial"/>
          <w:sz w:val="14"/>
          <w:szCs w:val="14"/>
          <w:color w:val="auto"/>
        </w:rPr>
        <w:t>General and administrative expenses were $18.2 million for the nine months ended September 30, 2021, an increase of $0.4 million, or 2.0%, compared with $17.8 million for the nine months ended September 30, 2020. The increase was due to higher compensation costs as our employees returned from part-time to full-time status and higher stock-based compensation costs which were partially offset by lower cost reduction initiatives and restructuring costs as compared to the prior period.</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221" w:lineRule="exact"/>
        <w:rPr>
          <w:sz w:val="20"/>
          <w:szCs w:val="20"/>
          <w:color w:val="auto"/>
        </w:rPr>
      </w:pPr>
    </w:p>
    <w:p>
      <w:pPr>
        <w:jc w:val="both"/>
        <w:ind w:left="160" w:firstLine="288"/>
        <w:spacing w:after="0" w:line="278" w:lineRule="auto"/>
        <w:rPr>
          <w:sz w:val="20"/>
          <w:szCs w:val="20"/>
          <w:color w:val="auto"/>
        </w:rPr>
      </w:pPr>
      <w:r>
        <w:rPr>
          <w:rFonts w:ascii="Arial" w:cs="Arial" w:eastAsia="Arial" w:hAnsi="Arial"/>
          <w:sz w:val="16"/>
          <w:szCs w:val="16"/>
          <w:color w:val="auto"/>
        </w:rPr>
        <w:t>Research and development expenses were $7.8 million for the nine months ended September 30, 2021, an increase of $1.5 million, or 23.9%, compared with $6.3 million for the nine months ended September 30, 2020. The increase was due to higher compensation costs as our employees returned from part-time to full-time status and higher project related costs.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Amortization of intangible assets</w:t>
      </w:r>
    </w:p>
    <w:p>
      <w:pPr>
        <w:spacing w:after="0" w:line="221" w:lineRule="exact"/>
        <w:rPr>
          <w:sz w:val="20"/>
          <w:szCs w:val="20"/>
          <w:color w:val="auto"/>
        </w:rPr>
      </w:pPr>
    </w:p>
    <w:p>
      <w:pPr>
        <w:jc w:val="both"/>
        <w:ind w:left="160" w:right="20" w:firstLine="288"/>
        <w:spacing w:after="0" w:line="293" w:lineRule="auto"/>
        <w:rPr>
          <w:sz w:val="20"/>
          <w:szCs w:val="20"/>
          <w:color w:val="auto"/>
        </w:rPr>
      </w:pPr>
      <w:r>
        <w:rPr>
          <w:rFonts w:ascii="Arial" w:cs="Arial" w:eastAsia="Arial" w:hAnsi="Arial"/>
          <w:sz w:val="16"/>
          <w:szCs w:val="16"/>
          <w:color w:val="auto"/>
        </w:rPr>
        <w:t>Amortization of intangible asset expenses was $4.4 million for the nine months ended September 30, 2021, compared to $4.3 million for the nine months ended September 30, 2020.</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Interest expense</w:t>
      </w:r>
    </w:p>
    <w:p>
      <w:pPr>
        <w:spacing w:after="0" w:line="221" w:lineRule="exact"/>
        <w:rPr>
          <w:sz w:val="20"/>
          <w:szCs w:val="20"/>
          <w:color w:val="auto"/>
        </w:rPr>
      </w:pPr>
    </w:p>
    <w:p>
      <w:pPr>
        <w:jc w:val="both"/>
        <w:ind w:left="160" w:firstLine="288"/>
        <w:spacing w:after="0" w:line="278" w:lineRule="auto"/>
        <w:rPr>
          <w:sz w:val="20"/>
          <w:szCs w:val="20"/>
          <w:color w:val="auto"/>
        </w:rPr>
      </w:pPr>
      <w:r>
        <w:rPr>
          <w:rFonts w:ascii="Arial" w:cs="Arial" w:eastAsia="Arial" w:hAnsi="Arial"/>
          <w:sz w:val="16"/>
          <w:szCs w:val="16"/>
          <w:color w:val="auto"/>
        </w:rPr>
        <w:t>Interest expense was $1.2 million for the nine months ended September 30, 2021, a decrease of $2.6 million, or 68.9%, compared with $3.7 million for the nine months ended September 30, 2020. The decrease was due to lower interest rates under our new Credit Agreement entered into on December 22, 2020, as well as reduced average borrowing as compared to the prior period.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Income tax expense (benefit)</w:t>
      </w:r>
    </w:p>
    <w:p>
      <w:pPr>
        <w:spacing w:after="0" w:line="221" w:lineRule="exact"/>
        <w:rPr>
          <w:sz w:val="20"/>
          <w:szCs w:val="20"/>
          <w:color w:val="auto"/>
        </w:rPr>
      </w:pPr>
    </w:p>
    <w:p>
      <w:pPr>
        <w:jc w:val="both"/>
        <w:ind w:left="160" w:firstLine="288"/>
        <w:spacing w:after="0" w:line="324" w:lineRule="auto"/>
        <w:rPr>
          <w:sz w:val="20"/>
          <w:szCs w:val="20"/>
          <w:color w:val="auto"/>
        </w:rPr>
      </w:pPr>
      <w:r>
        <w:rPr>
          <w:rFonts w:ascii="Arial" w:cs="Arial" w:eastAsia="Arial" w:hAnsi="Arial"/>
          <w:sz w:val="14"/>
          <w:szCs w:val="14"/>
          <w:color w:val="auto"/>
        </w:rPr>
        <w:t>Income tax expense (benefit) for the nine months ended September 30, 2021 and 2020, was less than $(0.1) million and $0.4 million, respectively. The effective tax rates for the nine months ended September 30, 2021 and 2020, were 1.7% and (6.7)%, respectively. The difference between our effective tax rates in 2021 and 2020 compared to the U.S. statutory tax rate of 21% is primarily due to changes in valuation allowances associated with our assessment of the likelihood of the recoverability of our deferred tax assets. We currently have valuation allowances against substantially all of our net operating loss carryforwards and tax credit carryforwards.</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Liquidity and Capital Resources</w:t>
      </w:r>
    </w:p>
    <w:p>
      <w:pPr>
        <w:spacing w:after="0" w:line="225" w:lineRule="exact"/>
        <w:rPr>
          <w:sz w:val="20"/>
          <w:szCs w:val="20"/>
          <w:color w:val="auto"/>
        </w:rPr>
      </w:pPr>
    </w:p>
    <w:p>
      <w:pPr>
        <w:jc w:val="both"/>
        <w:ind w:left="160" w:firstLine="288"/>
        <w:spacing w:after="0" w:line="278" w:lineRule="auto"/>
        <w:rPr>
          <w:sz w:val="20"/>
          <w:szCs w:val="20"/>
          <w:color w:val="auto"/>
        </w:rPr>
      </w:pPr>
      <w:r>
        <w:rPr>
          <w:rFonts w:ascii="Arial" w:cs="Arial" w:eastAsia="Arial" w:hAnsi="Arial"/>
          <w:sz w:val="16"/>
          <w:szCs w:val="16"/>
          <w:color w:val="auto"/>
        </w:rPr>
        <w:t>Our primary sources of liquidity are cash and cash equivalents, internally generated cash flow from operations and our revolving credit facility. Our expected cash outlays relate primarily to cash payments due under our Credit Agreement described below as well as capital expenditures, severance and other payments associated with ongoing restructuring and cost reduction initiatives.</w:t>
      </w:r>
    </w:p>
    <w:p>
      <w:pPr>
        <w:spacing w:after="0" w:line="171" w:lineRule="exact"/>
        <w:rPr>
          <w:sz w:val="20"/>
          <w:szCs w:val="20"/>
          <w:color w:val="auto"/>
        </w:rPr>
      </w:pPr>
    </w:p>
    <w:p>
      <w:pPr>
        <w:jc w:val="both"/>
        <w:ind w:left="160" w:firstLine="288"/>
        <w:spacing w:after="0" w:line="278" w:lineRule="auto"/>
        <w:rPr>
          <w:sz w:val="20"/>
          <w:szCs w:val="20"/>
          <w:color w:val="auto"/>
        </w:rPr>
      </w:pPr>
      <w:r>
        <w:rPr>
          <w:rFonts w:ascii="Arial" w:cs="Arial" w:eastAsia="Arial" w:hAnsi="Arial"/>
          <w:sz w:val="16"/>
          <w:szCs w:val="16"/>
          <w:color w:val="auto"/>
        </w:rPr>
        <w:t>As of September 30, 2021, we held cash and cash equivalents of $5.5 million, compared with $8.3 million at December 31, 2020. As of September 30, 2021 and December 31, 2020, we had $46.4 million and $49.4 million of borrowings outstanding under our Credit Facility, respectively. Total debt, net of cash and cash equivalents, was $40.9 million at September, 2021, compared to $41.1 million at December 31, 2020.</w:t>
      </w:r>
    </w:p>
    <w:p>
      <w:pPr>
        <w:spacing w:after="0" w:line="171" w:lineRule="exact"/>
        <w:rPr>
          <w:sz w:val="20"/>
          <w:szCs w:val="20"/>
          <w:color w:val="auto"/>
        </w:rPr>
      </w:pPr>
    </w:p>
    <w:p>
      <w:pPr>
        <w:jc w:val="both"/>
        <w:ind w:left="160" w:firstLine="288"/>
        <w:spacing w:after="0" w:line="305" w:lineRule="auto"/>
        <w:rPr>
          <w:sz w:val="20"/>
          <w:szCs w:val="20"/>
          <w:color w:val="auto"/>
        </w:rPr>
      </w:pPr>
      <w:r>
        <w:rPr>
          <w:rFonts w:ascii="Arial" w:cs="Arial" w:eastAsia="Arial" w:hAnsi="Arial"/>
          <w:sz w:val="15"/>
          <w:szCs w:val="15"/>
          <w:color w:val="auto"/>
        </w:rPr>
        <w:t>On December 22, 2020, we entered into the Credit Facility which provides for a term loan of $40.0 million and a $25.0 million senior revolving credit facility. Obligations under the Credit Agreement are secured by substantially all of our assets and are guaranteed by certain of our direct, domestic wholly-owned subsidiaries. The Credit Facility matures on December 22, 2025. See Note 9 to the Consolidated Financial Statements for a detailed discussion regarding our Credit Agreement.</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As of September 30, 2021, the interest rate on our borrowings was 3.0%, and our available borrowing capacity under the revolving line of credit was $17.1 million.</w:t>
      </w:r>
    </w:p>
    <w:p>
      <w:pPr>
        <w:spacing w:after="0" w:line="3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We are compliant with all covenants under the Credit Agreement as of September 30, 2021.</w:t>
      </w:r>
    </w:p>
    <w:p>
      <w:pPr>
        <w:spacing w:after="0" w:line="217" w:lineRule="exact"/>
        <w:rPr>
          <w:sz w:val="20"/>
          <w:szCs w:val="20"/>
          <w:color w:val="auto"/>
        </w:rPr>
      </w:pPr>
    </w:p>
    <w:p>
      <w:pPr>
        <w:jc w:val="both"/>
        <w:ind w:left="160" w:firstLine="288"/>
        <w:spacing w:after="0" w:line="324" w:lineRule="auto"/>
        <w:rPr>
          <w:sz w:val="20"/>
          <w:szCs w:val="20"/>
          <w:color w:val="auto"/>
        </w:rPr>
      </w:pPr>
      <w:r>
        <w:rPr>
          <w:rFonts w:ascii="Arial" w:cs="Arial" w:eastAsia="Arial" w:hAnsi="Arial"/>
          <w:sz w:val="14"/>
          <w:szCs w:val="14"/>
          <w:color w:val="auto"/>
        </w:rPr>
        <w:t>Based on our current operating plans, we expect that our available cash, cash generated from current operations and debt capacity will be sufficient to finance current operations, any costs associated with restructuring activities and capital expenditures for at least the next 12 months. This assessment includes consideration of our best estimates of the impact of the COVID-19 pandemic on our financial results described above. Our forecast of the period of time through which our financial resources will be adequate to support our operations is a forward-looking statement that involves risks and uncertainties, and actual results could vary as a result of a number of factors.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55" w:lineRule="exact"/>
        <w:rPr>
          <w:sz w:val="20"/>
          <w:szCs w:val="20"/>
          <w:color w:val="auto"/>
        </w:rPr>
      </w:pPr>
    </w:p>
    <w:tbl>
      <w:tblPr>
        <w:tblLayout w:type="fixed"/>
        <w:tblInd w:w="400" w:type="dxa"/>
        <w:tblCellMar>
          <w:top w:w="0" w:type="dxa"/>
          <w:left w:w="0" w:type="dxa"/>
          <w:bottom w:w="0" w:type="dxa"/>
          <w:right w:w="0" w:type="dxa"/>
        </w:tblCellMar>
      </w:tblPr>
      <w:tr>
        <w:trPr>
          <w:trHeight w:val="210"/>
        </w:trPr>
        <w:tc>
          <w:tcPr>
            <w:tcW w:w="4960" w:type="dxa"/>
            <w:vAlign w:val="bottom"/>
          </w:tcPr>
          <w:p>
            <w:pPr>
              <w:spacing w:after="0"/>
              <w:rPr>
                <w:sz w:val="20"/>
                <w:szCs w:val="20"/>
                <w:color w:val="auto"/>
              </w:rPr>
            </w:pPr>
            <w:r>
              <w:rPr>
                <w:rFonts w:ascii="Arial" w:cs="Arial" w:eastAsia="Arial" w:hAnsi="Arial"/>
                <w:sz w:val="16"/>
                <w:szCs w:val="16"/>
                <w:b w:val="1"/>
                <w:bCs w:val="1"/>
                <w:color w:val="auto"/>
              </w:rPr>
              <w:t>CONDENSED CONSOLIDATED CASH FLOW STATEMENTS</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405"/>
        </w:trPr>
        <w:tc>
          <w:tcPr>
            <w:tcW w:w="49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w w:val="93"/>
              </w:rPr>
              <w:t>Nine Months Ended September 30,</w:t>
            </w:r>
          </w:p>
        </w:tc>
      </w:tr>
      <w:tr>
        <w:trPr>
          <w:trHeight w:val="202"/>
        </w:trPr>
        <w:tc>
          <w:tcPr>
            <w:tcW w:w="4960" w:type="dxa"/>
            <w:vAlign w:val="bottom"/>
          </w:tcPr>
          <w:p>
            <w:pPr>
              <w:spacing w:after="0"/>
              <w:rPr>
                <w:sz w:val="20"/>
                <w:szCs w:val="20"/>
                <w:color w:val="auto"/>
              </w:rPr>
            </w:pPr>
            <w:r>
              <w:rPr>
                <w:rFonts w:ascii="Arial" w:cs="Arial" w:eastAsia="Arial" w:hAnsi="Arial"/>
                <w:sz w:val="16"/>
                <w:szCs w:val="16"/>
                <w:color w:val="auto"/>
              </w:rPr>
              <w:t>(in thousands)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r>
      <w:tr>
        <w:trPr>
          <w:trHeight w:val="196"/>
        </w:trPr>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Cash provided by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1,145</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6,841</w:t>
            </w:r>
          </w:p>
        </w:tc>
      </w:tr>
      <w:tr>
        <w:trPr>
          <w:trHeight w:val="203"/>
        </w:trPr>
        <w:tc>
          <w:tcPr>
            <w:tcW w:w="4960" w:type="dxa"/>
            <w:vAlign w:val="bottom"/>
          </w:tcPr>
          <w:p>
            <w:pPr>
              <w:spacing w:after="0"/>
              <w:rPr>
                <w:sz w:val="20"/>
                <w:szCs w:val="20"/>
                <w:color w:val="auto"/>
              </w:rPr>
            </w:pPr>
            <w:r>
              <w:rPr>
                <w:rFonts w:ascii="Arial" w:cs="Arial" w:eastAsia="Arial" w:hAnsi="Arial"/>
                <w:sz w:val="16"/>
                <w:szCs w:val="16"/>
                <w:color w:val="auto"/>
              </w:rPr>
              <w:t>Cash used in investing activities</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(987)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(1,088)</w:t>
            </w:r>
          </w:p>
        </w:tc>
      </w:tr>
      <w:tr>
        <w:trPr>
          <w:trHeight w:val="203"/>
        </w:trPr>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Cash used in financing activities</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(2,846)</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(11,324)</w:t>
            </w:r>
          </w:p>
        </w:tc>
      </w:tr>
      <w:tr>
        <w:trPr>
          <w:trHeight w:val="203"/>
        </w:trPr>
        <w:tc>
          <w:tcPr>
            <w:tcW w:w="4960" w:type="dxa"/>
            <w:vAlign w:val="bottom"/>
          </w:tcPr>
          <w:p>
            <w:pPr>
              <w:spacing w:after="0"/>
              <w:rPr>
                <w:sz w:val="20"/>
                <w:szCs w:val="20"/>
                <w:color w:val="auto"/>
              </w:rPr>
            </w:pPr>
            <w:r>
              <w:rPr>
                <w:rFonts w:ascii="Arial" w:cs="Arial" w:eastAsia="Arial" w:hAnsi="Arial"/>
                <w:sz w:val="16"/>
                <w:szCs w:val="16"/>
                <w:color w:val="auto"/>
              </w:rPr>
              <w:t>Effect of exchange rate changes on cash</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Decrease in 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(2,769)</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(5,529)</w:t>
            </w:r>
          </w:p>
        </w:tc>
      </w:tr>
      <w:tr>
        <w:trPr>
          <w:trHeight w:val="20"/>
        </w:trPr>
        <w:tc>
          <w:tcPr>
            <w:tcW w:w="49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r>
    </w:tbl>
    <w:p>
      <w:pPr>
        <w:spacing w:after="0" w:line="193" w:lineRule="exact"/>
        <w:rPr>
          <w:sz w:val="20"/>
          <w:szCs w:val="20"/>
          <w:color w:val="auto"/>
        </w:rPr>
      </w:pPr>
    </w:p>
    <w:p>
      <w:pPr>
        <w:jc w:val="both"/>
        <w:ind w:left="160" w:firstLine="288"/>
        <w:spacing w:after="0" w:line="269" w:lineRule="auto"/>
        <w:rPr>
          <w:sz w:val="20"/>
          <w:szCs w:val="20"/>
          <w:color w:val="auto"/>
        </w:rPr>
      </w:pPr>
      <w:r>
        <w:rPr>
          <w:rFonts w:ascii="Arial" w:cs="Arial" w:eastAsia="Arial" w:hAnsi="Arial"/>
          <w:sz w:val="16"/>
          <w:szCs w:val="16"/>
          <w:color w:val="auto"/>
        </w:rPr>
        <w:t>Cash provided by operations was $1.1 million and $6.8 million for the nine months ended September 30, 2021 and 2020, respectively. Cash flow from operations for the nine months ended September 30, 2021, was lower than the prior year period due to higher levels of working capital due to higher inventory levels. Order backlog has increased over 2021 due to longer supplier lead times associated with the global supply chain disruptions noted as well as an overall increase in customer demand and orders. Accordingly, inventory purchasing has increased to ensure continuity of supply for order fulfillment. Cash flow from operations for the nine months ended September 30, 2020, was positively impacted by reductions in working capital due to lower revenue and management efforts to offset the initial significant negative impacts that the COVID-19 pandemic had on revenue.</w:t>
      </w:r>
    </w:p>
    <w:p>
      <w:pPr>
        <w:spacing w:after="0" w:line="180" w:lineRule="exact"/>
        <w:rPr>
          <w:sz w:val="20"/>
          <w:szCs w:val="20"/>
          <w:color w:val="auto"/>
        </w:rPr>
      </w:pPr>
    </w:p>
    <w:p>
      <w:pPr>
        <w:jc w:val="both"/>
        <w:ind w:left="160" w:firstLine="288"/>
        <w:spacing w:after="0" w:line="328" w:lineRule="auto"/>
        <w:rPr>
          <w:sz w:val="20"/>
          <w:szCs w:val="20"/>
          <w:color w:val="auto"/>
        </w:rPr>
      </w:pPr>
      <w:r>
        <w:rPr>
          <w:rFonts w:ascii="Arial" w:cs="Arial" w:eastAsia="Arial" w:hAnsi="Arial"/>
          <w:sz w:val="15"/>
          <w:szCs w:val="15"/>
          <w:color w:val="auto"/>
        </w:rPr>
        <w:t>Cash used in investing activities was $1.0 million and $1.1 million for the nine months ended September 30, 2021 and 2020, respectively, primarily consisting of capital expenditures. Capital expenditures in 2021 include investments in manufacturing and information technology infrastructure to support revenue growth</w:t>
      </w:r>
    </w:p>
    <w:p>
      <w:pPr>
        <w:spacing w:after="0" w:line="136" w:lineRule="exact"/>
        <w:rPr>
          <w:sz w:val="20"/>
          <w:szCs w:val="20"/>
          <w:color w:val="auto"/>
        </w:rPr>
      </w:pPr>
    </w:p>
    <w:p>
      <w:pPr>
        <w:jc w:val="both"/>
        <w:ind w:left="160" w:firstLine="288"/>
        <w:spacing w:after="0" w:line="293" w:lineRule="auto"/>
        <w:rPr>
          <w:sz w:val="20"/>
          <w:szCs w:val="20"/>
          <w:color w:val="auto"/>
        </w:rPr>
      </w:pPr>
      <w:r>
        <w:rPr>
          <w:rFonts w:ascii="Arial" w:cs="Arial" w:eastAsia="Arial" w:hAnsi="Arial"/>
          <w:sz w:val="15"/>
          <w:szCs w:val="15"/>
          <w:color w:val="auto"/>
        </w:rPr>
        <w:t>Cash used in financing activities was $2.8 million and $11.3 million for the nine months ended September 30, 2021 and 2020, respectively. During the nine months ended September 30, 2021, we reduced total debt outstanding under our credit facility by $3.0 million. This reduction included $1.5 million paid under term loan installments and a net reduction in revolver borrowings of $1.5 million. We also received proceeds of $2.9 million from the exercise of stock options and paid $2.7 million for taxes related to net share settlement of equity awards. During the nine months ended September 30, 2020, we repaid $11.1 million of debt, which included a term loan installment payment of $2.4 million, and an excess cash flow payment of $4.0 million and an additional payment of $4.7 million.</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Impact of Foreign Currencies</w:t>
      </w:r>
    </w:p>
    <w:p>
      <w:pPr>
        <w:spacing w:after="0" w:line="225" w:lineRule="exact"/>
        <w:rPr>
          <w:sz w:val="20"/>
          <w:szCs w:val="20"/>
          <w:color w:val="auto"/>
        </w:rPr>
      </w:pPr>
    </w:p>
    <w:p>
      <w:pPr>
        <w:jc w:val="both"/>
        <w:ind w:left="160" w:right="20" w:firstLine="288"/>
        <w:spacing w:after="0" w:line="293" w:lineRule="auto"/>
        <w:rPr>
          <w:sz w:val="20"/>
          <w:szCs w:val="20"/>
          <w:color w:val="auto"/>
        </w:rPr>
      </w:pPr>
      <w:r>
        <w:rPr>
          <w:rFonts w:ascii="Arial" w:cs="Arial" w:eastAsia="Arial" w:hAnsi="Arial"/>
          <w:sz w:val="16"/>
          <w:szCs w:val="16"/>
          <w:color w:val="auto"/>
        </w:rPr>
        <w:t>Our international operations in some instances operate in a natural hedge as we sell our products in many countries and a substantial portion of our revenues, costs and expenses are denominated in foreign currencies, especially the British pound, the euro, the Canadian dollar, and the Swedish krona.</w:t>
      </w:r>
    </w:p>
    <w:p>
      <w:pPr>
        <w:spacing w:after="0" w:line="158" w:lineRule="exact"/>
        <w:rPr>
          <w:sz w:val="20"/>
          <w:szCs w:val="20"/>
          <w:color w:val="auto"/>
        </w:rPr>
      </w:pPr>
    </w:p>
    <w:p>
      <w:pPr>
        <w:jc w:val="both"/>
        <w:ind w:left="160" w:firstLine="288"/>
        <w:spacing w:after="0" w:line="273" w:lineRule="auto"/>
        <w:rPr>
          <w:sz w:val="20"/>
          <w:szCs w:val="20"/>
          <w:color w:val="auto"/>
        </w:rPr>
      </w:pPr>
      <w:r>
        <w:rPr>
          <w:rFonts w:ascii="Arial" w:cs="Arial" w:eastAsia="Arial" w:hAnsi="Arial"/>
          <w:sz w:val="16"/>
          <w:szCs w:val="16"/>
          <w:color w:val="auto"/>
        </w:rPr>
        <w:t>During the three months ended September 30, 2021, changes in foreign currency exchange rates resulted in a favorable translation effect on our consolidated revenues of approximately $0.2 million and an unfavorable effect on expenses of approximately $0.3 million. During the nine months ended September 30, 2021, changes in foreign currency exchange rates resulted in a favorable translation effect on our consolidated revenues of approximately $1.9 million and an unfavorable effect on expenses of approximately $1.9 million.</w:t>
      </w:r>
    </w:p>
    <w:p>
      <w:pPr>
        <w:spacing w:after="0" w:line="175" w:lineRule="exact"/>
        <w:rPr>
          <w:sz w:val="20"/>
          <w:szCs w:val="20"/>
          <w:color w:val="auto"/>
        </w:rPr>
      </w:pPr>
    </w:p>
    <w:p>
      <w:pPr>
        <w:jc w:val="both"/>
        <w:ind w:left="160" w:firstLine="288"/>
        <w:spacing w:after="0" w:line="273" w:lineRule="auto"/>
        <w:rPr>
          <w:sz w:val="20"/>
          <w:szCs w:val="20"/>
          <w:color w:val="auto"/>
        </w:rPr>
      </w:pPr>
      <w:r>
        <w:rPr>
          <w:rFonts w:ascii="Arial" w:cs="Arial" w:eastAsia="Arial" w:hAnsi="Arial"/>
          <w:sz w:val="16"/>
          <w:szCs w:val="16"/>
          <w:color w:val="auto"/>
        </w:rPr>
        <w:t>The loss associated with the translation of foreign equity into U.S. dollars included as a component of comprehensive income (loss) during the three months ended September 30, 2021 was $1.1 million, compared to a gain of $1.6 million for the three months ended September 30, 2020. The loss associated with the translation of foreign equity into U.S. dollars included as a component of comprehensive income (loss) during the nine months ended September 30, 2021 was $1.9 million, compared to a gain of $0.7 million for the nine months ended September 30, 2020.</w:t>
      </w:r>
    </w:p>
    <w:p>
      <w:pPr>
        <w:spacing w:after="0" w:line="175" w:lineRule="exact"/>
        <w:rPr>
          <w:sz w:val="20"/>
          <w:szCs w:val="20"/>
          <w:color w:val="auto"/>
        </w:rPr>
      </w:pPr>
    </w:p>
    <w:p>
      <w:pPr>
        <w:jc w:val="both"/>
        <w:ind w:left="160" w:firstLine="288"/>
        <w:spacing w:after="0" w:line="278" w:lineRule="auto"/>
        <w:rPr>
          <w:sz w:val="20"/>
          <w:szCs w:val="20"/>
          <w:color w:val="auto"/>
        </w:rPr>
      </w:pPr>
      <w:r>
        <w:rPr>
          <w:rFonts w:ascii="Arial" w:cs="Arial" w:eastAsia="Arial" w:hAnsi="Arial"/>
          <w:sz w:val="16"/>
          <w:szCs w:val="16"/>
          <w:color w:val="auto"/>
        </w:rPr>
        <w:t>In addition, currency exchange rate fluctuations included as a component of net income resulted in currency gains (losses) of less than $0.1 million and $(0.3) million during each of the three months ended September 30, 2021 and 2020, and currency gains (losses) of $(0.1) million and $(0.2) million during each of the nine months ended September 30, 2021 and 2020, respectively.</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Critical Accounting Policies</w:t>
      </w:r>
    </w:p>
    <w:p>
      <w:pPr>
        <w:spacing w:after="0" w:line="225" w:lineRule="exact"/>
        <w:rPr>
          <w:sz w:val="20"/>
          <w:szCs w:val="20"/>
          <w:color w:val="auto"/>
        </w:rPr>
      </w:pPr>
    </w:p>
    <w:p>
      <w:pPr>
        <w:jc w:val="both"/>
        <w:ind w:left="160" w:firstLine="288"/>
        <w:spacing w:after="0" w:line="293" w:lineRule="auto"/>
        <w:rPr>
          <w:sz w:val="20"/>
          <w:szCs w:val="20"/>
          <w:color w:val="auto"/>
        </w:rPr>
      </w:pPr>
      <w:r>
        <w:rPr>
          <w:rFonts w:ascii="Arial" w:cs="Arial" w:eastAsia="Arial" w:hAnsi="Arial"/>
          <w:sz w:val="16"/>
          <w:szCs w:val="16"/>
          <w:color w:val="auto"/>
        </w:rPr>
        <w:t>The critical accounting policies underlying the accompanying unaudited consolidated financial statements are those set forth in Part II, Item 7 included in our Annual Report on Form 10-K for the fiscal year ended December 31, 2020.</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225" w:lineRule="exact"/>
        <w:rPr>
          <w:sz w:val="20"/>
          <w:szCs w:val="20"/>
          <w:color w:val="auto"/>
        </w:rPr>
      </w:pPr>
    </w:p>
    <w:p>
      <w:pPr>
        <w:jc w:val="both"/>
        <w:ind w:left="160" w:firstLine="288"/>
        <w:spacing w:after="0" w:line="293" w:lineRule="auto"/>
        <w:rPr>
          <w:sz w:val="20"/>
          <w:szCs w:val="20"/>
          <w:color w:val="auto"/>
        </w:rPr>
      </w:pPr>
      <w:r>
        <w:rPr>
          <w:rFonts w:ascii="Arial" w:cs="Arial" w:eastAsia="Arial" w:hAnsi="Arial"/>
          <w:sz w:val="16"/>
          <w:szCs w:val="16"/>
          <w:color w:val="auto"/>
        </w:rPr>
        <w:t>For information on recent accounting pronouncements impacting our business, see “Recently Issued Accounting Pronouncements” included in Note 2 to our Consolidated Financial Statements included in “Part I, Item 1. Financial Statement” of this report.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55" w:lineRule="exact"/>
        <w:rPr>
          <w:sz w:val="20"/>
          <w:szCs w:val="20"/>
          <w:color w:val="auto"/>
        </w:rPr>
      </w:pPr>
    </w:p>
    <w:p>
      <w:pPr>
        <w:spacing w:after="0"/>
        <w:tabs>
          <w:tab w:leader="none" w:pos="76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4"/>
          <w:szCs w:val="14"/>
          <w:b w:val="1"/>
          <w:bCs w:val="1"/>
          <w:color w:val="auto"/>
        </w:rPr>
        <w:t>Quantitative and Qualitative Disclosures about Market Risk.</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Not applicable.</w:t>
      </w:r>
    </w:p>
    <w:p>
      <w:pPr>
        <w:spacing w:after="0" w:line="217" w:lineRule="exact"/>
        <w:rPr>
          <w:sz w:val="20"/>
          <w:szCs w:val="20"/>
          <w:color w:val="auto"/>
        </w:rPr>
      </w:pPr>
    </w:p>
    <w:p>
      <w:pPr>
        <w:spacing w:after="0"/>
        <w:tabs>
          <w:tab w:leader="none" w:pos="76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4"/>
          <w:szCs w:val="14"/>
          <w:b w:val="1"/>
          <w:bCs w:val="1"/>
          <w:color w:val="auto"/>
        </w:rPr>
        <w:t>Controls and Procedures.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Evaluation of Disclosure Controls and Procedures</w:t>
      </w:r>
    </w:p>
    <w:p>
      <w:pPr>
        <w:spacing w:after="0" w:line="221" w:lineRule="exact"/>
        <w:rPr>
          <w:sz w:val="20"/>
          <w:szCs w:val="20"/>
          <w:color w:val="auto"/>
        </w:rPr>
      </w:pPr>
    </w:p>
    <w:p>
      <w:pPr>
        <w:jc w:val="both"/>
        <w:ind w:left="160" w:firstLine="288"/>
        <w:spacing w:after="0" w:line="291" w:lineRule="auto"/>
        <w:rPr>
          <w:sz w:val="20"/>
          <w:szCs w:val="20"/>
          <w:color w:val="auto"/>
        </w:rPr>
      </w:pPr>
      <w:r>
        <w:rPr>
          <w:rFonts w:ascii="Arial" w:cs="Arial" w:eastAsia="Arial" w:hAnsi="Arial"/>
          <w:sz w:val="15"/>
          <w:szCs w:val="15"/>
          <w:color w:val="auto"/>
        </w:rPr>
        <w:t>As of September 30, 2021, the end of the period covered by this report, our management, including our Chief Executive Officer and our Chief Financial Officer, reviewed and evaluated the effectiveness of our disclosure controls and procedures (as defined in Rule 13a-15(e) or 15d-15(e) of the Exchange Act). Based upon management's review and evaluation, our Chief Executive Officer and Chief Financial Officer have concluded that, as of the end of the period covered by this Quarterly Report on Form 10-Q, our disclosure controls and procedures were effective to provide reasonable assurance that information required to be disclosed in our Exchange Act reports is recorded, processed, summarized and reported within the time periods specified by the SEC and is accumulated and communicated to management, including the Chief Executive Officer and Chief Financial Officer, as appropriate, to allow timely decisions regarding required disclosure.</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Changes in Internal Control over Financial Reporting</w:t>
      </w:r>
    </w:p>
    <w:p>
      <w:pPr>
        <w:spacing w:after="0" w:line="221" w:lineRule="exact"/>
        <w:rPr>
          <w:sz w:val="20"/>
          <w:szCs w:val="20"/>
          <w:color w:val="auto"/>
        </w:rPr>
      </w:pPr>
    </w:p>
    <w:p>
      <w:pPr>
        <w:jc w:val="both"/>
        <w:ind w:left="160" w:firstLine="288"/>
        <w:spacing w:after="0" w:line="305" w:lineRule="auto"/>
        <w:rPr>
          <w:sz w:val="20"/>
          <w:szCs w:val="20"/>
          <w:color w:val="auto"/>
        </w:rPr>
      </w:pPr>
      <w:r>
        <w:rPr>
          <w:rFonts w:ascii="Arial" w:cs="Arial" w:eastAsia="Arial" w:hAnsi="Arial"/>
          <w:sz w:val="15"/>
          <w:szCs w:val="15"/>
          <w:color w:val="auto"/>
        </w:rPr>
        <w:t>There were no changes in our internal control over financial reporting during the third quarter of fiscal 2021 that have materially affected, or are reasonably likely to materially affect, our internal control over financial reporting. We continue to monitor the impact of the COVID-19 pandemic and, despite many of our employees working remotely, have not experienced any changes that materially affected, or are reasonably likely to materially affect, our internal control over financial reporting.</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Limitations on Effectiveness of Controls and Procedures</w:t>
      </w:r>
    </w:p>
    <w:p>
      <w:pPr>
        <w:spacing w:after="0" w:line="221" w:lineRule="exact"/>
        <w:rPr>
          <w:sz w:val="20"/>
          <w:szCs w:val="20"/>
          <w:color w:val="auto"/>
        </w:rPr>
      </w:pPr>
    </w:p>
    <w:p>
      <w:pPr>
        <w:jc w:val="both"/>
        <w:ind w:left="160" w:firstLine="288"/>
        <w:spacing w:after="0" w:line="273" w:lineRule="auto"/>
        <w:rPr>
          <w:sz w:val="20"/>
          <w:szCs w:val="20"/>
          <w:color w:val="auto"/>
        </w:rPr>
      </w:pPr>
      <w:r>
        <w:rPr>
          <w:rFonts w:ascii="Arial" w:cs="Arial" w:eastAsia="Arial" w:hAnsi="Arial"/>
          <w:sz w:val="16"/>
          <w:szCs w:val="16"/>
          <w:color w:val="auto"/>
        </w:rPr>
        <w:t>In designing and evaluating our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 Because of the inherent limitations in all control systems, no evaluation of controls can provide absolute assurance that all control issues and instances of fraud within the Company have been detected.</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 OTHER INFORMATION</w:t>
      </w:r>
    </w:p>
    <w:p>
      <w:pPr>
        <w:spacing w:after="0" w:line="26" w:lineRule="exact"/>
        <w:rPr>
          <w:sz w:val="20"/>
          <w:szCs w:val="20"/>
          <w:color w:val="auto"/>
        </w:rPr>
      </w:pPr>
    </w:p>
    <w:p>
      <w:pPr>
        <w:spacing w:after="0"/>
        <w:tabs>
          <w:tab w:leader="none" w:pos="76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4"/>
          <w:szCs w:val="14"/>
          <w:b w:val="1"/>
          <w:bCs w:val="1"/>
          <w:color w:val="auto"/>
        </w:rPr>
        <w:t>Legal Proceedings.</w:t>
      </w:r>
    </w:p>
    <w:p>
      <w:pPr>
        <w:spacing w:after="0" w:line="217" w:lineRule="exact"/>
        <w:rPr>
          <w:sz w:val="20"/>
          <w:szCs w:val="20"/>
          <w:color w:val="auto"/>
        </w:rPr>
      </w:pPr>
    </w:p>
    <w:p>
      <w:pPr>
        <w:jc w:val="both"/>
        <w:ind w:left="160" w:firstLine="288"/>
        <w:spacing w:after="0" w:line="293" w:lineRule="auto"/>
        <w:rPr>
          <w:sz w:val="20"/>
          <w:szCs w:val="20"/>
          <w:color w:val="auto"/>
        </w:rPr>
      </w:pPr>
      <w:r>
        <w:rPr>
          <w:rFonts w:ascii="Arial" w:cs="Arial" w:eastAsia="Arial" w:hAnsi="Arial"/>
          <w:sz w:val="16"/>
          <w:szCs w:val="16"/>
          <w:color w:val="auto"/>
        </w:rPr>
        <w:t>The information included in Note 13 to the Condensed Consolidated Financial Statements (Unaudited) included in Part I, Item 1 of this quarterly report is incorporated herein by reference.</w:t>
      </w:r>
    </w:p>
    <w:p>
      <w:pPr>
        <w:spacing w:after="0" w:line="154" w:lineRule="exact"/>
        <w:rPr>
          <w:sz w:val="20"/>
          <w:szCs w:val="20"/>
          <w:color w:val="auto"/>
        </w:rPr>
      </w:pPr>
    </w:p>
    <w:p>
      <w:pPr>
        <w:spacing w:after="0"/>
        <w:tabs>
          <w:tab w:leader="none" w:pos="760" w:val="left"/>
        </w:tabs>
        <w:rPr>
          <w:sz w:val="20"/>
          <w:szCs w:val="20"/>
          <w:color w:val="auto"/>
        </w:rPr>
      </w:pPr>
      <w:r>
        <w:rPr>
          <w:rFonts w:ascii="Arial" w:cs="Arial" w:eastAsia="Arial" w:hAnsi="Arial"/>
          <w:sz w:val="16"/>
          <w:szCs w:val="16"/>
          <w:b w:val="1"/>
          <w:bCs w:val="1"/>
          <w:color w:val="auto"/>
        </w:rPr>
        <w:t>Item 1A.</w:t>
      </w:r>
      <w:r>
        <w:rPr>
          <w:sz w:val="20"/>
          <w:szCs w:val="20"/>
          <w:color w:val="auto"/>
        </w:rPr>
        <w:tab/>
      </w:r>
      <w:r>
        <w:rPr>
          <w:rFonts w:ascii="Arial" w:cs="Arial" w:eastAsia="Arial" w:hAnsi="Arial"/>
          <w:sz w:val="14"/>
          <w:szCs w:val="14"/>
          <w:b w:val="1"/>
          <w:bCs w:val="1"/>
          <w:color w:val="auto"/>
        </w:rPr>
        <w:t>Risk Factors.</w:t>
      </w:r>
    </w:p>
    <w:p>
      <w:pPr>
        <w:spacing w:after="0" w:line="225" w:lineRule="exact"/>
        <w:rPr>
          <w:sz w:val="20"/>
          <w:szCs w:val="20"/>
          <w:color w:val="auto"/>
        </w:rPr>
      </w:pPr>
    </w:p>
    <w:p>
      <w:pPr>
        <w:jc w:val="both"/>
        <w:ind w:left="160" w:firstLine="288"/>
        <w:spacing w:after="0" w:line="273" w:lineRule="auto"/>
        <w:rPr>
          <w:sz w:val="20"/>
          <w:szCs w:val="20"/>
          <w:color w:val="auto"/>
        </w:rPr>
      </w:pPr>
      <w:r>
        <w:rPr>
          <w:rFonts w:ascii="Arial" w:cs="Arial" w:eastAsia="Arial" w:hAnsi="Arial"/>
          <w:sz w:val="16"/>
          <w:szCs w:val="16"/>
          <w:color w:val="auto"/>
        </w:rPr>
        <w:t>You should carefully consider the risk factors set forth below together with the risk factors discussed in Part I, “Item 1A. Risk Factors” in our Annual Report on Form 10-K for the fiscal year ended December 31, 2020, which could materially affect our business, financial position, or future results of operations. The risks described below and in our Annual Report on Form 10-K are not the only risks we face. Additional risks and uncertainties not currently known to us or that we currently deem to be immaterial may also materially adversely affect our business, financial position, or future results of operations.</w:t>
      </w:r>
    </w:p>
    <w:p>
      <w:pPr>
        <w:spacing w:after="0" w:line="175" w:lineRule="exact"/>
        <w:rPr>
          <w:sz w:val="20"/>
          <w:szCs w:val="20"/>
          <w:color w:val="auto"/>
        </w:rPr>
      </w:pPr>
    </w:p>
    <w:p>
      <w:pPr>
        <w:jc w:val="both"/>
        <w:ind w:left="160" w:firstLine="288"/>
        <w:spacing w:after="0" w:line="293" w:lineRule="auto"/>
        <w:rPr>
          <w:sz w:val="20"/>
          <w:szCs w:val="20"/>
          <w:color w:val="auto"/>
        </w:rPr>
      </w:pPr>
      <w:r>
        <w:rPr>
          <w:rFonts w:ascii="Arial" w:cs="Arial" w:eastAsia="Arial" w:hAnsi="Arial"/>
          <w:sz w:val="16"/>
          <w:szCs w:val="16"/>
          <w:b w:val="1"/>
          <w:bCs w:val="1"/>
          <w:i w:val="1"/>
          <w:iCs w:val="1"/>
          <w:color w:val="auto"/>
        </w:rPr>
        <w:t>As a result of our spin-off of Harvard Apparatus Regenerative Technology, Inc., now known as Biostage, together with certain related transactions, third parties may seek to hold us responsible for Biostage</w:t>
      </w:r>
      <w:r>
        <w:rPr>
          <w:rFonts w:ascii="Arial" w:cs="Arial" w:eastAsia="Arial" w:hAnsi="Arial"/>
          <w:sz w:val="16"/>
          <w:szCs w:val="16"/>
          <w:color w:val="auto"/>
        </w:rPr>
        <w:t>’</w:t>
      </w:r>
      <w:r>
        <w:rPr>
          <w:rFonts w:ascii="Arial" w:cs="Arial" w:eastAsia="Arial" w:hAnsi="Arial"/>
          <w:sz w:val="16"/>
          <w:szCs w:val="16"/>
          <w:b w:val="1"/>
          <w:bCs w:val="1"/>
          <w:i w:val="1"/>
          <w:iCs w:val="1"/>
          <w:color w:val="auto"/>
        </w:rPr>
        <w:t>s liabilities, including liabilities that Biostage has assumed from us.</w:t>
      </w:r>
    </w:p>
    <w:p>
      <w:pPr>
        <w:spacing w:after="0" w:line="158" w:lineRule="exact"/>
        <w:rPr>
          <w:sz w:val="20"/>
          <w:szCs w:val="20"/>
          <w:color w:val="auto"/>
        </w:rPr>
      </w:pPr>
    </w:p>
    <w:p>
      <w:pPr>
        <w:jc w:val="both"/>
        <w:ind w:left="160" w:firstLine="288"/>
        <w:spacing w:after="0" w:line="269" w:lineRule="auto"/>
        <w:rPr>
          <w:sz w:val="20"/>
          <w:szCs w:val="20"/>
          <w:color w:val="auto"/>
        </w:rPr>
      </w:pPr>
      <w:r>
        <w:rPr>
          <w:rFonts w:ascii="Arial" w:cs="Arial" w:eastAsia="Arial" w:hAnsi="Arial"/>
          <w:sz w:val="16"/>
          <w:szCs w:val="16"/>
          <w:color w:val="auto"/>
        </w:rPr>
        <w:t>Third parties may continue to seek to hold us responsible for Biostage’s liabilities, including any of the liabilities that Biostage agreed to retain or assume in connection with the separation of the Biostage business from our businesses, and related spin-off distribution. On April 14, 2017, representatives for the estate of an individual plaintiff filed a wrongful death complaint with the Suffolk Superior Court, in the County of Suffolk, Massachusetts, against us and other defendants, including Biostage, as well as another third party. The complaint seeks payment for an unspecified amount of damages and alleges that the plaintiff sustained terminal injuries allegedly caused by products, including one synthetic trachea scaffold and two bioreactors, provided by certain of the named defendants and utilized in connection with surgeries performed by third parties in Europe in 2012 and 2013.</w:t>
      </w:r>
    </w:p>
    <w:p>
      <w:pPr>
        <w:spacing w:after="0" w:line="180" w:lineRule="exact"/>
        <w:rPr>
          <w:sz w:val="20"/>
          <w:szCs w:val="20"/>
          <w:color w:val="auto"/>
        </w:rPr>
      </w:pPr>
    </w:p>
    <w:p>
      <w:pPr>
        <w:jc w:val="both"/>
        <w:ind w:left="160" w:firstLine="288"/>
        <w:spacing w:after="0" w:line="315" w:lineRule="auto"/>
        <w:rPr>
          <w:sz w:val="20"/>
          <w:szCs w:val="20"/>
          <w:color w:val="auto"/>
        </w:rPr>
      </w:pPr>
      <w:r>
        <w:rPr>
          <w:rFonts w:ascii="Arial" w:cs="Arial" w:eastAsia="Arial" w:hAnsi="Arial"/>
          <w:sz w:val="14"/>
          <w:szCs w:val="14"/>
          <w:color w:val="auto"/>
        </w:rPr>
        <w:t>On October 1, 2019, the Court entered an order granting plaintiffs’ motion to compel the defendant to produce discovery. Subsequently, the plaintiffs filed a motion for sanctions against us on January 6, 2020, claiming failure to produce. Our counsel at the time, which had been selected for the case by our liability insurance carrier, never notified us of plaintiffs’ motion and never responded to plaintiffs’ motion. As a result of the failure of our former counsel to respond, on January 29, 2020, the Court entered an order allowing plaintiffs’ sanctions against us and the other defendants, which establishes a sanction of admitted liability. In June 2021, we were informed of these 2019 and 2020 court actions by new defense counsel appointed by our liability insurance carrier. On June 9, 2021, we, together with the other defendants, filed a motion to vacate the Court’s order allowing plaintiffs’ motion for sanctions. On August 6, 2021, the Court issued a ruling in our favor, vacating the sanctions.</w:t>
      </w:r>
    </w:p>
    <w:p>
      <w:pPr>
        <w:spacing w:after="0" w:line="150" w:lineRule="exact"/>
        <w:rPr>
          <w:sz w:val="20"/>
          <w:szCs w:val="20"/>
          <w:color w:val="auto"/>
        </w:rPr>
      </w:pPr>
    </w:p>
    <w:p>
      <w:pPr>
        <w:jc w:val="both"/>
        <w:ind w:left="160" w:firstLine="288"/>
        <w:spacing w:after="0" w:line="267" w:lineRule="auto"/>
        <w:rPr>
          <w:sz w:val="20"/>
          <w:szCs w:val="20"/>
          <w:color w:val="auto"/>
        </w:rPr>
      </w:pPr>
      <w:r>
        <w:rPr>
          <w:rFonts w:ascii="Arial" w:cs="Arial" w:eastAsia="Arial" w:hAnsi="Arial"/>
          <w:sz w:val="16"/>
          <w:szCs w:val="16"/>
          <w:color w:val="auto"/>
        </w:rPr>
        <w:t>On September 15, 2021, Biostage’s products liability insurance carrier, which insures us as an additional insured and which had appointed defense counsel and had been defending both Biostage and us on this case, notified us and Biostage that it was denying coverage under the applicable policy for the lawsuit and would no longer be providing a defense to us or Biostage with respect thereto, or covering related legal expenses incurred after September 30, 2021. The insurance carrier also filed a corresponding complaint for declaratory judgment with the Court asking the Court to declare that said insurance provider is not required to defend, indemnify or provide coverage to the us or Biostage with respect to the lawsuit. We believe that the insurance carrier’s grounds for denying coverage are without merit and intend to vigorously defend against this complaint for declaratory judgment and the insurance carrier’s denial of the claim and related matters in order to, among other things, restore our rights to seek insurance coverage for any damages awarded in the lawsuit. However, there can be no assurance that we and Biostage will prevail in the insurance coverage litigation. As such, it is unclear at this point if the liability insurance coverage will reimburse us for all or any portion of any defense costs or damages if we were to lose the underlying case on the merits.</w:t>
      </w:r>
    </w:p>
    <w:p>
      <w:pPr>
        <w:spacing w:after="0" w:line="183" w:lineRule="exact"/>
        <w:rPr>
          <w:sz w:val="20"/>
          <w:szCs w:val="20"/>
          <w:color w:val="auto"/>
        </w:rPr>
      </w:pPr>
    </w:p>
    <w:p>
      <w:pPr>
        <w:jc w:val="both"/>
        <w:ind w:left="160" w:firstLine="288"/>
        <w:spacing w:after="0" w:line="267" w:lineRule="auto"/>
        <w:rPr>
          <w:sz w:val="20"/>
          <w:szCs w:val="20"/>
          <w:color w:val="auto"/>
        </w:rPr>
      </w:pPr>
      <w:r>
        <w:rPr>
          <w:rFonts w:ascii="Arial" w:cs="Arial" w:eastAsia="Arial" w:hAnsi="Arial"/>
          <w:sz w:val="16"/>
          <w:szCs w:val="16"/>
          <w:color w:val="auto"/>
        </w:rPr>
        <w:t>While there can be no assurance of prevailing, we intend to defend the plaintiff’s claims against us vigorously. We have retained new defense counsel for the lawsuit and a trial date has been set for October 2022. If we lose on the merits and a jury awards damages, we do not know the exact amount of compensatory and, potentially, punitive damages that could be awarded, but the amounts could be substantial. We are also evaluating possible malpractice claims as one source of recovery but have not asserted such a claim and cannot provide assurance that such a claim would provide a recovery. Further, while Biostage has agreed to indemnify us for claims and losses relating to certain liabilities that it has assumed from us, including liabilities in connection with the sale of Biostage’s products and other liabilities related to the operation of Biostage’s business, we cannot be assured that Biostage will have the ability to indemnify us against the liabilities we may incur in this lawsuit, in particular due to Biostage’s overall financial condition. If Biostage is unable to satisfy its obligations under its indemnity to us and if the insurance carrier does not fund the defense of the case, we may have to fund the entire defense of the case and satisfy the liabilities in this lawsuit, which could have an adverse impact on our financial condition or cash flows.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76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4"/>
          <w:szCs w:val="14"/>
          <w:b w:val="1"/>
          <w:bCs w:val="1"/>
          <w:color w:val="auto"/>
        </w:rPr>
        <w:t>Unregistered Sales of Equity Securities and Use of Proceeds.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There were no unregistered sales of equity securities during the period covered by this report.</w:t>
      </w:r>
    </w:p>
    <w:p>
      <w:pPr>
        <w:spacing w:after="0" w:line="217" w:lineRule="exact"/>
        <w:rPr>
          <w:sz w:val="20"/>
          <w:szCs w:val="20"/>
          <w:color w:val="auto"/>
        </w:rPr>
      </w:pPr>
    </w:p>
    <w:p>
      <w:pPr>
        <w:spacing w:after="0"/>
        <w:tabs>
          <w:tab w:leader="none" w:pos="76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4"/>
          <w:szCs w:val="14"/>
          <w:b w:val="1"/>
          <w:bCs w:val="1"/>
          <w:color w:val="auto"/>
        </w:rPr>
        <w:t>Defaults Upon Senior Securities.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None.</w:t>
      </w:r>
    </w:p>
    <w:p>
      <w:pPr>
        <w:spacing w:after="0" w:line="217" w:lineRule="exact"/>
        <w:rPr>
          <w:sz w:val="20"/>
          <w:szCs w:val="20"/>
          <w:color w:val="auto"/>
        </w:rPr>
      </w:pPr>
    </w:p>
    <w:p>
      <w:pPr>
        <w:spacing w:after="0"/>
        <w:tabs>
          <w:tab w:leader="none" w:pos="76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4"/>
          <w:szCs w:val="14"/>
          <w:b w:val="1"/>
          <w:bCs w:val="1"/>
          <w:color w:val="auto"/>
        </w:rPr>
        <w:t>Mine Safety Disclosures</w:t>
      </w:r>
      <w:r>
        <w:rPr>
          <w:rFonts w:ascii="Arial" w:cs="Arial" w:eastAsia="Arial" w:hAnsi="Arial"/>
          <w:sz w:val="14"/>
          <w:szCs w:val="14"/>
          <w:b w:val="1"/>
          <w:bCs w:val="1"/>
          <w:i w:val="1"/>
          <w:iCs w:val="1"/>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Not applicable.</w:t>
      </w:r>
    </w:p>
    <w:p>
      <w:pPr>
        <w:spacing w:after="0" w:line="217" w:lineRule="exact"/>
        <w:rPr>
          <w:sz w:val="20"/>
          <w:szCs w:val="20"/>
          <w:color w:val="auto"/>
        </w:rPr>
      </w:pPr>
    </w:p>
    <w:p>
      <w:pPr>
        <w:spacing w:after="0"/>
        <w:tabs>
          <w:tab w:leader="none" w:pos="800" w:val="left"/>
        </w:tabs>
        <w:rPr>
          <w:sz w:val="20"/>
          <w:szCs w:val="20"/>
          <w:color w:val="auto"/>
        </w:rPr>
      </w:pPr>
      <w:r>
        <w:rPr>
          <w:rFonts w:ascii="Arial" w:cs="Arial" w:eastAsia="Arial" w:hAnsi="Arial"/>
          <w:sz w:val="16"/>
          <w:szCs w:val="16"/>
          <w:b w:val="1"/>
          <w:bCs w:val="1"/>
          <w:color w:val="auto"/>
        </w:rPr>
        <w:t>Item 5.</w:t>
      </w:r>
      <w:r>
        <w:rPr>
          <w:sz w:val="20"/>
          <w:szCs w:val="20"/>
          <w:color w:val="auto"/>
        </w:rPr>
        <w:tab/>
      </w:r>
      <w:r>
        <w:rPr>
          <w:rFonts w:ascii="Arial" w:cs="Arial" w:eastAsia="Arial" w:hAnsi="Arial"/>
          <w:sz w:val="15"/>
          <w:szCs w:val="15"/>
          <w:b w:val="1"/>
          <w:bCs w:val="1"/>
          <w:color w:val="auto"/>
        </w:rPr>
        <w:t>Other Information.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None.</w:t>
      </w:r>
    </w:p>
    <w:p>
      <w:pPr>
        <w:spacing w:after="0" w:line="217" w:lineRule="exact"/>
        <w:rPr>
          <w:sz w:val="20"/>
          <w:szCs w:val="20"/>
          <w:color w:val="auto"/>
        </w:rPr>
      </w:pPr>
    </w:p>
    <w:p>
      <w:pPr>
        <w:spacing w:after="0"/>
        <w:tabs>
          <w:tab w:leader="none" w:pos="760" w:val="left"/>
        </w:tabs>
        <w:rPr>
          <w:sz w:val="20"/>
          <w:szCs w:val="20"/>
          <w:color w:val="auto"/>
        </w:rPr>
      </w:pPr>
      <w:r>
        <w:rPr>
          <w:rFonts w:ascii="Arial" w:cs="Arial" w:eastAsia="Arial" w:hAnsi="Arial"/>
          <w:sz w:val="16"/>
          <w:szCs w:val="16"/>
          <w:b w:val="1"/>
          <w:bCs w:val="1"/>
          <w:color w:val="auto"/>
        </w:rPr>
        <w:t>Item 6.</w:t>
      </w:r>
      <w:r>
        <w:rPr>
          <w:sz w:val="20"/>
          <w:szCs w:val="20"/>
          <w:color w:val="auto"/>
        </w:rPr>
        <w:tab/>
      </w:r>
      <w:r>
        <w:rPr>
          <w:rFonts w:ascii="Arial" w:cs="Arial" w:eastAsia="Arial" w:hAnsi="Arial"/>
          <w:sz w:val="14"/>
          <w:szCs w:val="14"/>
          <w:b w:val="1"/>
          <w:bCs w:val="1"/>
          <w:color w:val="auto"/>
        </w:rPr>
        <w:t>Exhibits</w:t>
      </w:r>
    </w:p>
    <w:p>
      <w:pPr>
        <w:spacing w:after="0" w:line="225" w:lineRule="exact"/>
        <w:rPr>
          <w:sz w:val="20"/>
          <w:szCs w:val="20"/>
          <w:color w:val="auto"/>
        </w:rPr>
      </w:pPr>
    </w:p>
    <w:p>
      <w:pPr>
        <w:ind w:left="580" w:hanging="566"/>
        <w:spacing w:after="0" w:line="266" w:lineRule="auto"/>
        <w:tabs>
          <w:tab w:leader="none" w:pos="560" w:val="left"/>
        </w:tabs>
        <w:rPr>
          <w:rFonts w:ascii="Arial" w:cs="Arial" w:eastAsia="Arial" w:hAnsi="Arial"/>
          <w:sz w:val="16"/>
          <w:szCs w:val="16"/>
          <w:u w:val="single" w:color="auto"/>
          <w:color w:val="0000EE"/>
        </w:rPr>
      </w:pPr>
      <w:hyperlink w:anchor="page27">
        <w:r>
          <w:rPr>
            <w:rFonts w:ascii="Arial" w:cs="Arial" w:eastAsia="Arial" w:hAnsi="Arial"/>
            <w:sz w:val="16"/>
            <w:szCs w:val="16"/>
            <w:u w:val="single" w:color="auto"/>
            <w:color w:val="0000EE"/>
          </w:rPr>
          <w:t>31.1</w:t>
        </w:r>
      </w:hyperlink>
      <w:r>
        <w:rPr>
          <w:rFonts w:ascii="Arial" w:cs="Arial" w:eastAsia="Arial" w:hAnsi="Arial"/>
          <w:sz w:val="16"/>
          <w:szCs w:val="16"/>
          <w:u w:val="single" w:color="auto"/>
          <w:color w:val="0000EE"/>
        </w:rPr>
        <w:tab/>
      </w:r>
      <w:hyperlink w:anchor="page27">
        <w:r>
          <w:rPr>
            <w:rFonts w:ascii="Arial" w:cs="Arial" w:eastAsia="Arial" w:hAnsi="Arial"/>
            <w:sz w:val="16"/>
            <w:szCs w:val="16"/>
            <w:u w:val="single" w:color="auto"/>
            <w:color w:val="0000EE"/>
          </w:rPr>
          <w:t>Certification of Chief Financial Officer of Harvard Bioscience, Inc., pursuant to Rules 13a-14(a) and 15d-14(a), as adopted pursuant to Section 302 of the Sarbanes-</w:t>
        </w:r>
      </w:hyperlink>
      <w:hyperlink w:anchor="page27">
        <w:r>
          <w:rPr>
            <w:rFonts w:ascii="Arial" w:cs="Arial" w:eastAsia="Arial" w:hAnsi="Arial"/>
            <w:sz w:val="16"/>
            <w:szCs w:val="16"/>
            <w:u w:val="single" w:color="auto"/>
            <w:color w:val="0000EE"/>
          </w:rPr>
          <w:t>Oxley Act of 2002.</w:t>
        </w:r>
      </w:hyperlink>
    </w:p>
    <w:p>
      <w:pPr>
        <w:spacing w:after="0" w:line="1" w:lineRule="exact"/>
        <w:rPr>
          <w:rFonts w:ascii="Arial" w:cs="Arial" w:eastAsia="Arial" w:hAnsi="Arial"/>
          <w:sz w:val="16"/>
          <w:szCs w:val="16"/>
          <w:u w:val="single" w:color="auto"/>
          <w:color w:val="0000EE"/>
        </w:rPr>
      </w:pPr>
    </w:p>
    <w:p>
      <w:pPr>
        <w:ind w:left="580" w:right="880" w:hanging="566"/>
        <w:spacing w:after="0" w:line="264" w:lineRule="auto"/>
        <w:tabs>
          <w:tab w:leader="none" w:pos="560" w:val="left"/>
        </w:tabs>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31.2</w:t>
        </w:r>
      </w:hyperlink>
      <w:r>
        <w:rPr>
          <w:rFonts w:ascii="Arial" w:cs="Arial" w:eastAsia="Arial" w:hAnsi="Arial"/>
          <w:sz w:val="16"/>
          <w:szCs w:val="16"/>
          <w:u w:val="single" w:color="auto"/>
          <w:color w:val="0000EE"/>
        </w:rPr>
        <w:tab/>
      </w:r>
      <w:hyperlink w:anchor="page28">
        <w:r>
          <w:rPr>
            <w:rFonts w:ascii="Arial" w:cs="Arial" w:eastAsia="Arial" w:hAnsi="Arial"/>
            <w:sz w:val="16"/>
            <w:szCs w:val="16"/>
            <w:u w:val="single" w:color="auto"/>
            <w:color w:val="0000EE"/>
          </w:rPr>
          <w:t>Certification of Chief Executive Officer of Harvard Bioscience, Inc., pursuant to Rules 13a-14(a) and 15d-14(a), as adopted pursuant to Section 302 of</w:t>
        </w:r>
      </w:hyperlink>
      <w:r>
        <w:rPr>
          <w:rFonts w:ascii="Arial" w:cs="Arial" w:eastAsia="Arial" w:hAnsi="Arial"/>
          <w:sz w:val="16"/>
          <w:szCs w:val="16"/>
          <w:u w:val="single" w:color="auto"/>
          <w:color w:val="0000EE"/>
        </w:rPr>
        <w:t xml:space="preserve"> </w:t>
      </w:r>
      <w:hyperlink w:anchor="page28">
        <w:r>
          <w:rPr>
            <w:rFonts w:ascii="Arial" w:cs="Arial" w:eastAsia="Arial" w:hAnsi="Arial"/>
            <w:sz w:val="16"/>
            <w:szCs w:val="16"/>
            <w:u w:val="single" w:color="auto"/>
            <w:color w:val="0000EE"/>
          </w:rPr>
          <w:t>the Sarbanes-Oxley Act of 2002.</w:t>
        </w:r>
      </w:hyperlink>
    </w:p>
    <w:p>
      <w:pPr>
        <w:ind w:left="580" w:right="20" w:hanging="566"/>
        <w:spacing w:after="0" w:line="264" w:lineRule="auto"/>
        <w:tabs>
          <w:tab w:leader="none" w:pos="560" w:val="left"/>
        </w:tabs>
        <w:rPr>
          <w:rFonts w:ascii="Arial" w:cs="Arial" w:eastAsia="Arial" w:hAnsi="Arial"/>
          <w:sz w:val="16"/>
          <w:szCs w:val="16"/>
          <w:u w:val="single" w:color="auto"/>
          <w:color w:val="0000EE"/>
        </w:rPr>
      </w:pPr>
      <w:hyperlink w:anchor="page29">
        <w:r>
          <w:rPr>
            <w:rFonts w:ascii="Arial" w:cs="Arial" w:eastAsia="Arial" w:hAnsi="Arial"/>
            <w:sz w:val="16"/>
            <w:szCs w:val="16"/>
            <w:u w:val="single" w:color="auto"/>
            <w:color w:val="0000EE"/>
          </w:rPr>
          <w:t>32.1*</w:t>
        </w:r>
      </w:hyperlink>
      <w:r>
        <w:rPr>
          <w:rFonts w:ascii="Arial" w:cs="Arial" w:eastAsia="Arial" w:hAnsi="Arial"/>
          <w:sz w:val="16"/>
          <w:szCs w:val="16"/>
          <w:u w:val="single" w:color="auto"/>
          <w:color w:val="0000EE"/>
        </w:rPr>
        <w:tab/>
      </w:r>
      <w:hyperlink w:anchor="page29">
        <w:r>
          <w:rPr>
            <w:rFonts w:ascii="Arial" w:cs="Arial" w:eastAsia="Arial" w:hAnsi="Arial"/>
            <w:sz w:val="16"/>
            <w:szCs w:val="16"/>
            <w:u w:val="single" w:color="auto"/>
            <w:color w:val="0000EE"/>
          </w:rPr>
          <w:t>Certification of Chief Financial Officer of Harvard Bioscience, Inc., pursuant to 18 U.S.C. Section 1350, as adopted pursuant to Section 906 of the Sarbanes- Oxley</w:t>
        </w:r>
      </w:hyperlink>
      <w:r>
        <w:rPr>
          <w:rFonts w:ascii="Arial" w:cs="Arial" w:eastAsia="Arial" w:hAnsi="Arial"/>
          <w:sz w:val="16"/>
          <w:szCs w:val="16"/>
          <w:u w:val="single" w:color="auto"/>
          <w:color w:val="0000EE"/>
        </w:rPr>
        <w:t xml:space="preserve"> </w:t>
      </w:r>
      <w:hyperlink w:anchor="page29">
        <w:r>
          <w:rPr>
            <w:rFonts w:ascii="Arial" w:cs="Arial" w:eastAsia="Arial" w:hAnsi="Arial"/>
            <w:sz w:val="16"/>
            <w:szCs w:val="16"/>
            <w:u w:val="single" w:color="auto"/>
            <w:color w:val="0000EE"/>
          </w:rPr>
          <w:t>Act of 2002.</w:t>
        </w:r>
      </w:hyperlink>
    </w:p>
    <w:p>
      <w:pPr>
        <w:ind w:left="620" w:right="1060" w:hanging="606"/>
        <w:spacing w:after="0" w:line="288" w:lineRule="auto"/>
        <w:tabs>
          <w:tab w:leader="none" w:pos="600" w:val="left"/>
        </w:tabs>
        <w:rPr>
          <w:rFonts w:ascii="Arial" w:cs="Arial" w:eastAsia="Arial" w:hAnsi="Arial"/>
          <w:sz w:val="16"/>
          <w:szCs w:val="16"/>
          <w:u w:val="single" w:color="auto"/>
          <w:color w:val="0000EE"/>
        </w:rPr>
      </w:pPr>
      <w:hyperlink w:anchor="page30">
        <w:r>
          <w:rPr>
            <w:rFonts w:ascii="Arial" w:cs="Arial" w:eastAsia="Arial" w:hAnsi="Arial"/>
            <w:sz w:val="16"/>
            <w:szCs w:val="16"/>
            <w:u w:val="single" w:color="auto"/>
            <w:color w:val="0000EE"/>
          </w:rPr>
          <w:t>32.2*</w:t>
        </w:r>
      </w:hyperlink>
      <w:r>
        <w:rPr>
          <w:rFonts w:ascii="Arial" w:cs="Arial" w:eastAsia="Arial" w:hAnsi="Arial"/>
          <w:sz w:val="16"/>
          <w:szCs w:val="16"/>
          <w:u w:val="single" w:color="auto"/>
          <w:color w:val="0000EE"/>
        </w:rPr>
        <w:tab/>
      </w:r>
      <w:hyperlink w:anchor="page30">
        <w:r>
          <w:rPr>
            <w:rFonts w:ascii="Arial" w:cs="Arial" w:eastAsia="Arial" w:hAnsi="Arial"/>
            <w:sz w:val="16"/>
            <w:szCs w:val="16"/>
            <w:u w:val="single" w:color="auto"/>
            <w:color w:val="0000EE"/>
          </w:rPr>
          <w:t>Certification of Chief Executive Officer of Harvard Bioscience, Inc., pursuant to 18 U.S.C. Section 1350, as adopted pursuant to Section 906 of the</w:t>
        </w:r>
      </w:hyperlink>
      <w:r>
        <w:rPr>
          <w:rFonts w:ascii="Arial" w:cs="Arial" w:eastAsia="Arial" w:hAnsi="Arial"/>
          <w:sz w:val="16"/>
          <w:szCs w:val="16"/>
          <w:u w:val="single" w:color="auto"/>
          <w:color w:val="0000EE"/>
        </w:rPr>
        <w:t xml:space="preserve"> </w:t>
      </w:r>
      <w:hyperlink w:anchor="page30">
        <w:r>
          <w:rPr>
            <w:rFonts w:ascii="Arial" w:cs="Arial" w:eastAsia="Arial" w:hAnsi="Arial"/>
            <w:sz w:val="16"/>
            <w:szCs w:val="16"/>
            <w:u w:val="single" w:color="auto"/>
            <w:color w:val="0000EE"/>
          </w:rPr>
          <w:t>Sarbanes- Oxley Act of 2002.</w:t>
        </w:r>
      </w:hyperlink>
    </w:p>
    <w:p>
      <w:pPr>
        <w:spacing w:after="0" w:line="162" w:lineRule="exact"/>
        <w:rPr>
          <w:rFonts w:ascii="Arial" w:cs="Arial" w:eastAsia="Arial" w:hAnsi="Arial"/>
          <w:sz w:val="16"/>
          <w:szCs w:val="16"/>
          <w:u w:val="single" w:color="auto"/>
          <w:color w:val="0000EE"/>
        </w:rPr>
      </w:pPr>
    </w:p>
    <w:p>
      <w:pPr>
        <w:spacing w:after="0"/>
        <w:rPr>
          <w:sz w:val="20"/>
          <w:szCs w:val="20"/>
          <w:color w:val="auto"/>
        </w:rPr>
      </w:pPr>
      <w:r>
        <w:rPr>
          <w:rFonts w:ascii="Arial" w:cs="Arial" w:eastAsia="Arial" w:hAnsi="Arial"/>
          <w:sz w:val="16"/>
          <w:szCs w:val="16"/>
          <w:color w:val="auto"/>
        </w:rPr>
        <w:t>101.INS Inline XBRL Instance Document</w:t>
      </w:r>
    </w:p>
    <w:p>
      <w:pPr>
        <w:spacing w:after="0" w:line="22" w:lineRule="exact"/>
        <w:rPr>
          <w:rFonts w:ascii="Arial" w:cs="Arial" w:eastAsia="Arial" w:hAnsi="Arial"/>
          <w:sz w:val="16"/>
          <w:szCs w:val="16"/>
          <w:u w:val="single" w:color="auto"/>
          <w:color w:val="0000EE"/>
        </w:rPr>
      </w:pPr>
    </w:p>
    <w:p>
      <w:pPr>
        <w:spacing w:after="0"/>
        <w:rPr>
          <w:sz w:val="20"/>
          <w:szCs w:val="20"/>
          <w:color w:val="auto"/>
        </w:rPr>
      </w:pPr>
      <w:r>
        <w:rPr>
          <w:rFonts w:ascii="Arial" w:cs="Arial" w:eastAsia="Arial" w:hAnsi="Arial"/>
          <w:sz w:val="16"/>
          <w:szCs w:val="16"/>
          <w:color w:val="auto"/>
        </w:rPr>
        <w:t>101.SCHInline XBRL Taxonomy Extension Schema Document</w:t>
      </w:r>
    </w:p>
    <w:p>
      <w:pPr>
        <w:spacing w:after="0" w:line="19" w:lineRule="exact"/>
        <w:rPr>
          <w:rFonts w:ascii="Arial" w:cs="Arial" w:eastAsia="Arial" w:hAnsi="Arial"/>
          <w:sz w:val="16"/>
          <w:szCs w:val="16"/>
          <w:u w:val="single" w:color="auto"/>
          <w:color w:val="0000EE"/>
        </w:rPr>
      </w:pPr>
    </w:p>
    <w:p>
      <w:pPr>
        <w:spacing w:after="0"/>
        <w:rPr>
          <w:sz w:val="20"/>
          <w:szCs w:val="20"/>
          <w:color w:val="auto"/>
        </w:rPr>
      </w:pPr>
      <w:r>
        <w:rPr>
          <w:rFonts w:ascii="Arial" w:cs="Arial" w:eastAsia="Arial" w:hAnsi="Arial"/>
          <w:sz w:val="16"/>
          <w:szCs w:val="16"/>
          <w:color w:val="auto"/>
        </w:rPr>
        <w:t>101.CALInline XBRL Taxonomy Extension Calculation Linkbase Document</w:t>
      </w:r>
    </w:p>
    <w:p>
      <w:pPr>
        <w:spacing w:after="0" w:line="19" w:lineRule="exact"/>
        <w:rPr>
          <w:rFonts w:ascii="Arial" w:cs="Arial" w:eastAsia="Arial" w:hAnsi="Arial"/>
          <w:sz w:val="16"/>
          <w:szCs w:val="16"/>
          <w:u w:val="single" w:color="auto"/>
          <w:color w:val="0000EE"/>
        </w:rPr>
      </w:pPr>
    </w:p>
    <w:p>
      <w:pPr>
        <w:spacing w:after="0"/>
        <w:rPr>
          <w:sz w:val="20"/>
          <w:szCs w:val="20"/>
          <w:color w:val="auto"/>
        </w:rPr>
      </w:pPr>
      <w:r>
        <w:rPr>
          <w:rFonts w:ascii="Arial" w:cs="Arial" w:eastAsia="Arial" w:hAnsi="Arial"/>
          <w:sz w:val="16"/>
          <w:szCs w:val="16"/>
          <w:color w:val="auto"/>
        </w:rPr>
        <w:t>101.DEFInline XBRL Taxonomy Extension Definition Linkbase Document</w:t>
      </w:r>
    </w:p>
    <w:p>
      <w:pPr>
        <w:spacing w:after="0" w:line="19" w:lineRule="exact"/>
        <w:rPr>
          <w:rFonts w:ascii="Arial" w:cs="Arial" w:eastAsia="Arial" w:hAnsi="Arial"/>
          <w:sz w:val="16"/>
          <w:szCs w:val="16"/>
          <w:u w:val="single" w:color="auto"/>
          <w:color w:val="0000EE"/>
        </w:rPr>
      </w:pPr>
    </w:p>
    <w:p>
      <w:pPr>
        <w:spacing w:after="0"/>
        <w:rPr>
          <w:sz w:val="20"/>
          <w:szCs w:val="20"/>
          <w:color w:val="auto"/>
        </w:rPr>
      </w:pPr>
      <w:r>
        <w:rPr>
          <w:rFonts w:ascii="Arial" w:cs="Arial" w:eastAsia="Arial" w:hAnsi="Arial"/>
          <w:sz w:val="16"/>
          <w:szCs w:val="16"/>
          <w:color w:val="auto"/>
        </w:rPr>
        <w:t>101.LABInline XBRL Taxonomy Extension Labels Linkbase Document</w:t>
      </w:r>
    </w:p>
    <w:p>
      <w:pPr>
        <w:spacing w:after="0" w:line="19" w:lineRule="exact"/>
        <w:rPr>
          <w:rFonts w:ascii="Arial" w:cs="Arial" w:eastAsia="Arial" w:hAnsi="Arial"/>
          <w:sz w:val="16"/>
          <w:szCs w:val="16"/>
          <w:u w:val="single" w:color="auto"/>
          <w:color w:val="0000EE"/>
        </w:rPr>
      </w:pPr>
    </w:p>
    <w:p>
      <w:pPr>
        <w:spacing w:after="0"/>
        <w:rPr>
          <w:sz w:val="20"/>
          <w:szCs w:val="20"/>
          <w:color w:val="auto"/>
        </w:rPr>
      </w:pPr>
      <w:r>
        <w:rPr>
          <w:rFonts w:ascii="Arial" w:cs="Arial" w:eastAsia="Arial" w:hAnsi="Arial"/>
          <w:sz w:val="16"/>
          <w:szCs w:val="16"/>
          <w:color w:val="auto"/>
        </w:rPr>
        <w:t>101.PRE Inline XBRL Taxonomy Extension Presentation Linkbase Document</w:t>
      </w:r>
    </w:p>
    <w:p>
      <w:pPr>
        <w:spacing w:after="0" w:line="19" w:lineRule="exact"/>
        <w:rPr>
          <w:rFonts w:ascii="Arial" w:cs="Arial" w:eastAsia="Arial" w:hAnsi="Arial"/>
          <w:sz w:val="16"/>
          <w:szCs w:val="16"/>
          <w:u w:val="single" w:color="auto"/>
          <w:color w:val="0000EE"/>
        </w:rPr>
      </w:pPr>
    </w:p>
    <w:p>
      <w:pPr>
        <w:spacing w:after="0"/>
        <w:tabs>
          <w:tab w:leader="none" w:pos="60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Cover Page Interactive Data File (formatted in Inline XBRL and contained in Exhibit 101)</w:t>
      </w:r>
    </w:p>
    <w:p>
      <w:pPr>
        <w:spacing w:after="0" w:line="217" w:lineRule="exact"/>
        <w:rPr>
          <w:rFonts w:ascii="Arial" w:cs="Arial" w:eastAsia="Arial" w:hAnsi="Arial"/>
          <w:sz w:val="16"/>
          <w:szCs w:val="16"/>
          <w:u w:val="single" w:color="auto"/>
          <w:color w:val="0000EE"/>
        </w:rPr>
      </w:pPr>
    </w:p>
    <w:p>
      <w:pPr>
        <w:ind w:left="620" w:hanging="612"/>
        <w:spacing w:after="0" w:line="328" w:lineRule="auto"/>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w:t>
      </w:r>
    </w:p>
    <w:p>
      <w:pPr>
        <w:spacing w:after="0" w:line="339" w:lineRule="exact"/>
        <w:rPr>
          <w:rFonts w:ascii="Arial" w:cs="Arial" w:eastAsia="Arial" w:hAnsi="Arial"/>
          <w:sz w:val="16"/>
          <w:szCs w:val="16"/>
          <w:u w:val="single" w:color="auto"/>
          <w:color w:val="0000EE"/>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225" w:lineRule="exact"/>
        <w:rPr>
          <w:sz w:val="20"/>
          <w:szCs w:val="20"/>
          <w:color w:val="auto"/>
        </w:rPr>
      </w:pPr>
    </w:p>
    <w:p>
      <w:pPr>
        <w:ind w:left="160" w:firstLine="288"/>
        <w:spacing w:after="0" w:line="29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undersigned thereunto duly authorized.</w:t>
      </w:r>
    </w:p>
    <w:p>
      <w:pPr>
        <w:sectPr>
          <w:pgSz w:w="11900" w:h="16838" w:orient="portrait"/>
          <w:cols w:equalWidth="0" w:num="1">
            <w:col w:w="11240"/>
          </w:cols>
          <w:pgMar w:left="320" w:top="395" w:right="339" w:bottom="1440" w:gutter="0" w:footer="0" w:header="0"/>
        </w:sectPr>
      </w:pPr>
    </w:p>
    <w:p>
      <w:pPr>
        <w:spacing w:after="0" w:line="15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Date: November 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jc w:val="center"/>
        <w:ind w:right="3760"/>
        <w:spacing w:after="0"/>
        <w:rPr>
          <w:sz w:val="20"/>
          <w:szCs w:val="20"/>
          <w:color w:val="auto"/>
        </w:rPr>
      </w:pPr>
      <w:r>
        <w:rPr>
          <w:rFonts w:ascii="Arial" w:cs="Arial" w:eastAsia="Arial" w:hAnsi="Arial"/>
          <w:sz w:val="16"/>
          <w:szCs w:val="16"/>
          <w:color w:val="auto"/>
        </w:rPr>
        <w:t>HARVARD</w:t>
      </w:r>
    </w:p>
    <w:p>
      <w:pPr>
        <w:spacing w:after="0" w:line="22" w:lineRule="exact"/>
        <w:rPr>
          <w:sz w:val="20"/>
          <w:szCs w:val="20"/>
          <w:color w:val="auto"/>
        </w:rPr>
      </w:pPr>
    </w:p>
    <w:p>
      <w:pPr>
        <w:jc w:val="center"/>
        <w:ind w:right="3760"/>
        <w:spacing w:after="0"/>
        <w:rPr>
          <w:sz w:val="20"/>
          <w:szCs w:val="20"/>
          <w:color w:val="auto"/>
        </w:rPr>
      </w:pPr>
      <w:r>
        <w:rPr>
          <w:rFonts w:ascii="Arial" w:cs="Arial" w:eastAsia="Arial" w:hAnsi="Arial"/>
          <w:sz w:val="16"/>
          <w:szCs w:val="16"/>
          <w:color w:val="auto"/>
        </w:rPr>
        <w:t>BIOSCIENCE, INC.</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 JAMES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17780</wp:posOffset>
            </wp:positionV>
            <wp:extent cx="10629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James Green</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 MICHAEL A.</w:t>
      </w:r>
    </w:p>
    <w:p>
      <w:pPr>
        <w:spacing w:after="0" w:line="2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ROSSI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15875</wp:posOffset>
            </wp:positionV>
            <wp:extent cx="10629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8" w:lineRule="exact"/>
        <w:rPr>
          <w:sz w:val="20"/>
          <w:szCs w:val="20"/>
          <w:color w:val="auto"/>
        </w:rPr>
      </w:pPr>
    </w:p>
    <w:p>
      <w:pPr>
        <w:jc w:val="center"/>
        <w:ind w:right="3760"/>
        <w:spacing w:after="0"/>
        <w:rPr>
          <w:sz w:val="20"/>
          <w:szCs w:val="20"/>
          <w:color w:val="auto"/>
        </w:rPr>
      </w:pPr>
      <w:r>
        <w:rPr>
          <w:rFonts w:ascii="Arial" w:cs="Arial" w:eastAsia="Arial" w:hAnsi="Arial"/>
          <w:sz w:val="16"/>
          <w:szCs w:val="16"/>
          <w:color w:val="auto"/>
        </w:rPr>
        <w:t>Michael A. Rossi</w:t>
      </w:r>
    </w:p>
    <w:p>
      <w:pPr>
        <w:spacing w:after="0" w:line="22" w:lineRule="exact"/>
        <w:rPr>
          <w:sz w:val="20"/>
          <w:szCs w:val="20"/>
          <w:color w:val="auto"/>
        </w:rPr>
      </w:pPr>
    </w:p>
    <w:p>
      <w:pPr>
        <w:jc w:val="center"/>
        <w:ind w:right="3760"/>
        <w:spacing w:after="0"/>
        <w:rPr>
          <w:sz w:val="20"/>
          <w:szCs w:val="20"/>
          <w:color w:val="auto"/>
        </w:rPr>
      </w:pPr>
      <w:r>
        <w:rPr>
          <w:rFonts w:ascii="Arial" w:cs="Arial" w:eastAsia="Arial" w:hAnsi="Arial"/>
          <w:sz w:val="15"/>
          <w:szCs w:val="15"/>
          <w:color w:val="auto"/>
        </w:rPr>
        <w:t>Chief Financial Officer</w:t>
      </w:r>
    </w:p>
    <w:p>
      <w:pPr>
        <w:spacing w:after="0" w:line="200" w:lineRule="exact"/>
        <w:rPr>
          <w:sz w:val="20"/>
          <w:szCs w:val="20"/>
          <w:color w:val="auto"/>
        </w:rPr>
      </w:pPr>
    </w:p>
    <w:p>
      <w:pPr>
        <w:sectPr>
          <w:pgSz w:w="11900" w:h="16838" w:orient="portrait"/>
          <w:cols w:equalWidth="0" w:num="2">
            <w:col w:w="5760" w:space="160"/>
            <w:col w:w="5320"/>
          </w:cols>
          <w:pgMar w:left="320" w:top="39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240"/>
          </w:cols>
          <w:pgMar w:left="320" w:top="395" w:right="339" w:bottom="1440" w:gutter="0" w:footer="0" w:header="0"/>
          <w:type w:val="continuous"/>
        </w:sectPr>
      </w:pPr>
    </w:p>
    <w:bookmarkStart w:id="26" w:name="page27"/>
    <w:bookmarkEnd w:id="26"/>
    <w:p>
      <w:pPr>
        <w:jc w:val="right"/>
        <w:spacing w:after="0"/>
        <w:rPr>
          <w:sz w:val="20"/>
          <w:szCs w:val="20"/>
          <w:color w:val="auto"/>
        </w:rPr>
      </w:pPr>
      <w:r>
        <w:rPr>
          <w:rFonts w:ascii="Arial" w:cs="Arial" w:eastAsia="Arial" w:hAnsi="Arial"/>
          <w:sz w:val="16"/>
          <w:szCs w:val="16"/>
          <w:b w:val="1"/>
          <w:bCs w:val="1"/>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 Michael A. Rossi, certify that:</w:t>
      </w:r>
    </w:p>
    <w:p>
      <w:pPr>
        <w:spacing w:after="0" w:line="221" w:lineRule="exact"/>
        <w:rPr>
          <w:sz w:val="20"/>
          <w:szCs w:val="20"/>
          <w:color w:val="auto"/>
        </w:rPr>
      </w:pPr>
    </w:p>
    <w:p>
      <w:pPr>
        <w:ind w:left="880" w:hanging="319"/>
        <w:spacing w:after="0"/>
        <w:tabs>
          <w:tab w:leader="none" w:pos="8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Harvard Bioscience, Inc.</w:t>
      </w:r>
    </w:p>
    <w:p>
      <w:pPr>
        <w:spacing w:after="0" w:line="221" w:lineRule="exact"/>
        <w:rPr>
          <w:rFonts w:ascii="Arial" w:cs="Arial" w:eastAsia="Arial" w:hAnsi="Arial"/>
          <w:sz w:val="16"/>
          <w:szCs w:val="16"/>
          <w:color w:val="auto"/>
        </w:rPr>
      </w:pPr>
    </w:p>
    <w:p>
      <w:pPr>
        <w:ind w:left="880" w:right="200" w:hanging="319"/>
        <w:spacing w:after="0" w:line="328" w:lineRule="auto"/>
        <w:tabs>
          <w:tab w:leader="none" w:pos="8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Arial" w:cs="Arial" w:eastAsia="Arial" w:hAnsi="Arial"/>
          <w:sz w:val="15"/>
          <w:szCs w:val="15"/>
          <w:color w:val="auto"/>
        </w:rPr>
      </w:pPr>
    </w:p>
    <w:p>
      <w:pPr>
        <w:ind w:left="880" w:right="280" w:hanging="319"/>
        <w:spacing w:after="0" w:line="293" w:lineRule="auto"/>
        <w:tabs>
          <w:tab w:leader="none" w:pos="8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Arial" w:cs="Arial" w:eastAsia="Arial" w:hAnsi="Arial"/>
          <w:sz w:val="16"/>
          <w:szCs w:val="16"/>
          <w:color w:val="auto"/>
        </w:rPr>
      </w:pPr>
    </w:p>
    <w:p>
      <w:pPr>
        <w:ind w:left="880" w:right="60" w:hanging="319"/>
        <w:spacing w:after="0" w:line="278" w:lineRule="auto"/>
        <w:tabs>
          <w:tab w:leader="none" w:pos="8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6"/>
          <w:szCs w:val="16"/>
          <w:color w:val="auto"/>
        </w:rPr>
      </w:pPr>
    </w:p>
    <w:p>
      <w:pPr>
        <w:ind w:left="1540" w:right="40" w:hanging="317"/>
        <w:spacing w:after="0" w:line="278" w:lineRule="auto"/>
        <w:tabs>
          <w:tab w:leader="none" w:pos="15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6"/>
          <w:szCs w:val="16"/>
          <w:color w:val="auto"/>
        </w:rPr>
      </w:pPr>
    </w:p>
    <w:p>
      <w:pPr>
        <w:ind w:left="1540" w:right="40" w:hanging="331"/>
        <w:spacing w:after="0" w:line="278" w:lineRule="auto"/>
        <w:tabs>
          <w:tab w:leader="none" w:pos="15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6"/>
          <w:szCs w:val="16"/>
          <w:color w:val="auto"/>
        </w:rPr>
      </w:pPr>
    </w:p>
    <w:p>
      <w:pPr>
        <w:ind w:left="1540" w:right="80" w:hanging="317"/>
        <w:spacing w:after="0" w:line="328" w:lineRule="auto"/>
        <w:tabs>
          <w:tab w:leader="none" w:pos="1540" w:val="left"/>
        </w:tabs>
        <w:numPr>
          <w:ilvl w:val="1"/>
          <w:numId w:val="1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6" w:lineRule="exact"/>
        <w:rPr>
          <w:rFonts w:ascii="Arial" w:cs="Arial" w:eastAsia="Arial" w:hAnsi="Arial"/>
          <w:sz w:val="15"/>
          <w:szCs w:val="15"/>
          <w:color w:val="auto"/>
        </w:rPr>
      </w:pPr>
    </w:p>
    <w:p>
      <w:pPr>
        <w:ind w:left="1540" w:right="120" w:hanging="331"/>
        <w:spacing w:after="0" w:line="278" w:lineRule="auto"/>
        <w:tabs>
          <w:tab w:leader="none" w:pos="15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6"/>
          <w:szCs w:val="16"/>
          <w:color w:val="auto"/>
        </w:rPr>
      </w:pPr>
    </w:p>
    <w:p>
      <w:pPr>
        <w:ind w:left="880" w:right="660" w:hanging="319"/>
        <w:spacing w:after="0" w:line="328" w:lineRule="auto"/>
        <w:tabs>
          <w:tab w:leader="none" w:pos="8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6" w:lineRule="exact"/>
        <w:rPr>
          <w:rFonts w:ascii="Arial" w:cs="Arial" w:eastAsia="Arial" w:hAnsi="Arial"/>
          <w:sz w:val="15"/>
          <w:szCs w:val="15"/>
          <w:color w:val="auto"/>
        </w:rPr>
      </w:pPr>
    </w:p>
    <w:p>
      <w:pPr>
        <w:ind w:left="1540" w:hanging="317"/>
        <w:spacing w:after="0" w:line="293" w:lineRule="auto"/>
        <w:tabs>
          <w:tab w:leader="none" w:pos="15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Arial" w:cs="Arial" w:eastAsia="Arial" w:hAnsi="Arial"/>
          <w:sz w:val="16"/>
          <w:szCs w:val="16"/>
          <w:color w:val="auto"/>
        </w:rPr>
      </w:pPr>
    </w:p>
    <w:p>
      <w:pPr>
        <w:ind w:left="1540" w:right="60" w:hanging="331"/>
        <w:spacing w:after="0" w:line="293" w:lineRule="auto"/>
        <w:tabs>
          <w:tab w:leader="none" w:pos="15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spacing w:after="0"/>
        <w:tabs>
          <w:tab w:leader="none" w:pos="5600" w:val="left"/>
        </w:tabs>
        <w:rPr>
          <w:sz w:val="20"/>
          <w:szCs w:val="20"/>
          <w:color w:val="auto"/>
        </w:rPr>
      </w:pPr>
      <w:r>
        <w:rPr>
          <w:rFonts w:ascii="Arial" w:cs="Arial" w:eastAsia="Arial" w:hAnsi="Arial"/>
          <w:sz w:val="16"/>
          <w:szCs w:val="16"/>
          <w:color w:val="auto"/>
        </w:rPr>
        <w:t>Date: November 5, 2021</w:t>
      </w:r>
      <w:r>
        <w:rPr>
          <w:sz w:val="20"/>
          <w:szCs w:val="20"/>
          <w:color w:val="auto"/>
        </w:rPr>
        <w:tab/>
      </w:r>
      <w:r>
        <w:rPr>
          <w:rFonts w:ascii="Arial" w:cs="Arial" w:eastAsia="Arial" w:hAnsi="Arial"/>
          <w:sz w:val="15"/>
          <w:szCs w:val="15"/>
          <w:color w:val="auto"/>
        </w:rPr>
        <w:t>/s/ MICHAEL A. ROSSI</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Michael A. Rossi</w:t>
      </w:r>
    </w:p>
    <w:p>
      <w:pPr>
        <w:spacing w:after="0" w:line="2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Chief Financial Officer</w:t>
      </w:r>
    </w:p>
    <w:p>
      <w:pPr>
        <w:sectPr>
          <w:pgSz w:w="11900" w:h="16838" w:orient="portrait"/>
          <w:cols w:equalWidth="0" w:num="1">
            <w:col w:w="11240"/>
          </w:cols>
          <w:pgMar w:left="320" w:top="126"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6"/>
          <w:szCs w:val="16"/>
          <w:b w:val="1"/>
          <w:bCs w:val="1"/>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 James Green, certify that:</w:t>
      </w:r>
    </w:p>
    <w:p>
      <w:pPr>
        <w:spacing w:after="0" w:line="221" w:lineRule="exact"/>
        <w:rPr>
          <w:sz w:val="20"/>
          <w:szCs w:val="20"/>
          <w:color w:val="auto"/>
        </w:rPr>
      </w:pPr>
    </w:p>
    <w:p>
      <w:pPr>
        <w:ind w:left="880" w:hanging="319"/>
        <w:spacing w:after="0"/>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Harvard Bioscience, Inc.</w:t>
      </w:r>
    </w:p>
    <w:p>
      <w:pPr>
        <w:spacing w:after="0" w:line="221" w:lineRule="exact"/>
        <w:rPr>
          <w:rFonts w:ascii="Arial" w:cs="Arial" w:eastAsia="Arial" w:hAnsi="Arial"/>
          <w:sz w:val="16"/>
          <w:szCs w:val="16"/>
          <w:color w:val="auto"/>
        </w:rPr>
      </w:pPr>
    </w:p>
    <w:p>
      <w:pPr>
        <w:ind w:left="880" w:right="200" w:hanging="319"/>
        <w:spacing w:after="0" w:line="328" w:lineRule="auto"/>
        <w:tabs>
          <w:tab w:leader="none" w:pos="8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Arial" w:cs="Arial" w:eastAsia="Arial" w:hAnsi="Arial"/>
          <w:sz w:val="15"/>
          <w:szCs w:val="15"/>
          <w:color w:val="auto"/>
        </w:rPr>
      </w:pPr>
    </w:p>
    <w:p>
      <w:pPr>
        <w:ind w:left="880" w:right="280" w:hanging="319"/>
        <w:spacing w:after="0" w:line="293" w:lineRule="auto"/>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Arial" w:cs="Arial" w:eastAsia="Arial" w:hAnsi="Arial"/>
          <w:sz w:val="16"/>
          <w:szCs w:val="16"/>
          <w:color w:val="auto"/>
        </w:rPr>
      </w:pPr>
    </w:p>
    <w:p>
      <w:pPr>
        <w:ind w:left="880" w:right="60" w:hanging="319"/>
        <w:spacing w:after="0" w:line="278" w:lineRule="auto"/>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6"/>
          <w:szCs w:val="16"/>
          <w:color w:val="auto"/>
        </w:rPr>
      </w:pPr>
    </w:p>
    <w:p>
      <w:pPr>
        <w:ind w:left="1540" w:right="40" w:hanging="317"/>
        <w:spacing w:after="0" w:line="278" w:lineRule="auto"/>
        <w:tabs>
          <w:tab w:leader="none" w:pos="154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6"/>
          <w:szCs w:val="16"/>
          <w:color w:val="auto"/>
        </w:rPr>
      </w:pPr>
    </w:p>
    <w:p>
      <w:pPr>
        <w:ind w:left="1540" w:right="40" w:hanging="331"/>
        <w:spacing w:after="0" w:line="278" w:lineRule="auto"/>
        <w:tabs>
          <w:tab w:leader="none" w:pos="154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6"/>
          <w:szCs w:val="16"/>
          <w:color w:val="auto"/>
        </w:rPr>
      </w:pPr>
    </w:p>
    <w:p>
      <w:pPr>
        <w:ind w:left="1540" w:right="80" w:hanging="317"/>
        <w:spacing w:after="0" w:line="328" w:lineRule="auto"/>
        <w:tabs>
          <w:tab w:leader="none" w:pos="1540" w:val="left"/>
        </w:tabs>
        <w:numPr>
          <w:ilvl w:val="1"/>
          <w:numId w:val="1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6" w:lineRule="exact"/>
        <w:rPr>
          <w:rFonts w:ascii="Arial" w:cs="Arial" w:eastAsia="Arial" w:hAnsi="Arial"/>
          <w:sz w:val="15"/>
          <w:szCs w:val="15"/>
          <w:color w:val="auto"/>
        </w:rPr>
      </w:pPr>
    </w:p>
    <w:p>
      <w:pPr>
        <w:ind w:left="1540" w:right="120" w:hanging="331"/>
        <w:spacing w:after="0" w:line="278" w:lineRule="auto"/>
        <w:tabs>
          <w:tab w:leader="none" w:pos="154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6"/>
          <w:szCs w:val="16"/>
          <w:color w:val="auto"/>
        </w:rPr>
      </w:pPr>
    </w:p>
    <w:p>
      <w:pPr>
        <w:ind w:left="880" w:right="660" w:hanging="319"/>
        <w:spacing w:after="0" w:line="328" w:lineRule="auto"/>
        <w:tabs>
          <w:tab w:leader="none" w:pos="8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6" w:lineRule="exact"/>
        <w:rPr>
          <w:rFonts w:ascii="Arial" w:cs="Arial" w:eastAsia="Arial" w:hAnsi="Arial"/>
          <w:sz w:val="15"/>
          <w:szCs w:val="15"/>
          <w:color w:val="auto"/>
        </w:rPr>
      </w:pPr>
    </w:p>
    <w:p>
      <w:pPr>
        <w:ind w:left="1540" w:hanging="317"/>
        <w:spacing w:after="0" w:line="293" w:lineRule="auto"/>
        <w:tabs>
          <w:tab w:leader="none" w:pos="154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Arial" w:cs="Arial" w:eastAsia="Arial" w:hAnsi="Arial"/>
          <w:sz w:val="16"/>
          <w:szCs w:val="16"/>
          <w:color w:val="auto"/>
        </w:rPr>
      </w:pPr>
    </w:p>
    <w:p>
      <w:pPr>
        <w:ind w:left="1540" w:right="60" w:hanging="331"/>
        <w:spacing w:after="0" w:line="293" w:lineRule="auto"/>
        <w:tabs>
          <w:tab w:leader="none" w:pos="154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spacing w:after="0"/>
        <w:tabs>
          <w:tab w:leader="none" w:pos="5600" w:val="left"/>
        </w:tabs>
        <w:rPr>
          <w:sz w:val="20"/>
          <w:szCs w:val="20"/>
          <w:color w:val="auto"/>
        </w:rPr>
      </w:pPr>
      <w:r>
        <w:rPr>
          <w:rFonts w:ascii="Arial" w:cs="Arial" w:eastAsia="Arial" w:hAnsi="Arial"/>
          <w:sz w:val="16"/>
          <w:szCs w:val="16"/>
          <w:color w:val="auto"/>
        </w:rPr>
        <w:t>Date: November 5, 2021</w:t>
      </w:r>
      <w:r>
        <w:rPr>
          <w:sz w:val="20"/>
          <w:szCs w:val="20"/>
          <w:color w:val="auto"/>
        </w:rPr>
        <w:tab/>
      </w:r>
      <w:r>
        <w:rPr>
          <w:rFonts w:ascii="Arial" w:cs="Arial" w:eastAsia="Arial" w:hAnsi="Arial"/>
          <w:sz w:val="15"/>
          <w:szCs w:val="15"/>
          <w:color w:val="auto"/>
        </w:rPr>
        <w:t>/s/ JAMES GREEN</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James Green</w:t>
      </w:r>
    </w:p>
    <w:p>
      <w:pPr>
        <w:spacing w:after="0" w:line="2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11240"/>
          </w:cols>
          <w:pgMar w:left="320" w:top="126"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6"/>
          <w:szCs w:val="16"/>
          <w:b w:val="1"/>
          <w:bCs w:val="1"/>
          <w:color w:val="auto"/>
        </w:rPr>
        <w:t>EXHIBIT 32.1</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PERIODIC FINANCIAL REPORT PURSUANT TO 18 U.S.C. SECTION 1350</w:t>
      </w:r>
    </w:p>
    <w:p>
      <w:pPr>
        <w:spacing w:after="0" w:line="225" w:lineRule="exact"/>
        <w:rPr>
          <w:sz w:val="20"/>
          <w:szCs w:val="20"/>
          <w:color w:val="auto"/>
        </w:rPr>
      </w:pPr>
    </w:p>
    <w:p>
      <w:pPr>
        <w:ind w:left="160" w:right="200" w:firstLine="288"/>
        <w:spacing w:after="0" w:line="288" w:lineRule="auto"/>
        <w:rPr>
          <w:sz w:val="20"/>
          <w:szCs w:val="20"/>
          <w:color w:val="auto"/>
        </w:rPr>
      </w:pPr>
      <w:r>
        <w:rPr>
          <w:rFonts w:ascii="Arial" w:cs="Arial" w:eastAsia="Arial" w:hAnsi="Arial"/>
          <w:sz w:val="15"/>
          <w:szCs w:val="15"/>
          <w:color w:val="auto"/>
        </w:rPr>
        <w:t>The undersigned officer of Harvard Bioscience, Inc. (the “Company”) hereby certifies to his knowledge that the Company’s Quarterly Report on Form 10-Q for the quarterly period ended September 30, 2021 (the “Report”) to which this certification is being furnished as an exhibit,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601(b)(32) of Regulation S-K (Item 601(b)(32)) promulgated under the Securities Act of 1933, as amended (the “Securities Act”), and the Exchange Act. In accordance with clause (ii) of Item 601(b)(32), this certification (A) shall not be deemed “filed” for purposes of Section 18 of the Exchange Act, or otherwise subject to the liability of that section, and (B) shall not be deemed to be incorporated by reference into any filing under the Securities Act or the Exchange Act, except to the extent that the Company specifically incorporates it by reference.</w:t>
      </w:r>
    </w:p>
    <w:p>
      <w:pPr>
        <w:spacing w:after="0" w:line="167" w:lineRule="exact"/>
        <w:rPr>
          <w:sz w:val="20"/>
          <w:szCs w:val="20"/>
          <w:color w:val="auto"/>
        </w:rPr>
      </w:pPr>
    </w:p>
    <w:p>
      <w:pPr>
        <w:spacing w:after="0"/>
        <w:tabs>
          <w:tab w:leader="none" w:pos="5600" w:val="left"/>
        </w:tabs>
        <w:rPr>
          <w:sz w:val="20"/>
          <w:szCs w:val="20"/>
          <w:color w:val="auto"/>
        </w:rPr>
      </w:pPr>
      <w:r>
        <w:rPr>
          <w:rFonts w:ascii="Arial" w:cs="Arial" w:eastAsia="Arial" w:hAnsi="Arial"/>
          <w:sz w:val="16"/>
          <w:szCs w:val="16"/>
          <w:color w:val="auto"/>
        </w:rPr>
        <w:t>Date: November 5, 2021</w:t>
      </w:r>
      <w:r>
        <w:rPr>
          <w:sz w:val="20"/>
          <w:szCs w:val="20"/>
          <w:color w:val="auto"/>
        </w:rPr>
        <w:tab/>
      </w:r>
      <w:r>
        <w:rPr>
          <w:rFonts w:ascii="Arial" w:cs="Arial" w:eastAsia="Arial" w:hAnsi="Arial"/>
          <w:sz w:val="15"/>
          <w:szCs w:val="15"/>
          <w:color w:val="auto"/>
        </w:rPr>
        <w:t>/s/ MICHAEL A. ROSSI</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Name: Michael A. Rossi</w:t>
      </w:r>
    </w:p>
    <w:p>
      <w:pPr>
        <w:spacing w:after="0" w:line="2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Title: Chief Financial Officer</w:t>
      </w:r>
    </w:p>
    <w:p>
      <w:pPr>
        <w:sectPr>
          <w:pgSz w:w="11900" w:h="16838" w:orient="portrait"/>
          <w:cols w:equalWidth="0" w:num="1">
            <w:col w:w="11240"/>
          </w:cols>
          <w:pgMar w:left="320" w:top="126"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6"/>
          <w:szCs w:val="16"/>
          <w:b w:val="1"/>
          <w:bCs w:val="1"/>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PERIODIC FINANCIAL REPORT PURSUANT TO 18 U.S.C. SECTION 1350</w:t>
      </w:r>
    </w:p>
    <w:p>
      <w:pPr>
        <w:spacing w:after="0" w:line="225" w:lineRule="exact"/>
        <w:rPr>
          <w:sz w:val="20"/>
          <w:szCs w:val="20"/>
          <w:color w:val="auto"/>
        </w:rPr>
      </w:pPr>
    </w:p>
    <w:p>
      <w:pPr>
        <w:ind w:left="160" w:right="200" w:firstLine="288"/>
        <w:spacing w:after="0" w:line="288" w:lineRule="auto"/>
        <w:rPr>
          <w:sz w:val="20"/>
          <w:szCs w:val="20"/>
          <w:color w:val="auto"/>
        </w:rPr>
      </w:pPr>
      <w:r>
        <w:rPr>
          <w:rFonts w:ascii="Arial" w:cs="Arial" w:eastAsia="Arial" w:hAnsi="Arial"/>
          <w:sz w:val="15"/>
          <w:szCs w:val="15"/>
          <w:color w:val="auto"/>
        </w:rPr>
        <w:t>The undersigned officer of Harvard Bioscience, Inc. (the “Company”) hereby certifies to his knowledge that the Company’s Quarterly Report on Form 10-Q for the quarterly period ended September 30, 2021 (the “Report”) to which this certification is being furnished as an exhibit,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601(b)(32) of Regulation S-K (Item 601(b)(32)) promulgated under the Securities Act of 1933, as amended (the “Securities Act”), and the Exchange Act. In accordance with clause (ii) of Item 601(b)(32), this certification (A) shall not be deemed “filed” for purposes of Section 18 of the Exchange Act, or otherwise subject to the liability of that section, and (B) shall not be deemed to be incorporated by reference into any filing under the Securities Act or the Exchange Act, except to the extent that the Company specifically incorporates it by reference.</w:t>
      </w:r>
    </w:p>
    <w:p>
      <w:pPr>
        <w:spacing w:after="0" w:line="167" w:lineRule="exact"/>
        <w:rPr>
          <w:sz w:val="20"/>
          <w:szCs w:val="20"/>
          <w:color w:val="auto"/>
        </w:rPr>
      </w:pPr>
    </w:p>
    <w:p>
      <w:pPr>
        <w:spacing w:after="0"/>
        <w:tabs>
          <w:tab w:leader="none" w:pos="5600" w:val="left"/>
        </w:tabs>
        <w:rPr>
          <w:sz w:val="20"/>
          <w:szCs w:val="20"/>
          <w:color w:val="auto"/>
        </w:rPr>
      </w:pPr>
      <w:r>
        <w:rPr>
          <w:rFonts w:ascii="Arial" w:cs="Arial" w:eastAsia="Arial" w:hAnsi="Arial"/>
          <w:sz w:val="16"/>
          <w:szCs w:val="16"/>
          <w:color w:val="auto"/>
        </w:rPr>
        <w:t>Date: November 5, 2021</w:t>
      </w:r>
      <w:r>
        <w:rPr>
          <w:sz w:val="20"/>
          <w:szCs w:val="20"/>
          <w:color w:val="auto"/>
        </w:rPr>
        <w:tab/>
      </w:r>
      <w:r>
        <w:rPr>
          <w:rFonts w:ascii="Arial" w:cs="Arial" w:eastAsia="Arial" w:hAnsi="Arial"/>
          <w:sz w:val="15"/>
          <w:szCs w:val="15"/>
          <w:color w:val="auto"/>
        </w:rPr>
        <w:t>/s/ JAMES GREEN</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Name: James Green</w:t>
      </w:r>
    </w:p>
    <w:p>
      <w:pPr>
        <w:spacing w:after="0" w:line="2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Title: Chief Executive Officer</w:t>
      </w:r>
    </w:p>
    <w:sectPr>
      <w:pgSz w:w="11900" w:h="16838" w:orient="portrait"/>
      <w:cols w:equalWidth="0" w:num="1">
        <w:col w:w="11240"/>
      </w:cols>
      <w:pgMar w:left="320" w:top="1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2"/>
    </w:lvl>
  </w:abstractNum>
  <w:abstractNum w:abstractNumId="4">
    <w:nsid w:val="12200854"/>
    <w:multiLevelType w:val="hybridMultilevel"/>
    <w:lvl w:ilvl="0">
      <w:lvlJc w:val="left"/>
      <w:lvlText w:val="%1."/>
      <w:numFmt w:val="decimal"/>
      <w:start w:val="3"/>
    </w:lvl>
  </w:abstractNum>
  <w:abstractNum w:abstractNumId="5">
    <w:nsid w:val="4DB127F8"/>
    <w:multiLevelType w:val="hybridMultilevel"/>
    <w:lvl w:ilvl="0">
      <w:lvlJc w:val="left"/>
      <w:lvlText w:val="%1."/>
      <w:numFmt w:val="decimal"/>
      <w:start w:val="4"/>
    </w:lvl>
  </w:abstractNum>
  <w:abstractNum w:abstractNumId="6">
    <w:nsid w:val="216231B"/>
    <w:multiLevelType w:val="hybridMultilevel"/>
    <w:lvl w:ilvl="0">
      <w:lvlJc w:val="left"/>
      <w:lvlText w:val="%1."/>
      <w:numFmt w:val="decimal"/>
      <w:start w:val="5"/>
    </w:lvl>
  </w:abstractNum>
  <w:abstractNum w:abstractNumId="7">
    <w:nsid w:val="1F16E9E8"/>
    <w:multiLevelType w:val="hybridMultilevel"/>
    <w:lvl w:ilvl="0">
      <w:lvlJc w:val="left"/>
      <w:lvlText w:val="%1."/>
      <w:numFmt w:val="decimal"/>
      <w:start w:val="6"/>
    </w:lvl>
  </w:abstractNum>
  <w:abstractNum w:abstractNumId="8">
    <w:nsid w:val="1190CDE7"/>
    <w:multiLevelType w:val="hybridMultilevel"/>
    <w:lvl w:ilvl="0">
      <w:lvlJc w:val="left"/>
      <w:lvlText w:val="%1."/>
      <w:numFmt w:val="decimal"/>
      <w:start w:val="7"/>
    </w:lvl>
  </w:abstractNum>
  <w:abstractNum w:abstractNumId="9">
    <w:nsid w:val="66EF438D"/>
    <w:multiLevelType w:val="hybridMultilevel"/>
    <w:lvl w:ilvl="0">
      <w:lvlJc w:val="left"/>
      <w:lvlText w:val="%1."/>
      <w:numFmt w:val="decimal"/>
      <w:start w:val="8"/>
    </w:lvl>
  </w:abstractNum>
  <w:abstractNum w:abstractNumId="10">
    <w:nsid w:val="140E0F76"/>
    <w:multiLevelType w:val="hybridMultilevel"/>
    <w:lvl w:ilvl="0">
      <w:lvlJc w:val="left"/>
      <w:lvlText w:val="%1."/>
      <w:numFmt w:val="decimal"/>
      <w:start w:val="9"/>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2021-11-05T16:00:09Z</dcterms:created>
  <dcterms:modified xsi:type="dcterms:W3CDTF">2021-11-05T16:00:09Z</dcterms:modified>
</cp:coreProperties>
</file>