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198120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40"/>
        <w:spacing w:after="0"/>
        <w:tabs>
          <w:tab w:leader="none" w:pos="71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4133850</wp:posOffset>
            </wp:positionH>
            <wp:positionV relativeFrom="paragraph">
              <wp:posOffset>-5080</wp:posOffset>
            </wp:positionV>
            <wp:extent cx="371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191770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HARVARD BIOSCIENCE,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04-3306140</w:t>
            </w:r>
          </w:p>
        </w:tc>
      </w:tr>
      <w:tr>
        <w:trPr>
          <w:trHeight w:val="216"/>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64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48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84 October Hill Road, Holliston, MA</w:t>
            </w: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01746</w:t>
            </w:r>
          </w:p>
        </w:tc>
      </w:tr>
      <w:tr>
        <w:trPr>
          <w:trHeight w:val="238"/>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648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(508) 893-8999</w:t>
            </w:r>
          </w:p>
        </w:tc>
        <w:tc>
          <w:tcPr>
            <w:tcW w:w="1480" w:type="dxa"/>
            <w:vAlign w:val="bottom"/>
          </w:tcPr>
          <w:p>
            <w:pPr>
              <w:spacing w:after="0"/>
              <w:rPr>
                <w:sz w:val="24"/>
                <w:szCs w:val="24"/>
                <w:color w:val="auto"/>
              </w:rPr>
            </w:pPr>
          </w:p>
        </w:tc>
      </w:tr>
      <w:tr>
        <w:trPr>
          <w:trHeight w:val="238"/>
        </w:trPr>
        <w:tc>
          <w:tcPr>
            <w:tcW w:w="648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HBIO</w:t>
            </w:r>
          </w:p>
        </w:tc>
        <w:tc>
          <w:tcPr>
            <w:tcW w:w="5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98" w:lineRule="exact"/>
        <w:rPr>
          <w:sz w:val="24"/>
          <w:szCs w:val="24"/>
          <w:color w:val="auto"/>
        </w:rPr>
      </w:pPr>
    </w:p>
    <w:p>
      <w:pPr>
        <w:ind w:right="2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right="26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313" w:right="239" w:bottom="1049" w:gutter="0" w:footer="0" w:header="0"/>
        </w:sect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207" w:lineRule="exact"/>
        <w:tabs>
          <w:tab w:leader="none" w:pos="4780" w:val="left"/>
          <w:tab w:leader="none" w:pos="8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4780" w:val="left"/>
          <w:tab w:leader="none" w:pos="84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1" w:lineRule="exact"/>
        <w:rPr>
          <w:sz w:val="24"/>
          <w:szCs w:val="24"/>
          <w:color w:val="auto"/>
        </w:rPr>
      </w:pPr>
    </w:p>
    <w:p>
      <w:pPr>
        <w:sectPr>
          <w:pgSz w:w="11900" w:h="16838" w:orient="portrait"/>
          <w:cols w:equalWidth="0" w:num="2">
            <w:col w:w="1980" w:space="660"/>
            <w:col w:w="8780"/>
          </w:cols>
          <w:pgMar w:left="240" w:top="313" w:right="239" w:bottom="1049" w:gutter="0" w:footer="0" w:header="0"/>
          <w:type w:val="continuous"/>
        </w:sectPr>
      </w:pPr>
    </w:p>
    <w:p>
      <w:pPr>
        <w:spacing w:after="0" w:line="7" w:lineRule="exact"/>
        <w:rPr>
          <w:sz w:val="24"/>
          <w:szCs w:val="24"/>
          <w:color w:val="auto"/>
        </w:rPr>
      </w:pPr>
    </w:p>
    <w:p>
      <w:pPr>
        <w:ind w:right="20" w:firstLine="33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tabs>
          <w:tab w:leader="none" w:pos="86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30, 2019, there were 38,066,101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13" w:right="239" w:bottom="1049" w:gutter="0" w:footer="0" w:header="0"/>
          <w:type w:val="continuous"/>
        </w:sectPr>
      </w:pPr>
    </w:p>
    <w:bookmarkStart w:id="1" w:name="page2"/>
    <w:bookmarkEnd w:id="1"/>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2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w:t>
      </w:r>
    </w:p>
    <w:p>
      <w:pPr>
        <w:spacing w:after="0" w:line="20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92"/>
        </w:trPr>
        <w:tc>
          <w:tcPr>
            <w:tcW w:w="29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 FINANCIAL INFORMATION</w:t>
              </w:r>
            </w:hyperlink>
          </w:p>
        </w:tc>
        <w:tc>
          <w:tcPr>
            <w:tcW w:w="786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520" w:type="dxa"/>
            <w:vAlign w:val="bottom"/>
            <w:gridSpan w:val="2"/>
          </w:tcPr>
          <w:p>
            <w:pPr>
              <w:spacing w:after="0"/>
              <w:rPr>
                <w:sz w:val="24"/>
                <w:szCs w:val="24"/>
                <w:color w:val="auto"/>
              </w:rPr>
            </w:pPr>
          </w:p>
        </w:tc>
        <w:tc>
          <w:tcPr>
            <w:tcW w:w="966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20" w:type="dxa"/>
            <w:vAlign w:val="bottom"/>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 as of September 30, 2019 and December 31, 2018 (unaudited)</w:t>
              </w:r>
            </w:hyperlink>
          </w:p>
        </w:tc>
        <w:tc>
          <w:tcPr>
            <w:tcW w:w="3040" w:type="dxa"/>
            <w:vAlign w:val="bottom"/>
            <w:gridSpan w:val="3"/>
          </w:tcPr>
          <w:p>
            <w:pPr>
              <w:spacing w:after="0"/>
              <w:rPr>
                <w:sz w:val="24"/>
                <w:szCs w:val="24"/>
                <w:color w:val="auto"/>
              </w:rPr>
            </w:pPr>
          </w:p>
        </w:tc>
        <w:tc>
          <w:tcPr>
            <w:tcW w:w="420" w:type="dxa"/>
            <w:vAlign w:val="bottom"/>
            <w:gridSpan w:val="2"/>
          </w:tcPr>
          <w:p>
            <w:pPr>
              <w:jc w:val="center"/>
              <w:ind w:left="250"/>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 and Comprehensive Income (Loss) for the Three and Nine Months Ended September 30, 2019</w:t>
              </w:r>
            </w:hyperlink>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6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2018 (unaudited)</w:t>
              </w:r>
            </w:hyperlink>
          </w:p>
        </w:tc>
        <w:tc>
          <w:tcPr>
            <w:tcW w:w="420" w:type="dxa"/>
            <w:vAlign w:val="bottom"/>
            <w:gridSpan w:val="2"/>
          </w:tcPr>
          <w:p>
            <w:pPr>
              <w:jc w:val="center"/>
              <w:ind w:left="250"/>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1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Stockholders' Equity for the Three and Nine Months Ended September 30, 2019 and 2018 (unaudited)</w:t>
              </w:r>
            </w:hyperlink>
          </w:p>
        </w:tc>
        <w:tc>
          <w:tcPr>
            <w:tcW w:w="420" w:type="dxa"/>
            <w:vAlign w:val="bottom"/>
            <w:gridSpan w:val="2"/>
          </w:tcPr>
          <w:p>
            <w:pPr>
              <w:jc w:val="center"/>
              <w:ind w:left="25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80" w:type="dxa"/>
            <w:vAlign w:val="bottom"/>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Nine Months Ended September 30, 2019 and 2018 (unaudited)</w:t>
              </w:r>
            </w:hyperlink>
          </w:p>
        </w:tc>
        <w:tc>
          <w:tcPr>
            <w:tcW w:w="280" w:type="dxa"/>
            <w:vAlign w:val="bottom"/>
          </w:tcPr>
          <w:p>
            <w:pPr>
              <w:spacing w:after="0"/>
              <w:rPr>
                <w:sz w:val="24"/>
                <w:szCs w:val="24"/>
                <w:color w:val="auto"/>
              </w:rPr>
            </w:pPr>
          </w:p>
        </w:tc>
        <w:tc>
          <w:tcPr>
            <w:tcW w:w="420" w:type="dxa"/>
            <w:vAlign w:val="bottom"/>
            <w:gridSpan w:val="2"/>
          </w:tcPr>
          <w:p>
            <w:pPr>
              <w:jc w:val="center"/>
              <w:ind w:left="25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60" w:type="dxa"/>
            <w:vAlign w:val="bottom"/>
            <w:gridSpan w:val="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Unaudited Consolidated Financial Statements</w:t>
              </w:r>
            </w:hyperlink>
          </w:p>
        </w:tc>
        <w:tc>
          <w:tcPr>
            <w:tcW w:w="4000" w:type="dxa"/>
            <w:vAlign w:val="bottom"/>
            <w:gridSpan w:val="4"/>
          </w:tcPr>
          <w:p>
            <w:pPr>
              <w:spacing w:after="0"/>
              <w:rPr>
                <w:sz w:val="24"/>
                <w:szCs w:val="24"/>
                <w:color w:val="auto"/>
              </w:rPr>
            </w:pPr>
          </w:p>
        </w:tc>
        <w:tc>
          <w:tcPr>
            <w:tcW w:w="1700" w:type="dxa"/>
            <w:vAlign w:val="bottom"/>
            <w:gridSpan w:val="2"/>
          </w:tcPr>
          <w:p>
            <w:pPr>
              <w:spacing w:after="0"/>
              <w:rPr>
                <w:sz w:val="24"/>
                <w:szCs w:val="24"/>
                <w:color w:val="auto"/>
              </w:rPr>
            </w:pPr>
          </w:p>
        </w:tc>
        <w:tc>
          <w:tcPr>
            <w:tcW w:w="420" w:type="dxa"/>
            <w:vAlign w:val="bottom"/>
            <w:gridSpan w:val="2"/>
          </w:tcPr>
          <w:p>
            <w:pPr>
              <w:jc w:val="center"/>
              <w:ind w:left="250"/>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2.</w:t>
              </w:r>
            </w:hyperlink>
          </w:p>
        </w:tc>
        <w:tc>
          <w:tcPr>
            <w:tcW w:w="520" w:type="dxa"/>
            <w:vAlign w:val="bottom"/>
            <w:gridSpan w:val="2"/>
          </w:tcPr>
          <w:p>
            <w:pPr>
              <w:spacing w:after="0"/>
              <w:rPr>
                <w:sz w:val="24"/>
                <w:szCs w:val="24"/>
                <w:color w:val="auto"/>
              </w:rPr>
            </w:pPr>
          </w:p>
        </w:tc>
        <w:tc>
          <w:tcPr>
            <w:tcW w:w="966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2"/>
          </w:tcPr>
          <w:p>
            <w:pPr>
              <w:jc w:val="center"/>
              <w:ind w:left="150"/>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3.</w:t>
              </w:r>
            </w:hyperlink>
          </w:p>
        </w:tc>
        <w:tc>
          <w:tcPr>
            <w:tcW w:w="520" w:type="dxa"/>
            <w:vAlign w:val="bottom"/>
            <w:gridSpan w:val="2"/>
          </w:tcPr>
          <w:p>
            <w:pPr>
              <w:spacing w:after="0"/>
              <w:rPr>
                <w:sz w:val="24"/>
                <w:szCs w:val="24"/>
                <w:color w:val="auto"/>
              </w:rPr>
            </w:pPr>
          </w:p>
        </w:tc>
        <w:tc>
          <w:tcPr>
            <w:tcW w:w="9660" w:type="dxa"/>
            <w:vAlign w:val="bottom"/>
            <w:gridSpan w:val="1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Quantitative and Qualitative Disclosures about Market Risk</w:t>
              </w:r>
            </w:hyperlink>
          </w:p>
        </w:tc>
        <w:tc>
          <w:tcPr>
            <w:tcW w:w="420" w:type="dxa"/>
            <w:vAlign w:val="bottom"/>
            <w:gridSpan w:val="2"/>
          </w:tcPr>
          <w:p>
            <w:pPr>
              <w:jc w:val="center"/>
              <w:ind w:left="150"/>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32</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4.</w:t>
              </w:r>
            </w:hyperlink>
          </w:p>
        </w:tc>
        <w:tc>
          <w:tcPr>
            <w:tcW w:w="520" w:type="dxa"/>
            <w:vAlign w:val="bottom"/>
            <w:gridSpan w:val="2"/>
          </w:tcPr>
          <w:p>
            <w:pPr>
              <w:spacing w:after="0"/>
              <w:rPr>
                <w:sz w:val="24"/>
                <w:szCs w:val="24"/>
                <w:color w:val="auto"/>
              </w:rPr>
            </w:pPr>
          </w:p>
        </w:tc>
        <w:tc>
          <w:tcPr>
            <w:tcW w:w="9660" w:type="dxa"/>
            <w:vAlign w:val="bottom"/>
            <w:gridSpan w:val="1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Controls and Procedures</w:t>
              </w:r>
            </w:hyperlink>
          </w:p>
        </w:tc>
        <w:tc>
          <w:tcPr>
            <w:tcW w:w="420" w:type="dxa"/>
            <w:vAlign w:val="bottom"/>
            <w:gridSpan w:val="2"/>
          </w:tcPr>
          <w:p>
            <w:pPr>
              <w:jc w:val="center"/>
              <w:ind w:left="150"/>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32</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80" w:type="dxa"/>
            <w:vAlign w:val="bottom"/>
            <w:gridSpan w:val="8"/>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10700" w:type="dxa"/>
            <w:vAlign w:val="bottom"/>
            <w:gridSpan w:val="1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PART II - OTHER INFORMATION</w:t>
              </w:r>
            </w:hyperlink>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10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w:t>
              </w:r>
            </w:hyperlink>
          </w:p>
        </w:tc>
        <w:tc>
          <w:tcPr>
            <w:tcW w:w="16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8060" w:type="dxa"/>
            <w:vAlign w:val="bottom"/>
            <w:gridSpan w:val="9"/>
          </w:tcPr>
          <w:p>
            <w:pPr>
              <w:spacing w:after="0"/>
              <w:rPr>
                <w:sz w:val="24"/>
                <w:szCs w:val="24"/>
                <w:color w:val="auto"/>
              </w:rPr>
            </w:pPr>
          </w:p>
        </w:tc>
        <w:tc>
          <w:tcPr>
            <w:tcW w:w="420" w:type="dxa"/>
            <w:vAlign w:val="bottom"/>
            <w:gridSpan w:val="2"/>
          </w:tcPr>
          <w:p>
            <w:pPr>
              <w:jc w:val="center"/>
              <w:ind w:left="150"/>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34</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6.</w:t>
              </w:r>
            </w:hyperlink>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gridSpan w:val="1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Exhibits</w:t>
              </w:r>
            </w:hyperlink>
          </w:p>
        </w:tc>
        <w:tc>
          <w:tcPr>
            <w:tcW w:w="420" w:type="dxa"/>
            <w:vAlign w:val="bottom"/>
            <w:gridSpan w:val="2"/>
          </w:tcPr>
          <w:p>
            <w:pPr>
              <w:jc w:val="center"/>
              <w:ind w:left="150"/>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34</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60" w:type="dxa"/>
            <w:vAlign w:val="bottom"/>
            <w:gridSpan w:val="13"/>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10700" w:type="dxa"/>
            <w:vAlign w:val="bottom"/>
            <w:gridSpan w:val="18"/>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SIGNATURES</w:t>
              </w:r>
            </w:hyperlink>
          </w:p>
        </w:tc>
        <w:tc>
          <w:tcPr>
            <w:tcW w:w="420" w:type="dxa"/>
            <w:vAlign w:val="bottom"/>
            <w:gridSpan w:val="2"/>
          </w:tcPr>
          <w:p>
            <w:pPr>
              <w:jc w:val="center"/>
              <w:ind w:left="15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35</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HARVARD BIOSCIENCE, INC.</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55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5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$364 and $332, respectively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indefinite lived intangible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162,777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5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par value $0.01 per share, 80,000,000 shares authorized; 45,810,358 and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45,124,309 shares issued and 38,064,851 and 37,378,802 shares outstanding, respectively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Treasury stock at cost, 7,745,507 common shares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162,777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27,418</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28,635</w:t>
            </w: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85,204</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12,439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14,979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47,088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16,344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48,345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loss per common share from continuing operations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loss per common share from continuing operations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earnings per common share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qualifying as hedges, net of tax:</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(Loss) gain on derivative instruments designated and qualifying as cash</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flow hedges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to net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220" w:right="239" w:bottom="993"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993" w:gutter="0" w:footer="0" w:header="0"/>
          <w:type w:val="continuous"/>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gridSpan w:val="2"/>
          </w:tcPr>
          <w:p>
            <w:pPr>
              <w:spacing w:after="0"/>
              <w:rPr>
                <w:sz w:val="20"/>
                <w:szCs w:val="20"/>
                <w:color w:val="auto"/>
              </w:rPr>
            </w:pPr>
          </w:p>
        </w:tc>
        <w:tc>
          <w:tcPr>
            <w:tcW w:w="74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385"/>
        </w:trPr>
        <w:tc>
          <w:tcPr>
            <w:tcW w:w="3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 and 2018</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45,640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227,249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(122,506)</w:t>
            </w:r>
          </w:p>
        </w:tc>
        <w:tc>
          <w:tcPr>
            <w:tcW w:w="5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(14,181)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Shares issued under stock purchase plan</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228,177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(125,125)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2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44,102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221,910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(122,495)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(12,162)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(10,668)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Stock option exercises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225,530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(122,751)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54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 2019 and</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w w:val="72"/>
              </w:rPr>
              <w:t>2018</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45,124</w:t>
            </w:r>
          </w:p>
        </w:tc>
        <w:tc>
          <w:tcPr>
            <w:tcW w:w="80" w:type="dxa"/>
            <w:vAlign w:val="bottom"/>
          </w:tcPr>
          <w:p>
            <w:pPr>
              <w:spacing w:after="0"/>
              <w:rPr>
                <w:sz w:val="18"/>
                <w:szCs w:val="18"/>
                <w:color w:val="auto"/>
              </w:rPr>
            </w:pP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226,377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(119,889)</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(13,532)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exercises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Shares issued under stock purchase plan</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228,177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(125,125)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2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42,764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218,792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(116,967)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(10,676)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(10,668)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Stock option exercises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stock purchase plan</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Denville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allowance for doubtful accounts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charges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 inventories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(decrease) in accrued income taxes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Decrease in other long-term liabilities</w:t>
            </w:r>
          </w:p>
        </w:tc>
        <w:tc>
          <w:tcPr>
            <w:tcW w:w="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to catalog costs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Disposition, net of cash sold</w:t>
            </w:r>
          </w:p>
        </w:tc>
        <w:tc>
          <w:tcPr>
            <w:tcW w:w="7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taxes paid) net proceeds from issuance of common stock</w:t>
            </w:r>
          </w:p>
        </w:tc>
        <w:tc>
          <w:tcPr>
            <w:tcW w:w="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53,407</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860"/>
          </w:cols>
          <w:pgMar w:left="240" w:top="220" w:right="799" w:bottom="1440" w:gutter="0" w:footer="0" w:header="0"/>
        </w:sectPr>
      </w:pPr>
    </w:p>
    <w:p>
      <w:pPr>
        <w:ind w:left="58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-119380</wp:posOffset>
            </wp:positionV>
            <wp:extent cx="65176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(1,328)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928</w:t>
            </w: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5,733</w:t>
            </w:r>
          </w:p>
        </w:tc>
      </w:tr>
      <w:tr>
        <w:trPr>
          <w:trHeight w:val="223"/>
        </w:trPr>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6,845</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6,661</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160" w:space="720"/>
            <w:col w:w="2980"/>
          </w:cols>
          <w:pgMar w:left="240" w:top="220" w:right="799" w:bottom="1440" w:gutter="0" w:footer="0" w:header="0"/>
          <w:type w:val="continuous"/>
        </w:sectPr>
      </w:pPr>
    </w:p>
    <w:tbl>
      <w:tblPr>
        <w:tblLayout w:type="fixed"/>
        <w:tblInd w:w="580" w:type="dxa"/>
        <w:tblCellMar>
          <w:top w:w="0" w:type="dxa"/>
          <w:left w:w="0" w:type="dxa"/>
          <w:bottom w:w="0" w:type="dxa"/>
          <w:right w:w="0" w:type="dxa"/>
        </w:tblCellMar>
      </w:tblPr>
      <w:tr>
        <w:trPr>
          <w:trHeight w:val="196"/>
        </w:trPr>
        <w:tc>
          <w:tcPr>
            <w:tcW w:w="55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3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4,226</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3,509</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2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0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60"/>
          </w:cols>
          <w:pgMar w:left="240" w:top="220" w:right="799" w:bottom="1440" w:gutter="0" w:footer="0" w:header="0"/>
          <w:type w:val="continuous"/>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left="1100" w:hanging="1092"/>
        <w:spacing w:after="0"/>
        <w:tabs>
          <w:tab w:leader="none" w:pos="11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unaudited consolidated financial statements of Harvard Bioscience, Inc. and its wholly-owned subsidiaries (collectively, Harvard Bioscience or the Company) as of September 30, 2019 and for the three and nine months ended September 30, 2019 and 2018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2018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2018, which was filed with the SEC on March 18, 2019.</w:t>
      </w:r>
    </w:p>
    <w:p>
      <w:pPr>
        <w:spacing w:after="0" w:line="18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financial position as of September 30, 2019, results of operations and comprehensive income (loss) for the three and nine months ended September 30, 2019 and 2018 and cash flows for the nine months ended September 30, 2019 and 2018, as applicable, have been made. The results of operations for the three months ended September 30, 2019 are not necessarily indicative of the operating results for the full fiscal year or any future periods.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Prior Period Financial Statement Correction of Immaterial Error</w:t>
      </w:r>
    </w:p>
    <w:p>
      <w:pPr>
        <w:spacing w:after="0" w:line="229"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 xml:space="preserve">During the quarter ended March 31, 2019, the Company identified an immaterial misclassification error in the Company’s consolidated balance sheet as of December 31, 2018. The immaterial misclassification understated current portion, long term debt and overstated long term debt, less current installments. This misclassification, in the amount of approximately $4.0 million, related to the classification of the Company’s excess cash flow payment made to its lenders during the quarter ended March 31, 2019 as long term instead of current on its consolidated balance sheet at December 31, 2018. The misclassification had no impact on total reported debt. Refer to footnote 14 for further details. The Company assessed the materiality of this error on the financial statements for prior periods in accordance with the SEC Staff Accounting Bulletin (SAB)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codified in Accounting Standards Codification (ASC) 250,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and concluded that it was not material to any prior annual or interim periods. The Company recorded an adjustment to decrease long term debt, less current installments and increase current portion, long term debt in the consolidated balance sheet at December 31, 2018 with no impact on total reported debt.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As disclosed in Note 5, on January 22, 2018, the Company sold substantially all the assets of its operating subsidiary, Denville Scientific, Inc. (Denville). The sale of Denville represented a strategic shift that had a major effect on the Company’s operations and financial results. As such and pursuant to Accounting Standards Codification (ASC) 205-20 – </w:t>
      </w:r>
      <w:r>
        <w:rPr>
          <w:rFonts w:ascii="Times New Roman" w:cs="Times New Roman" w:eastAsia="Times New Roman" w:hAnsi="Times New Roman"/>
          <w:sz w:val="18"/>
          <w:szCs w:val="18"/>
          <w:i w:val="1"/>
          <w:iCs w:val="1"/>
          <w:color w:val="auto"/>
        </w:rPr>
        <w:t>Presentation of Financial Statements - Discontinued Operations,</w:t>
      </w:r>
      <w:r>
        <w:rPr>
          <w:rFonts w:ascii="Times New Roman" w:cs="Times New Roman" w:eastAsia="Times New Roman" w:hAnsi="Times New Roman"/>
          <w:sz w:val="18"/>
          <w:szCs w:val="18"/>
          <w:color w:val="auto"/>
        </w:rPr>
        <w:t xml:space="preserve"> the operating results of Denville for the three and nine months ended September 30, 2018 have been presented in discontinued operations in the consolidated statements of operations. These reclassifications and adjustments had no effect on total amounts within the consolidated balance sheets, consolidated statements of operations and comprehensive income (loss), consolidated statements of cash flows for any of the periods presented.</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2018, which was filed with the SEC on March 18, 2019. Except for the accounting for leases as noted below there have been no material changes in the Company’s significant accounting policies during the nine months ended September 30, 2019.</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to the Company to control the use of identified property, plant or equipment for period of time in exchange for consideration. Leases with an initial term of 12 months or less are not recorded on the balance sheet. The Company recognizes these lease expenses on a straight line basis over the lease term.</w:t>
      </w:r>
    </w:p>
    <w:p>
      <w:pPr>
        <w:spacing w:after="0" w:line="182"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operating lease ROU asset also includes any lease payments made and excludes lease incentives. Lease expense for lease payments is recognized on a straight-line basis over the lease term.</w:t>
      </w:r>
    </w:p>
    <w:p>
      <w:pPr>
        <w:spacing w:after="0" w:line="18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are generally accounted for separately. Additionally, for its leases, the Company applies a portfolio approach to effectively account for the operating lease ROU assets and liabilities.</w:t>
      </w:r>
    </w:p>
    <w:p>
      <w:pPr>
        <w:spacing w:after="0" w:line="158" w:lineRule="exact"/>
        <w:rPr>
          <w:sz w:val="20"/>
          <w:szCs w:val="20"/>
          <w:color w:val="auto"/>
        </w:rPr>
      </w:pPr>
    </w:p>
    <w:p>
      <w:pPr>
        <w:ind w:left="1100" w:hanging="1092"/>
        <w:spacing w:after="0"/>
        <w:tabs>
          <w:tab w:leader="none" w:pos="11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amends the impairment model by requiring entities to use a forward-looking approach based on expected losses rather than incurred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In May 2019, the FASB issued ASU No. 2019-05, </w:t>
      </w:r>
      <w:r>
        <w:rPr>
          <w:rFonts w:ascii="Times New Roman" w:cs="Times New Roman" w:eastAsia="Times New Roman" w:hAnsi="Times New Roman"/>
          <w:sz w:val="18"/>
          <w:szCs w:val="18"/>
          <w:i w:val="1"/>
          <w:iCs w:val="1"/>
          <w:color w:val="auto"/>
        </w:rPr>
        <w:t>Financial Instruments – Credit Losses (Topic 326): Targeted Transition Relief</w:t>
      </w:r>
      <w:r>
        <w:rPr>
          <w:rFonts w:ascii="Times New Roman" w:cs="Times New Roman" w:eastAsia="Times New Roman" w:hAnsi="Times New Roman"/>
          <w:sz w:val="18"/>
          <w:szCs w:val="18"/>
          <w:color w:val="auto"/>
        </w:rPr>
        <w:t>, which provided additional implementation guidance on the previously issued ASU. Management has not yet completed its assessment of the impact of the new standard on the Company’s Consolidated Financial Statements. Currently, the Company believes that the most notable impact of this ASU will relate to its processes around the assessment of the adequacy of its allowance for doubtful accounts on trade accounts receivable and the recognition of credit losses.</w:t>
      </w:r>
    </w:p>
    <w:p>
      <w:pPr>
        <w:spacing w:after="0" w:line="185"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Disclosure Framework—Changes to the Disclosure Requirements for Defined Benefit Plans</w:t>
      </w:r>
      <w:r>
        <w:rPr>
          <w:rFonts w:ascii="Times New Roman" w:cs="Times New Roman" w:eastAsia="Times New Roman" w:hAnsi="Times New Roman"/>
          <w:sz w:val="18"/>
          <w:szCs w:val="18"/>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Management has not yet completed its assessment of the impact of the new standard on the Company’s Consolidated Financial Statements.</w:t>
      </w:r>
    </w:p>
    <w:p>
      <w:pPr>
        <w:spacing w:after="0" w:line="180"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t xml:space="preserve">In April 2019, the FASB issued ASU No. 2019-04, Codification Improvements to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updates certain guidance previously issued in ASU No. 2017-12, </w:t>
      </w:r>
      <w:r>
        <w:rPr>
          <w:rFonts w:ascii="Times New Roman" w:cs="Times New Roman" w:eastAsia="Times New Roman" w:hAnsi="Times New Roman"/>
          <w:sz w:val="18"/>
          <w:szCs w:val="18"/>
          <w:i w:val="1"/>
          <w:iCs w:val="1"/>
          <w:color w:val="auto"/>
        </w:rPr>
        <w:t>Derivatives and Hedging (Topic 815)</w:t>
      </w:r>
      <w:r>
        <w:rPr>
          <w:rFonts w:ascii="Times New Roman" w:cs="Times New Roman" w:eastAsia="Times New Roman" w:hAnsi="Times New Roman"/>
          <w:sz w:val="18"/>
          <w:szCs w:val="18"/>
          <w:color w:val="auto"/>
        </w:rPr>
        <w:t>. The ASU is effective as of January 1, 2020, which is the beginning of the first annual period beginning after the issuance of the ASU for public entities that have adopted ASU No. 2017-12. Entities may elect either to retrospectively apply all amendments in the ASU or to prospectively apply all amendments as of the date of adoption of the ASU. Management has not yet completed its assessment of the impact of the new standard on the Company’s Consolidated Financial Statements.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August 2017, the FASB issued ASU No. 2017-12, </w:t>
      </w:r>
      <w:r>
        <w:rPr>
          <w:rFonts w:ascii="Times New Roman" w:cs="Times New Roman" w:eastAsia="Times New Roman" w:hAnsi="Times New Roman"/>
          <w:sz w:val="18"/>
          <w:szCs w:val="18"/>
          <w:i w:val="1"/>
          <w:iCs w:val="1"/>
          <w:color w:val="auto"/>
        </w:rPr>
        <w:t>Derivatives and Hedging (Topic 815)</w:t>
      </w:r>
      <w:r>
        <w:rPr>
          <w:rFonts w:ascii="Times New Roman" w:cs="Times New Roman" w:eastAsia="Times New Roman" w:hAnsi="Times New Roman"/>
          <w:sz w:val="18"/>
          <w:szCs w:val="18"/>
          <w:color w:val="auto"/>
        </w:rPr>
        <w:t xml:space="preserve"> which amends the hedge accounting recognition and presentation requirements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The Company adopted this guidance as of January 1, 2019, and it did not have a material impact on its consolidated financial position, results of operations and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3"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is intended to improve financial reporting about leasing transactions. The update requires a lessee to record on its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The Company elected to utilize a practical expedient in its method of adoption of the standard and adopted the guidance as of January 1, 2019. Under this expedient, which is a “current-period adjustment method,” the Company applied ASC 842 as of January 2019 and recognized operating lease liabilities of $11.7 million and right of use assets of $9.4 million for all leases with lease terms of more than 12 months. There was no impact to retained earnings as of that date. In addition, the Company adopted the guidance by electing the following practical expedients: (1) the Company did not reassess whether any expired or existing contracts contained leases, (2) the Company did not reassess the lease classification for any expired or existing leases, and (3) the Company excluded variable payments from the lease contract consideration and recorded those as incurred. The Company’s future commitments under lease obligations and additional disclosures are summarized in Note 12.</w:t>
      </w:r>
    </w:p>
    <w:p>
      <w:pPr>
        <w:spacing w:after="0" w:line="191" w:lineRule="exact"/>
        <w:rPr>
          <w:sz w:val="20"/>
          <w:szCs w:val="20"/>
          <w:color w:val="auto"/>
        </w:rPr>
      </w:pPr>
    </w:p>
    <w:p>
      <w:pPr>
        <w:ind w:left="1100" w:hanging="1092"/>
        <w:spacing w:after="0"/>
        <w:tabs>
          <w:tab w:leader="none" w:pos="11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Amounts included in accumulated other comprehensive loss, net of tax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gridSpan w:val="4"/>
          </w:tcPr>
          <w:p>
            <w:pPr>
              <w:jc w:val="right"/>
              <w:ind w:right="119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7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60" w:type="dxa"/>
            <w:vAlign w:val="bottom"/>
          </w:tcPr>
          <w:p>
            <w:pPr>
              <w:spacing w:after="0" w:line="20" w:lineRule="exact"/>
              <w:rPr>
                <w:sz w:val="1"/>
                <w:szCs w:val="1"/>
                <w:color w:val="auto"/>
              </w:rPr>
            </w:pPr>
          </w:p>
        </w:tc>
        <w:tc>
          <w:tcPr>
            <w:tcW w:w="36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On January 31, 2018, the Company acquired all of the issued and outstanding shares of Data Sciences International, Inc. (DSI), a Delaware corporation, for approximately $71.1 million. The Company funded the acquisition from its existing cash balances, excess proceeds from the Denville Transaction discussed in Note 5, and proceeds from the Financing Agreement discussed in Note 14.</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the Company’s customer base into the biopharmaceutical and contract research organization markets.</w:t>
      </w:r>
    </w:p>
    <w:p>
      <w:pPr>
        <w:spacing w:after="0" w:line="180"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results of operations for DSI have been included in the Company’s consolidated financial statements from the date of acquisition. Included in the net loss for the nine months ended September 30, 2018 was a $3.8 million charge recognized in cost of revenues related to purchase accounting inventory fair value step up amortization. The total inventory fair value step up was recognized into cost of revenues over one inventory turn, or approximately five and a half months. Also included in the net loss of DSI for that period was $2.9 million of intangible asset amortization expense.</w:t>
      </w:r>
    </w:p>
    <w:p>
      <w:pPr>
        <w:spacing w:after="0" w:line="18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following consolidated pro forma information is based on the assumption that was used at the time of the acquisition of DSI. Accordingly, the historical results have been adjusted to reflect amortization expense, interest expense and other purchase accounting adjustments that would have been recognized on such a pro forma basis. The pro forma information is presented for comparative purposes only and is not necessarily indicative of the financial position or results of operations which would have been reported had the Company completed the acquisition during these periods or which might be reported in the future.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3"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11150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90,384</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198"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Direct acquisition costs recorded in other expense, net in the Company’s consolidated statements of operations were $3.0 million for the nine months ended September 30, 2018.</w:t>
      </w:r>
    </w:p>
    <w:p>
      <w:pPr>
        <w:spacing w:after="0" w:line="158" w:lineRule="exact"/>
        <w:rPr>
          <w:sz w:val="20"/>
          <w:szCs w:val="20"/>
          <w:color w:val="auto"/>
        </w:rPr>
      </w:pPr>
    </w:p>
    <w:p>
      <w:pPr>
        <w:ind w:left="1100" w:hanging="1092"/>
        <w:spacing w:after="0"/>
        <w:tabs>
          <w:tab w:leader="none" w:pos="11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On January 22, 2018, the Company sold substantially all the assets of its wholly owned subsidiary, Denville, for approximately $20.0 million, which included a $3.0 million earn-out provision (the Denville Transaction). Upon the closing of the transaction, the Company received $15.7 million. The earn-out provision represented contingent consideration of up to $2.0 million based on Denville achieving certain performance metrics with respect to 2018 operating results and up to $1.0 million based on Denville achieving certain performance metrics with respect to 2019 operating results. During the nine-months ended September 30, 2019, it was determined that the 2018 performance metrics were not achieved.</w:t>
      </w:r>
    </w:p>
    <w:p>
      <w:pPr>
        <w:spacing w:after="0" w:line="184"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major line items of income from discontinued operations presented within the Company’s consolidated statements of operations for the nine months ended September 30, 2018.</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and other expenses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received a release of an escrow amount of $1.0 million related to the Denville Transaction, which is included in the investing cash flows for disposition in the Company’s consolidated statements of cash flows for the nine months ended September 30, 2019. Total operating cash flows for Denville in the Company’s consolidated statements of cash flows for the nine months ended September 30, 2018, were immaterial.</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220" w:right="31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1100" w:hanging="1092"/>
        <w:spacing w:after="0"/>
        <w:tabs>
          <w:tab w:leader="none" w:pos="1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Amortizable Intangible Assets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Amortizable intangible assets consist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7"/>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7"/>
              </w:rPr>
              <w:t>Accumulated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78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Average Life*</w:t>
            </w:r>
          </w:p>
        </w:tc>
        <w:tc>
          <w:tcPr>
            <w:tcW w:w="1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Gross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Amortization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agreements/customer relationships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13,148</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technology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R&amp;D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44,532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Weighted average life as of September 30, 2019.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 amortization expense from continuing operations was $1.4 million and $1.5 million for each of the three months ended September 30,</w:t>
      </w:r>
    </w:p>
    <w:p>
      <w:pPr>
        <w:spacing w:after="0" w:line="27" w:lineRule="exact"/>
        <w:rPr>
          <w:sz w:val="20"/>
          <w:szCs w:val="20"/>
          <w:color w:val="auto"/>
        </w:rPr>
      </w:pPr>
    </w:p>
    <w:p>
      <w:pPr>
        <w:jc w:val="both"/>
        <w:ind w:right="480"/>
        <w:spacing w:after="0" w:line="254" w:lineRule="auto"/>
        <w:rPr>
          <w:sz w:val="20"/>
          <w:szCs w:val="20"/>
          <w:color w:val="auto"/>
        </w:rPr>
      </w:pPr>
      <w:r>
        <w:rPr>
          <w:rFonts w:ascii="Times New Roman" w:cs="Times New Roman" w:eastAsia="Times New Roman" w:hAnsi="Times New Roman"/>
          <w:sz w:val="18"/>
          <w:szCs w:val="18"/>
          <w:color w:val="auto"/>
        </w:rPr>
        <w:t>2019 and 2018, and was $4.3 million and $4.0 million for the nine months ended September 30, 2019 and 2018, respectively. Amortization expense of existing amortizable intangible assets is currently estimated to be $5.6 million for the year ending December 31, 2019, $5.5 million for the year ending December 31, 2020, $5.5 million for the year ending December 31, 2021, $5.4 million for the year ending December 31, 2022, $5.3 million for the year ending December 31, 2023, and $5.2 million for the year ending December 31, 2024.</w:t>
      </w:r>
    </w:p>
    <w:p>
      <w:pPr>
        <w:spacing w:after="0" w:line="186"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2019, and as a result of the ongoing evaluation of its capitalized research and development activities, the Company recorded an impairment charge of $0.9 million related to certain of its in-process research and development intangible assets and reclassified $0.4 million as completed technology.</w:t>
      </w:r>
    </w:p>
    <w:p>
      <w:pPr>
        <w:spacing w:after="0" w:line="176"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the Company recorded an impairment charge of $0.5 million related to customer relationships, existing technology, and trade names intangible assets as a result of the decision to discontinue one of the Company’s product lines and cease operations in its facility in North Carolina.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impairment charges recognized during the three and nine months ended September 30, 2018.</w:t>
      </w:r>
    </w:p>
    <w:p>
      <w:pPr>
        <w:sectPr>
          <w:pgSz w:w="11900" w:h="16838" w:orient="portrait"/>
          <w:cols w:equalWidth="0" w:num="1">
            <w:col w:w="11420"/>
          </w:cols>
          <w:pgMar w:left="240" w:top="220" w:right="239" w:bottom="1440" w:gutter="0" w:footer="0" w:header="0"/>
        </w:sectPr>
      </w:pPr>
    </w:p>
    <w:p>
      <w:pPr>
        <w:spacing w:after="0" w:line="221" w:lineRule="exact"/>
        <w:rPr>
          <w:sz w:val="20"/>
          <w:szCs w:val="20"/>
          <w:color w:val="auto"/>
        </w:rPr>
      </w:pPr>
    </w:p>
    <w:p>
      <w:pPr>
        <w:ind w:left="1100" w:hanging="1092"/>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Finished goods</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color w:val="auto"/>
        </w:rPr>
        <w:t>Work in process</w:t>
      </w:r>
    </w:p>
    <w:p>
      <w:pPr>
        <w:spacing w:after="0" w:line="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Raw materials</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5"/>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25,087</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-599440</wp:posOffset>
            </wp:positionV>
            <wp:extent cx="361886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-325120</wp:posOffset>
            </wp:positionV>
            <wp:extent cx="361886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220" w:right="239" w:bottom="1440" w:gutter="0" w:footer="0" w:header="0"/>
          <w:type w:val="continuous"/>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8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3"/>
        </w:trPr>
        <w:tc>
          <w:tcPr>
            <w:tcW w:w="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0"/>
        </w:trPr>
        <w:tc>
          <w:tcPr>
            <w:tcW w:w="4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4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r>
      <w:tr>
        <w:trPr>
          <w:trHeight w:val="23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w:t>
            </w: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0"/>
        </w:trPr>
        <w:tc>
          <w:tcPr>
            <w:tcW w:w="4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removed approximately $3.5 million of fully depreciated and disposed of property and equipment from its fixed asset records.</w:t>
      </w:r>
    </w:p>
    <w:p>
      <w:pPr>
        <w:spacing w:after="0" w:line="158" w:lineRule="exact"/>
        <w:rPr>
          <w:sz w:val="20"/>
          <w:szCs w:val="20"/>
          <w:color w:val="auto"/>
        </w:rPr>
      </w:pPr>
    </w:p>
    <w:p>
      <w:pPr>
        <w:ind w:left="1100" w:hanging="1092"/>
        <w:spacing w:after="0"/>
        <w:tabs>
          <w:tab w:leader="none" w:pos="11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Exit Costs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2019, the Company recorded restructuring charges of $0.9 million as a result of the decision to discontinue one of the Company’s product lines and cease operations in its facility in North Carolina.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accrued restructuring liability for the three months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Cost of</w:t>
            </w: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4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Of the $0.9 million restructuring costs incurred during the three months ended September 30, 2019, $0.5 million has been recorded as impairment of intangible assets in the accompanying consolidated statements of operations and comprehensive income (loss) and the remaining costs of $0.4 million have been included as a component of selling, general and administrative expenses. As of September 30, 2019, the Company had a restructuring liability of $0.2 million which is payable within the next twelve months.</w:t>
      </w:r>
    </w:p>
    <w:p>
      <w:pPr>
        <w:spacing w:after="0" w:line="176" w:lineRule="exact"/>
        <w:rPr>
          <w:sz w:val="20"/>
          <w:szCs w:val="20"/>
          <w:color w:val="auto"/>
        </w:rPr>
      </w:pPr>
    </w:p>
    <w:p>
      <w:pPr>
        <w:ind w:left="1100" w:hanging="1092"/>
        <w:spacing w:after="0"/>
        <w:tabs>
          <w:tab w:leader="none" w:pos="11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part of the acquisitions of Multi Channel Systems MCS GmbH (MCS) and Triangle BioSystems, Inc. (TBSI) in 2014, the Company signed lease agreements with the former owners of these acquired companies. The principals of such former owners of MCS and TBSI were employees of the Company as of September 30, 2019 and 2018. Pursuant to these lease agreements, the Company made rent payments of approximately $0.1 million for the three months ended September 30, 2019 and 2018, and approximately $0.3 million for the nine months ended September 30, 2019 and 2018,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1100" w:hanging="1092"/>
        <w:spacing w:after="0"/>
        <w:tabs>
          <w:tab w:leader="none" w:pos="11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Company’s subsidiary in the United Kingdom, Biochrom Limited, maintains contributory, defined benefit pension plans for substantially all of its employees. These defined benefit pension plans have been closed to new employees since 2014, as well as closed to the future accrual of benefits for existing employees. The components of the Company’s defined benefit pension expense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3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5"/>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Pr>
          <w:p>
            <w:pPr>
              <w:spacing w:after="0"/>
              <w:rPr>
                <w:sz w:val="19"/>
                <w:szCs w:val="19"/>
                <w:color w:val="auto"/>
              </w:rPr>
            </w:pPr>
          </w:p>
        </w:tc>
      </w:tr>
      <w:tr>
        <w:trPr>
          <w:trHeight w:val="238"/>
        </w:trPr>
        <w:tc>
          <w:tcPr>
            <w:tcW w:w="5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6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w w:val="97"/>
              </w:rPr>
              <w:t>(in 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96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900" w:type="dxa"/>
            <w:vAlign w:val="bottom"/>
            <w:gridSpan w:val="2"/>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loss</w:t>
            </w:r>
          </w:p>
        </w:tc>
        <w:tc>
          <w:tcPr>
            <w:tcW w:w="88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8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and 2018, the Company contributed $0.6 million and $0.5 million, respectively to its defined benefit pension plans. The Company expects to contribute approximately $0.1 million to its defined benefit pension plans during the remainder of 2019. The Company had an underfunded pension liability of approximately $0.9 million as of December 31, 2018 included in the other long term liabilities line item in the consolidated balance sheets.</w:t>
      </w:r>
    </w:p>
    <w:p>
      <w:pPr>
        <w:spacing w:after="0" w:line="176" w:lineRule="exact"/>
        <w:rPr>
          <w:sz w:val="20"/>
          <w:szCs w:val="20"/>
          <w:color w:val="auto"/>
        </w:rPr>
      </w:pPr>
    </w:p>
    <w:p>
      <w:pPr>
        <w:ind w:left="1100" w:hanging="1092"/>
        <w:spacing w:after="0"/>
        <w:tabs>
          <w:tab w:leader="none" w:pos="11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 has noncancelable operating leases for office, manufacturing facilities, warehouse space, automobiles and equipment expiring at various dates through 2024 and thereafter. As discussed in Footnote 1, the Company adopted ASC 842 as of January 1, 2019, using a current period adjustment method. In accordance with this method, the Company recognized a right of use asset of $9.4 million and an operating lease liability of $11.7 million as of January 1, 2019. As a result of using the current period adjustment method, the lease expense for nine months ended September 30, 2019 and 2018 was recognized under ASC 842, and ASC 840, the previous standard,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2019 are as follows: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left="-49"/>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left="-49"/>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left="-49"/>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jc w:val="center"/>
        <w:ind w:left="-49"/>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9"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95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 w:lineRule="exact"/>
        <w:rPr>
          <w:sz w:val="20"/>
          <w:szCs w:val="20"/>
          <w:color w:val="auto"/>
        </w:rPr>
      </w:pPr>
    </w:p>
    <w:p>
      <w:pPr>
        <w:ind w:left="1210" w:hanging="1210"/>
        <w:spacing w:after="0"/>
        <w:tabs>
          <w:tab w:leader="none" w:pos="12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523</w:t>
      </w:r>
    </w:p>
    <w:p>
      <w:pPr>
        <w:spacing w:after="0" w:line="9" w:lineRule="exact"/>
        <w:rPr>
          <w:rFonts w:ascii="Times New Roman" w:cs="Times New Roman" w:eastAsia="Times New Roman" w:hAnsi="Times New Roman"/>
          <w:sz w:val="18"/>
          <w:szCs w:val="18"/>
          <w:color w:val="auto"/>
        </w:rPr>
      </w:pPr>
    </w:p>
    <w:p>
      <w:pPr>
        <w:ind w:left="13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-267970</wp:posOffset>
            </wp:positionV>
            <wp:extent cx="57975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-130810</wp:posOffset>
            </wp:positionV>
            <wp:extent cx="579755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1" w:lineRule="exact"/>
        <w:rPr>
          <w:sz w:val="20"/>
          <w:szCs w:val="20"/>
          <w:color w:val="auto"/>
        </w:rPr>
      </w:pPr>
    </w:p>
    <w:p>
      <w:pPr>
        <w:ind w:left="1210" w:hanging="1210"/>
        <w:spacing w:after="0"/>
        <w:tabs>
          <w:tab w:leader="none" w:pos="12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950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950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258"/>
        <w:spacing w:after="0"/>
        <w:rPr>
          <w:sz w:val="20"/>
          <w:szCs w:val="20"/>
          <w:color w:val="auto"/>
        </w:rPr>
      </w:pPr>
      <w:r>
        <w:rPr>
          <w:rFonts w:ascii="Times New Roman" w:cs="Times New Roman" w:eastAsia="Times New Roman" w:hAnsi="Times New Roman"/>
          <w:sz w:val="18"/>
          <w:szCs w:val="18"/>
          <w:b w:val="1"/>
          <w:bCs w:val="1"/>
          <w:color w:val="auto"/>
        </w:rPr>
        <w:t>Nine Months</w:t>
      </w:r>
    </w:p>
    <w:p>
      <w:pPr>
        <w:spacing w:after="0" w:line="31" w:lineRule="exact"/>
        <w:rPr>
          <w:sz w:val="20"/>
          <w:szCs w:val="20"/>
          <w:color w:val="auto"/>
        </w:rPr>
      </w:pPr>
    </w:p>
    <w:p>
      <w:pPr>
        <w:jc w:val="center"/>
        <w:ind w:right="2258"/>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2258"/>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jc w:val="center"/>
        <w:ind w:right="2258"/>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9" w:lineRule="exact"/>
        <w:rPr>
          <w:sz w:val="20"/>
          <w:szCs w:val="20"/>
          <w:color w:val="auto"/>
        </w:rPr>
      </w:pPr>
    </w:p>
    <w:p>
      <w:pPr>
        <w:ind w:left="262"/>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77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 w:lineRule="exact"/>
        <w:rPr>
          <w:sz w:val="20"/>
          <w:szCs w:val="20"/>
          <w:color w:val="auto"/>
        </w:rPr>
      </w:pPr>
    </w:p>
    <w:p>
      <w:pPr>
        <w:ind w:left="1062" w:hanging="1062"/>
        <w:spacing w:after="0"/>
        <w:tabs>
          <w:tab w:leader="none" w:pos="10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1,561</w:t>
      </w:r>
    </w:p>
    <w:p>
      <w:pPr>
        <w:spacing w:after="0" w:line="9" w:lineRule="exact"/>
        <w:rPr>
          <w:rFonts w:ascii="Times New Roman" w:cs="Times New Roman" w:eastAsia="Times New Roman" w:hAnsi="Times New Roman"/>
          <w:sz w:val="18"/>
          <w:szCs w:val="18"/>
          <w:color w:val="auto"/>
        </w:rPr>
      </w:pPr>
    </w:p>
    <w:p>
      <w:pPr>
        <w:ind w:left="11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w:t>
      </w:r>
    </w:p>
    <w:p>
      <w:pPr>
        <w:spacing w:after="0" w:line="9"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77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1" w:lineRule="exact"/>
        <w:rPr>
          <w:sz w:val="20"/>
          <w:szCs w:val="20"/>
          <w:color w:val="auto"/>
        </w:rPr>
      </w:pPr>
    </w:p>
    <w:p>
      <w:pPr>
        <w:ind w:left="1062" w:hanging="1062"/>
        <w:spacing w:after="0"/>
        <w:tabs>
          <w:tab w:leader="none" w:pos="10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77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77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230" w:space="720"/>
            <w:col w:w="1550" w:space="98"/>
            <w:col w:w="3822"/>
          </w:cols>
          <w:pgMar w:left="240" w:top="220" w:right="2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ectPr>
          <w:pgSz w:w="11900" w:h="16838" w:orient="portrait"/>
          <w:cols w:equalWidth="0" w:num="1">
            <w:col w:w="11420"/>
          </w:cols>
          <w:pgMar w:left="240" w:top="22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0685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0685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long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6857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0685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center"/>
        <w:ind w:right="341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31" w:lineRule="exact"/>
        <w:rPr>
          <w:sz w:val="20"/>
          <w:szCs w:val="20"/>
          <w:color w:val="auto"/>
        </w:rPr>
      </w:pPr>
    </w:p>
    <w:p>
      <w:pPr>
        <w:jc w:val="center"/>
        <w:ind w:right="3419"/>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174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 w:lineRule="exact"/>
        <w:rPr>
          <w:sz w:val="20"/>
          <w:szCs w:val="20"/>
          <w:color w:val="auto"/>
        </w:rPr>
      </w:pPr>
    </w:p>
    <w:p>
      <w:pPr>
        <w:ind w:left="1281" w:hanging="1281"/>
        <w:spacing w:after="0"/>
        <w:tabs>
          <w:tab w:leader="none" w:pos="12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8,497</w:t>
      </w:r>
    </w:p>
    <w:p>
      <w:pPr>
        <w:spacing w:after="0" w:line="207" w:lineRule="exact"/>
        <w:rPr>
          <w:sz w:val="20"/>
          <w:szCs w:val="20"/>
          <w:color w:val="auto"/>
        </w:rPr>
      </w:pPr>
    </w:p>
    <w:p>
      <w:pPr>
        <w:ind w:left="1281" w:hanging="1281"/>
        <w:spacing w:after="0"/>
        <w:tabs>
          <w:tab w:leader="none" w:pos="12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2,424</w:t>
      </w:r>
    </w:p>
    <w:p>
      <w:pPr>
        <w:spacing w:after="0" w:line="27" w:lineRule="exact"/>
        <w:rPr>
          <w:rFonts w:ascii="Times New Roman" w:cs="Times New Roman" w:eastAsia="Times New Roman" w:hAnsi="Times New Roman"/>
          <w:sz w:val="18"/>
          <w:szCs w:val="18"/>
          <w:color w:val="auto"/>
        </w:rPr>
      </w:pPr>
    </w:p>
    <w:p>
      <w:pPr>
        <w:ind w:left="12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8,342</w:t>
      </w:r>
    </w:p>
    <w:p>
      <w:pPr>
        <w:spacing w:after="0" w:line="31" w:lineRule="exact"/>
        <w:rPr>
          <w:sz w:val="20"/>
          <w:szCs w:val="20"/>
          <w:color w:val="auto"/>
        </w:rPr>
      </w:pPr>
    </w:p>
    <w:p>
      <w:pPr>
        <w:ind w:left="1201" w:hanging="1201"/>
        <w:spacing w:after="0"/>
        <w:tabs>
          <w:tab w:leader="none" w:pos="1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174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46" w:lineRule="exact"/>
        <w:rPr>
          <w:sz w:val="20"/>
          <w:szCs w:val="20"/>
          <w:color w:val="auto"/>
        </w:rPr>
      </w:pPr>
    </w:p>
    <w:p>
      <w:pPr>
        <w:ind w:left="1461"/>
        <w:spacing w:after="0"/>
        <w:rPr>
          <w:sz w:val="20"/>
          <w:szCs w:val="20"/>
          <w:color w:val="auto"/>
        </w:rPr>
      </w:pPr>
      <w:r>
        <w:rPr>
          <w:rFonts w:ascii="Times New Roman" w:cs="Times New Roman" w:eastAsia="Times New Roman" w:hAnsi="Times New Roman"/>
          <w:sz w:val="18"/>
          <w:szCs w:val="18"/>
          <w:color w:val="auto"/>
        </w:rPr>
        <w:t>8.4</w:t>
      </w:r>
    </w:p>
    <w:p>
      <w:pPr>
        <w:spacing w:after="0" w:line="27" w:lineRule="exact"/>
        <w:rPr>
          <w:sz w:val="20"/>
          <w:szCs w:val="20"/>
          <w:color w:val="auto"/>
        </w:rPr>
      </w:pPr>
    </w:p>
    <w:p>
      <w:pPr>
        <w:ind w:left="1461"/>
        <w:spacing w:after="0"/>
        <w:rPr>
          <w:sz w:val="20"/>
          <w:szCs w:val="20"/>
          <w:color w:val="auto"/>
        </w:rPr>
      </w:pPr>
      <w:r>
        <w:rPr>
          <w:rFonts w:ascii="Times New Roman" w:cs="Times New Roman" w:eastAsia="Times New Roman" w:hAnsi="Times New Roman"/>
          <w:sz w:val="18"/>
          <w:szCs w:val="18"/>
          <w:color w:val="auto"/>
        </w:rPr>
        <w:t>9.2%</w:t>
      </w:r>
    </w:p>
    <w:p>
      <w:pPr>
        <w:spacing w:after="0" w:line="200" w:lineRule="exact"/>
        <w:rPr>
          <w:sz w:val="20"/>
          <w:szCs w:val="20"/>
          <w:color w:val="auto"/>
        </w:rPr>
      </w:pPr>
    </w:p>
    <w:p>
      <w:pPr>
        <w:sectPr>
          <w:pgSz w:w="11900" w:h="16838" w:orient="portrait"/>
          <w:cols w:equalWidth="0" w:num="2">
            <w:col w:w="5419" w:space="720"/>
            <w:col w:w="5281"/>
          </w:cols>
          <w:pgMar w:left="240" w:top="220" w:right="2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or remaining terms in excess of one year at September 30,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89"/>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4560" w:type="dxa"/>
            <w:vAlign w:val="bottom"/>
          </w:tcPr>
          <w:p>
            <w:pPr>
              <w:spacing w:after="0"/>
              <w:rPr>
                <w:sz w:val="19"/>
                <w:szCs w:val="19"/>
                <w:color w:val="auto"/>
              </w:rPr>
            </w:pPr>
          </w:p>
        </w:tc>
      </w:tr>
      <w:tr>
        <w:trPr>
          <w:trHeight w:val="238"/>
        </w:trPr>
        <w:tc>
          <w:tcPr>
            <w:tcW w:w="5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456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89"/>
              <w:spacing w:after="0"/>
              <w:rPr>
                <w:sz w:val="20"/>
                <w:szCs w:val="20"/>
                <w:color w:val="auto"/>
              </w:rPr>
            </w:pPr>
            <w:r>
              <w:rPr>
                <w:rFonts w:ascii="Times New Roman" w:cs="Times New Roman" w:eastAsia="Times New Roman" w:hAnsi="Times New Roman"/>
                <w:sz w:val="18"/>
                <w:szCs w:val="18"/>
                <w:color w:val="auto"/>
                <w:w w:val="99"/>
              </w:rPr>
              <w:t>(in thousands)</w:t>
            </w: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45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45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560" w:type="dxa"/>
            <w:vAlign w:val="bottom"/>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4560" w:type="dxa"/>
            <w:vAlign w:val="bottom"/>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4560" w:type="dxa"/>
            <w:vAlign w:val="bottom"/>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4560" w:type="dxa"/>
            <w:vAlign w:val="bottom"/>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456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949"/>
              <w:spacing w:after="0"/>
              <w:rPr>
                <w:sz w:val="20"/>
                <w:szCs w:val="20"/>
                <w:color w:val="auto"/>
              </w:rPr>
            </w:pPr>
            <w:r>
              <w:rPr>
                <w:rFonts w:ascii="Times New Roman" w:cs="Times New Roman" w:eastAsia="Times New Roman" w:hAnsi="Times New Roman"/>
                <w:sz w:val="22"/>
                <w:szCs w:val="22"/>
                <w:color w:val="auto"/>
              </w:rPr>
              <w:t>14</w:t>
            </w:r>
          </w:p>
        </w:tc>
        <w:tc>
          <w:tcPr>
            <w:tcW w:w="4560" w:type="dxa"/>
            <w:vAlign w:val="bottom"/>
          </w:tcPr>
          <w:p>
            <w:pPr>
              <w:spacing w:after="0"/>
              <w:rPr>
                <w:sz w:val="24"/>
                <w:szCs w:val="24"/>
                <w:color w:val="auto"/>
              </w:rPr>
            </w:pPr>
          </w:p>
        </w:tc>
      </w:tr>
      <w:tr>
        <w:trPr>
          <w:trHeight w:val="68"/>
        </w:trPr>
        <w:tc>
          <w:tcPr>
            <w:tcW w:w="53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0" w:right="239" w:bottom="1440" w:gutter="0" w:footer="0" w:header="0"/>
          <w:type w:val="continuous"/>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1100" w:hanging="1092"/>
        <w:spacing w:after="0"/>
        <w:tabs>
          <w:tab w:leader="none" w:pos="11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Stock-Based Payment Awards</w:t>
      </w:r>
    </w:p>
    <w:p>
      <w:pPr>
        <w:spacing w:after="0" w:line="22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 based awards as they occur, with no adjustment for estimated forfeitures.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 option and restricted stock unit activity for the nine months ended September 30, 2019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9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8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Market Condition RSU's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Condition RSU's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1,956,732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1,233,762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116,944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1,472,884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 (RSUs)</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 / 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2,141,835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1,447,128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466,113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441"/>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Market Condition RSUs and the ESPP for the three and nine months ended September 30, 2019 and 2018 was allocated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9"/>
                <w:szCs w:val="19"/>
                <w:color w:val="auto"/>
              </w:rPr>
            </w:pPr>
          </w:p>
        </w:tc>
        <w:tc>
          <w:tcPr>
            <w:tcW w:w="20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895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987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did not capitalize any stock-based compensation.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Effect of assumed conversion of employee and director stock options, restricted stock units and Market Condition RSUs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0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426"/>
        </w:trPr>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38,036,261</w:t>
            </w:r>
          </w:p>
        </w:tc>
        <w:tc>
          <w:tcPr>
            <w:tcW w:w="1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36,947,052</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37,764,489</w:t>
            </w:r>
          </w:p>
        </w:tc>
        <w:tc>
          <w:tcPr>
            <w:tcW w:w="10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36,169,536</w:t>
            </w:r>
          </w:p>
        </w:tc>
      </w:tr>
      <w:tr>
        <w:trPr>
          <w:trHeight w:val="446"/>
        </w:trPr>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38,036,261</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36,947,052</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37,764,489</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36,169,536</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-599440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40" w:space="580"/>
            <w:col w:w="5800"/>
          </w:cols>
          <w:pgMar w:left="240" w:top="220" w:right="239" w:bottom="1440" w:gutter="0" w:footer="0" w:header="0"/>
          <w:type w:val="continuous"/>
        </w:sect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Excluded from the shares used in calculating the diluted earnings per common share in the above table are options, restricted stock units and Market Condition RSUs of approximately 4,055,076 and 3,286,853 shares of common stock for the nine months ended September 30, 2019 and 2018, respectively, as the impact of these shares would be anti-dilutive.</w:t>
      </w:r>
    </w:p>
    <w:p>
      <w:pPr>
        <w:spacing w:after="0" w:line="172" w:lineRule="exact"/>
        <w:rPr>
          <w:sz w:val="20"/>
          <w:szCs w:val="20"/>
          <w:color w:val="auto"/>
        </w:rPr>
      </w:pPr>
    </w:p>
    <w:p>
      <w:pPr>
        <w:ind w:left="1100" w:hanging="1092"/>
        <w:spacing w:after="0"/>
        <w:tabs>
          <w:tab w:leader="none" w:pos="11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 Term Debt</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On January 22, 2018, in connection with the closing of the Denville Transaction, the Company terminated the Third Amended and Restated Credit Agreement (the Credit Agreement), among the Company, Brown Brothers Harriman &amp; Co. and each of the other lenders party thereto, and Bank of America, as administrative agent. All outstanding amounts under the agreement were repaid in full using a portion of the proceeds of the Denville Transaction. At the time of repayment, there was approximately $11.9 million outstanding.</w:t>
      </w:r>
    </w:p>
    <w:p>
      <w:pPr>
        <w:spacing w:after="0" w:line="18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January 31, 2018, the Company entered into a financing agreement by and among the Company and certain subsidiaries of the Company parties thereto, as borrowers (collectively, the Borrower), certain subsidiaries of the Company parties thereto, as guarantors, various lenders from time to time party thereto (the Lenders), and Cerberus Business Finance, LLC, as collateral agent and administrative agent for the Lenders (the Financing Agreement).</w:t>
      </w:r>
    </w:p>
    <w:p>
      <w:pPr>
        <w:spacing w:after="0" w:line="17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On August 16, 2018, the Company and Cerberus Business Finance, LLC entered into a First Amendment to the Financing Agreement, which such amendment modified certain provisions related to the borrowing base and reporting, among other things.</w:t>
      </w:r>
    </w:p>
    <w:p>
      <w:pPr>
        <w:spacing w:after="0" w:line="16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On November 4, 2019, the Company and Cerberus Business Finance, LLC entered into a Second Amendment to the Financing Agreement, which modified certain provisions effective as of September 30, 2019 related to the Company’s quarterly leverage ratio financial covenant amongst other provisions. See Note 20 – Subsequent Event.</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Financing Agreement provided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w:t>
      </w:r>
    </w:p>
    <w:p>
      <w:pPr>
        <w:spacing w:after="0" w:line="18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Commencing on March 31, 2018, the outstanding term loans began to amortize in equal quarterly installments equal to $0.4 million per quarter on such date and during each of the next three quarters thereafter, $0.6 million per quarter during the next four quarters thereafter and $0.8 million per quarter thereafter, with a balloon payment at maturity. Furthermore, within ten days of the Company’s delivery of its audited annual financial statements each year, the term loans are permanently reduced pursuant to certain mandatory prepayment events including an annual “excess cash flow sweep” of 50% of the consolidated excess cash flow; provided that, in any fiscal year, any voluntary prepayments of the term loans shall be credited against the Company’s “excess cash flow” prepayment obligations on a dollar-for-dollar basis for such fiscal year. During the nine months ended September 30, 2019, the Company made an excess cash flow payment of $4.0 million and $1.0 million in connection with the release of an escrow amount associated with the Denville Transaction discussed in Note 5 as required by the Financing Agreement.</w:t>
      </w:r>
    </w:p>
    <w:p>
      <w:pPr>
        <w:spacing w:after="0" w:line="185"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ectPr>
          <w:pgSz w:w="11900" w:h="16838" w:orient="portrait"/>
          <w:cols w:equalWidth="0" w:num="1">
            <w:col w:w="11420"/>
          </w:cols>
          <w:pgMar w:left="240" w:top="220" w:right="239" w:bottom="1440" w:gutter="0" w:footer="0" w:header="0"/>
          <w:type w:val="continuous"/>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Interest on all loans under the Senior Secured Credit Facilities is paid monthly. Borrowings under the Financing Agreement accrue interest at a per annum rate equal to, at the Borrower’s option, a base rate plus 4.75% or a London Interbank Offered Rate (LIBOR) rate plus 6.25%. The loans are also subject to a 1.25% interest rate floor for LIBOR loans and a 4.25% interest rate floor for base rate loans.</w:t>
      </w:r>
    </w:p>
    <w:p>
      <w:pPr>
        <w:spacing w:after="0" w:line="176" w:lineRule="exact"/>
        <w:rPr>
          <w:sz w:val="20"/>
          <w:szCs w:val="20"/>
          <w:color w:val="auto"/>
        </w:rPr>
      </w:pPr>
    </w:p>
    <w:p>
      <w:pPr>
        <w:ind w:firstLine="441"/>
        <w:spacing w:after="0" w:line="274" w:lineRule="auto"/>
        <w:rPr>
          <w:sz w:val="20"/>
          <w:szCs w:val="20"/>
          <w:color w:val="auto"/>
        </w:rPr>
      </w:pPr>
      <w:r>
        <w:rPr>
          <w:rFonts w:ascii="Times New Roman" w:cs="Times New Roman" w:eastAsia="Times New Roman" w:hAnsi="Times New Roman"/>
          <w:sz w:val="17"/>
          <w:szCs w:val="17"/>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contains customary events of default and is subject to covenant and working capital borrowing restrictions. The Company had available borrowing capacity under the revolving line of credit of $9.4 million as of September 30, 2019.</w:t>
      </w:r>
    </w:p>
    <w:p>
      <w:pPr>
        <w:spacing w:after="0" w:line="17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the weighted effective interest rate, net of the impact of the Company’s interest rate swap, on its borrowings was 8.69%. The carrying value of the debt approximates fair value because the interest rate under the obligation approximates market rates of interest available to the Company for similar instruments.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Company’s borrowings were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w:t>
            </w:r>
          </w:p>
        </w:tc>
        <w:tc>
          <w:tcPr>
            <w:tcW w:w="4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55,597</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62,400</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unamortized deferred financing costs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installments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Current unamortized deferred financing costs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51,712</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54,813</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4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20" w:type="dxa"/>
            <w:vAlign w:val="bottom"/>
            <w:vMerge w:val="continue"/>
          </w:tcPr>
          <w:p>
            <w:pPr>
              <w:spacing w:after="0"/>
              <w:rPr>
                <w:sz w:val="24"/>
                <w:szCs w:val="24"/>
                <w:color w:val="auto"/>
              </w:rPr>
            </w:pPr>
          </w:p>
        </w:tc>
        <w:tc>
          <w:tcPr>
            <w:tcW w:w="4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76"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84"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62"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disclosed in Note 14, on January 31, 2018, the Company entered into a Financing Agreement comprised of a $64.0 million term loan and up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revolving line of credit. Shortly after entering into the Financing Agreement, the Company entered into an interest rate swap contract with PNC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with a notional amount of $36.0 million and a termination date of January 1, 2023 in order to hedge the risk of changes in the effective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(LIBOR) associated with the Company’s Term Loan. The swap contract converted specific variable-rate debt into fixed-rate debt and fixed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rate associated with a portion of the term loan under the Financing Agreement at 2.72%. The interest rate swap was designated as a cash flow hedge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in accordance with ASC 815 “Derivatives and Hedging”.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instruments as of September 30, 2019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660" w:type="dxa"/>
            <w:vAlign w:val="bottom"/>
            <w:tcBorders>
              <w:top w:val="single" w:sz="8" w:color="auto"/>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0" w:type="dxa"/>
            <w:vAlign w:val="bottom"/>
          </w:tcPr>
          <w:p>
            <w:pPr>
              <w:spacing w:after="0"/>
              <w:rPr>
                <w:sz w:val="1"/>
                <w:szCs w:val="1"/>
                <w:color w:val="auto"/>
              </w:rPr>
            </w:pPr>
          </w:p>
        </w:tc>
      </w:tr>
      <w:tr>
        <w:trPr>
          <w:trHeight w:val="223"/>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2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7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6"/>
              </w:rPr>
              <w:t>Fair Value (a)</w:t>
            </w:r>
          </w:p>
        </w:tc>
        <w:tc>
          <w:tcPr>
            <w:tcW w:w="0" w:type="dxa"/>
            <w:vAlign w:val="bottom"/>
          </w:tcPr>
          <w:p>
            <w:pPr>
              <w:spacing w:after="0"/>
              <w:rPr>
                <w:sz w:val="1"/>
                <w:szCs w:val="1"/>
                <w:color w:val="auto"/>
              </w:rPr>
            </w:pPr>
          </w:p>
        </w:tc>
      </w:tr>
      <w:tr>
        <w:trPr>
          <w:trHeight w:val="174"/>
        </w:trPr>
        <w:tc>
          <w:tcPr>
            <w:tcW w:w="2660" w:type="dxa"/>
            <w:vAlign w:val="bottom"/>
            <w:vMerge w:val="continue"/>
          </w:tcPr>
          <w:p>
            <w:pPr>
              <w:spacing w:after="0"/>
              <w:rPr>
                <w:sz w:val="15"/>
                <w:szCs w:val="15"/>
                <w:color w:val="auto"/>
              </w:rPr>
            </w:pPr>
          </w:p>
        </w:tc>
        <w:tc>
          <w:tcPr>
            <w:tcW w:w="2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 under ASC 815</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40" w:type="dxa"/>
            <w:vAlign w:val="bottom"/>
          </w:tcPr>
          <w:p>
            <w:pPr>
              <w:spacing w:after="0"/>
              <w:rPr>
                <w:sz w:val="20"/>
                <w:szCs w:val="20"/>
                <w:color w:val="auto"/>
              </w:rPr>
            </w:pPr>
          </w:p>
        </w:tc>
        <w:tc>
          <w:tcPr>
            <w:tcW w:w="29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auto"/>
              </w:rPr>
              <w:t>(in thousands)</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assets (long term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30,206</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2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7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6"/>
              </w:rPr>
              <w:t>Fair Value (a)</w:t>
            </w:r>
          </w:p>
        </w:tc>
        <w:tc>
          <w:tcPr>
            <w:tcW w:w="0" w:type="dxa"/>
            <w:vAlign w:val="bottom"/>
          </w:tcPr>
          <w:p>
            <w:pPr>
              <w:spacing w:after="0"/>
              <w:rPr>
                <w:sz w:val="1"/>
                <w:szCs w:val="1"/>
                <w:color w:val="auto"/>
              </w:rPr>
            </w:pPr>
          </w:p>
        </w:tc>
      </w:tr>
      <w:tr>
        <w:trPr>
          <w:trHeight w:val="174"/>
        </w:trPr>
        <w:tc>
          <w:tcPr>
            <w:tcW w:w="2660" w:type="dxa"/>
            <w:vAlign w:val="bottom"/>
            <w:vMerge w:val="continue"/>
          </w:tcPr>
          <w:p>
            <w:pPr>
              <w:spacing w:after="0"/>
              <w:rPr>
                <w:sz w:val="15"/>
                <w:szCs w:val="15"/>
                <w:color w:val="auto"/>
              </w:rPr>
            </w:pPr>
          </w:p>
        </w:tc>
        <w:tc>
          <w:tcPr>
            <w:tcW w:w="2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 under ASC 815</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40" w:type="dxa"/>
            <w:vAlign w:val="bottom"/>
          </w:tcPr>
          <w:p>
            <w:pPr>
              <w:spacing w:after="0"/>
              <w:rPr>
                <w:sz w:val="20"/>
                <w:szCs w:val="20"/>
                <w:color w:val="auto"/>
              </w:rPr>
            </w:pPr>
          </w:p>
        </w:tc>
        <w:tc>
          <w:tcPr>
            <w:tcW w:w="290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auto"/>
              </w:rPr>
              <w:t>(in thousands)</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assets (long term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34,090</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See Note 16 for the fair value measurements related to these financial instruments.</w:t>
      </w:r>
    </w:p>
    <w:p>
      <w:pPr>
        <w:spacing w:after="0" w:line="225"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All of the Company’s derivative instruments are designated as hedging instruments. 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8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derivatives designated as cash flow hedging instruments and their classification within comprehensive loss for the three and nine months ended September 30, 2019 and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46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gain (loss) recognized in OCI on derivative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in Hedging Relationships</w:t>
            </w:r>
          </w:p>
        </w:tc>
        <w:tc>
          <w:tcPr>
            <w:tcW w:w="760" w:type="dxa"/>
            <w:vAlign w:val="bottom"/>
          </w:tcPr>
          <w:p>
            <w:pPr>
              <w:spacing w:after="0"/>
              <w:rPr>
                <w:sz w:val="18"/>
                <w:szCs w:val="18"/>
                <w:color w:val="auto"/>
              </w:rPr>
            </w:pPr>
          </w:p>
        </w:tc>
        <w:tc>
          <w:tcPr>
            <w:tcW w:w="30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(effective portion)</w:t>
            </w:r>
          </w:p>
        </w:tc>
        <w:tc>
          <w:tcPr>
            <w:tcW w:w="860" w:type="dxa"/>
            <w:vAlign w:val="bottom"/>
          </w:tcPr>
          <w:p>
            <w:pPr>
              <w:spacing w:after="0"/>
              <w:rPr>
                <w:sz w:val="18"/>
                <w:szCs w:val="18"/>
                <w:color w:val="auto"/>
              </w:rPr>
            </w:pPr>
          </w:p>
        </w:tc>
      </w:tr>
      <w:tr>
        <w:trPr>
          <w:trHeight w:val="230"/>
        </w:trPr>
        <w:tc>
          <w:tcPr>
            <w:tcW w:w="450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500" w:type="dxa"/>
            <w:vAlign w:val="bottom"/>
          </w:tcPr>
          <w:p>
            <w:pPr>
              <w:spacing w:after="0"/>
              <w:rPr>
                <w:sz w:val="20"/>
                <w:szCs w:val="20"/>
                <w:color w:val="auto"/>
              </w:rPr>
            </w:pPr>
          </w:p>
        </w:tc>
        <w:tc>
          <w:tcPr>
            <w:tcW w:w="19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5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0"/>
        </w:trPr>
        <w:tc>
          <w:tcPr>
            <w:tcW w:w="4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8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6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(78)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reclassifications out of accumulated other comprehensive loss for the three and nine months ended September 30, 2019 and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Details about AOCI</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 reclassified from AOCI into</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income (effective portion)</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amount</w:t>
            </w: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25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0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reclassified from AOCI</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into income (effective portion)</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$0.3 million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w:t>
      </w:r>
    </w:p>
    <w:p>
      <w:pPr>
        <w:spacing w:after="0" w:line="172" w:lineRule="exact"/>
        <w:rPr>
          <w:sz w:val="20"/>
          <w:szCs w:val="20"/>
          <w:color w:val="auto"/>
        </w:rPr>
      </w:pPr>
    </w:p>
    <w:p>
      <w:pPr>
        <w:ind w:left="1100" w:hanging="1092"/>
        <w:spacing w:after="0"/>
        <w:tabs>
          <w:tab w:leader="none" w:pos="11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3—Unobservable inputs based on the Company’s own assumptions.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or 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Fair Value as of September 30, 2019</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Level 3</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(669)</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454"/>
        </w:trPr>
        <w:tc>
          <w:tcPr>
            <w:tcW w:w="4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Fair Value as of December 31, 2018</w:t>
            </w: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Level 3</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179"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1100" w:hanging="1092"/>
        <w:spacing w:after="0"/>
        <w:tabs>
          <w:tab w:leader="none" w:pos="11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Revenue from continuing operations originating from the following geographic areas for the nine months ended September 30, 2019 and 2018 consist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United</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Rest of the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United States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Kingdom</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world</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26,323</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27,418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United</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Rest of the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United States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Kingdom</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world</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27,159</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United</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Rest of the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United States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Kingdom</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world</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and accessories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58,979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81,424</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61,853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85,204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United</w:t>
            </w: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Rest of the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United States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Kingdom</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world</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and accessories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82,847</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59,260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86,916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the Company had approximately $3.6 million and $3.8 million, respectively, in deferred revenue comprised of revenue deferred from service contracts and revenue deferred from advance payments.</w:t>
      </w: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220" w:right="31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Changes in deferred revenue from service contracts and advance payments from customers during the nine months ended September 30, 2019 and 2018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Customer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Advances</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69"/>
        </w:trPr>
        <w:tc>
          <w:tcPr>
            <w:tcW w:w="4320" w:type="dxa"/>
            <w:vAlign w:val="bottom"/>
            <w:gridSpan w:val="4"/>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Three Months Ended September 30, 2019 and 2018</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Deferral of revenue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Deferral of revenue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Nine Months Ended September 30, 2019 and 2018</w:t>
            </w: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Deferral of 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 due to business combination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Deferral of revenue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80" w:type="dxa"/>
            <w:vAlign w:val="bottom"/>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Addition due to business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combination</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Charge-offs and other recoveries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Effect of foreign currency</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translation</w:t>
            </w:r>
          </w:p>
        </w:tc>
        <w:tc>
          <w:tcPr>
            <w:tcW w:w="26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220" w:right="47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1100" w:hanging="1092"/>
        <w:spacing w:after="0"/>
        <w:tabs>
          <w:tab w:leader="none" w:pos="11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Warranties are estimated and accrued at the time revenues are recorded. A rollforward of the Company’s product warranty accrual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Credits</w:t>
            </w:r>
          </w:p>
        </w:tc>
        <w:tc>
          <w:tcPr>
            <w:tcW w:w="182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Increase/(Decrease)</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34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gridSpan w:val="2"/>
            <w:vMerge w:val="continue"/>
          </w:tcPr>
          <w:p>
            <w:pPr>
              <w:spacing w:after="0"/>
              <w:rPr>
                <w:sz w:val="24"/>
                <w:szCs w:val="24"/>
                <w:color w:val="auto"/>
              </w:rPr>
            </w:pPr>
          </w:p>
        </w:tc>
        <w:tc>
          <w:tcPr>
            <w:tcW w:w="3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80" w:firstLine="441"/>
        <w:spacing w:after="0" w:line="266" w:lineRule="auto"/>
        <w:rPr>
          <w:sz w:val="20"/>
          <w:szCs w:val="20"/>
          <w:color w:val="auto"/>
        </w:rPr>
      </w:pPr>
      <w:r>
        <w:rPr>
          <w:rFonts w:ascii="Times New Roman" w:cs="Times New Roman" w:eastAsia="Times New Roman" w:hAnsi="Times New Roman"/>
          <w:sz w:val="18"/>
          <w:szCs w:val="18"/>
          <w:color w:val="auto"/>
        </w:rPr>
        <w:t>Income tax benefit from continuing operations was approximately $0.1 million and $0.7 million for the three months ended September 30, 2019 and 2018, respectively. The effective tax rate on continuing operations was 2.0% for the three months ended September 30, 2019 compared with 71.8% for the same period in 2018.</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Income tax from continuing operations was a benefit of approximately $0.4 million and $0.4 million for the nine months ended September 30, 2019 and 2018, respectively. The effective tax rate on continuing operations was 6.5% for the nine months ended September 30, 2019, compared with 5.2% for the same period in 2018.</w:t>
      </w:r>
    </w:p>
    <w:p>
      <w:pPr>
        <w:spacing w:after="0" w:line="17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The difference between the Company’s effective tax rates in 2019 and 2018 compared to the U.S. statutory tax rate of 21% is primarily due to the mix of year-to-date and forecasted income or losses in the U.S. and foreign tax jurisdictions, the impact of different tax rates in certain foreign jurisdictions, the impact of the inclusion of foreign income in U.S. taxable income under the GILTI (Global Intangible Low-Taxed Income) tax rules, limitations on interest expense deductions, the adjustment of estimates for the tax impact of certain acquisitions and dispositions, the tax impact of stock compensation deductions, and, in 2018, certain non-deductible acquisition costs.</w:t>
      </w:r>
    </w:p>
    <w:p>
      <w:pPr>
        <w:spacing w:after="0" w:line="184" w:lineRule="exact"/>
        <w:rPr>
          <w:sz w:val="20"/>
          <w:szCs w:val="20"/>
          <w:color w:val="auto"/>
        </w:rPr>
      </w:pPr>
    </w:p>
    <w:p>
      <w:pPr>
        <w:jc w:val="both"/>
        <w:ind w:right="460" w:firstLine="44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2018 and the nine months ended September 30, 2019, no income tax expense or benefit was recorded for discontinued operations. For the nine months ended September 30, 2018, income tax benefit recorded for discontinued operations was $0.9 million.</w:t>
      </w:r>
    </w:p>
    <w:p>
      <w:pPr>
        <w:spacing w:after="0" w:line="172" w:lineRule="exact"/>
        <w:rPr>
          <w:sz w:val="20"/>
          <w:szCs w:val="20"/>
          <w:color w:val="auto"/>
        </w:rPr>
      </w:pPr>
    </w:p>
    <w:p>
      <w:pPr>
        <w:ind w:left="1100" w:hanging="1092"/>
        <w:spacing w:after="0"/>
        <w:tabs>
          <w:tab w:leader="none" w:pos="11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On November 4, 2019, the Company entered into a Second Amendment of its Financing Agreement with Cerberus Business Finance, LLC, as collateral agent for the Lenders, and PNC Bank, National Association, as administrative agent for the Lenders. The amendment increases the maximum leverage ratio covenant and amount of restructuring and related costs to be excluded from consolidated EBITDA and decreases the minimum fixed charge ratio covenant. Additionally, the applicable interest rate margin was modified to adjust based on the Company’s leverage ratio. The Company also agreed to extend the prepayment penalty periods and paid a $50,000 amendment fee. The amendment is effective for covenant calculations commencing with the period ended September 30, 2019, other than the change in minimum fixed charge ratio which is effective beginning the three months ended December 31, 2019.</w:t>
      </w:r>
    </w:p>
    <w:p>
      <w:pPr>
        <w:spacing w:after="0" w:line="188" w:lineRule="exact"/>
        <w:rPr>
          <w:sz w:val="20"/>
          <w:szCs w:val="20"/>
          <w:color w:val="auto"/>
        </w:rPr>
      </w:pPr>
    </w:p>
    <w:p>
      <w:pPr>
        <w:jc w:val="both"/>
        <w:ind w:right="360" w:firstLine="441"/>
        <w:spacing w:after="0" w:line="266" w:lineRule="auto"/>
        <w:rPr>
          <w:sz w:val="20"/>
          <w:szCs w:val="20"/>
          <w:color w:val="auto"/>
        </w:rPr>
      </w:pPr>
      <w:r>
        <w:rPr>
          <w:rFonts w:ascii="Times New Roman" w:cs="Times New Roman" w:eastAsia="Times New Roman" w:hAnsi="Times New Roman"/>
          <w:sz w:val="18"/>
          <w:szCs w:val="18"/>
          <w:color w:val="auto"/>
        </w:rPr>
        <w:t>Prior to this amendment, the Company exceeded the maximum leverage ratio covenant due primarily to costs associated with the resignation of its previous CEO in July 2019 and certain restructuring activity during the quarter ended September 30, 2019. The Company is compliant with all covenants under the Financing Agreement as of September 30, 2019 with the completion of this amendment.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2" w:name="page23"/>
    <w:bookmarkEnd w:id="2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60" w:firstLine="441"/>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recently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our substantial debt and our ability to meet the financial covenants contained in our credit facility;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w:t>
      </w:r>
      <w:r>
        <w:rPr>
          <w:rFonts w:ascii="Times New Roman" w:cs="Times New Roman" w:eastAsia="Times New Roman" w:hAnsi="Times New Roman"/>
          <w:sz w:val="17"/>
          <w:szCs w:val="17"/>
          <w:color w:val="auto"/>
        </w:rPr>
        <w:t>f</w:t>
      </w:r>
      <w:r>
        <w:rPr>
          <w:rFonts w:ascii="Times New Roman" w:cs="Times New Roman" w:eastAsia="Times New Roman" w:hAnsi="Times New Roman"/>
          <w:sz w:val="17"/>
          <w:szCs w:val="17"/>
          <w:i w:val="1"/>
          <w:iCs w:val="1"/>
          <w:color w:val="auto"/>
        </w:rPr>
        <w:t>ailure of any banking institution in which we deposit our funds or its failure to provide services; our failure to raise or generate capital necessary to implement our acquisition and expansion strategy;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plus other factors described under the heading “Item 1A. Risk Factors” in our Annual Report on Form 10-K for the year ended December 31, 2018,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Harvard Bioscience, Inc., a Delaware corporation, is a global developer, manufacturer, marketer and provider of a broad range of scientific instruments, systems, software and services used to advance life science for basic research, drug discovery, physiologic monitoring, clinical and environmental testing. Our products and services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Italy and China.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On an ongoing basis, we review the global economy, the life science industry, and the competitive landscape in the markets it serves to identify opportunities to align capabilities, resources and cost base in a manner that sustains and grows market share and profitability. To realize these opportunities, from time to time we undertake restructuring-type activities to transform our business.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On July 8, 2019, we announced the departure of the previous President and Chief Executive Officer and the appointment by the Board of Directors of James Green as President and Chief Executive Officer. In addition, on July 18, 2019 we announced the appointment of Michael Rossi as Chief Financial Officer, a position that had been vacant for approximately two months.</w:t>
      </w:r>
    </w:p>
    <w:p>
      <w:pPr>
        <w:spacing w:after="0" w:line="17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Immediately after the appointment of Mr. Green and Mr. Rossi, we began a process to identify opportunities to improve profitability, increase cash flow and enhance internal capabilities to position the business for organic growth. We anticipate finalizing our plans during the three months ended December 31, 2019. It is likely that the plans will include site consolidations, reductions in headcount and program management costs required to affect site consolidations and other business improvements in the plan.</w:t>
      </w:r>
    </w:p>
    <w:p>
      <w:pPr>
        <w:spacing w:after="0" w:line="180"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We are currently unable to estimate with any level of certainty the total restructuring and related costs we expect to incur. These charges, substantially all of which will result in cash outlays, will be incurred as the specific actions required to execute on these initiatives are identified and approved and are expected to continue through fiscal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Acquisitions and Dispositions</w:t>
      </w:r>
    </w:p>
    <w:p>
      <w:pPr>
        <w:spacing w:after="0" w:line="229"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 The acquisition also helped to increase our gross margin.</w:t>
      </w:r>
    </w:p>
    <w:p>
      <w:pPr>
        <w:spacing w:after="0" w:line="184"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January 2018, we sold substantially all the assets of our wholly-owned subsidiary, Denville Scientific, Inc. (Denville) for approximately $20.0 million, which included a $3.0 million earn-out provision contingent on Denville achieving certain performance metrics with respect to 2018 and 2019 (with potential consideration of $2.0 million based on Denville’s performance in 2018, and $1.0 million based on its performance in 2019). During the nine months ended September 30, 2019, it was determined that the first potential earn-out consideration amount of $2.0 million for 2018 was not earned, and therefore the maximum we may potentially receive of the original $3.0 million earn-out provision is now $1.0 million, which, as described above, is contingent on Denville achieving certain performance metrics.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Income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previously described above, on January 22, 2018, we sold substantially all the assets of our operating subsidiary, Denville. The sale of Denville represented a strategic shift that had a major effect on our operations and financial results. As such and pursuant to the accounting standards, the operating results of Denville for the nine months ended September 30, 2018 have been presented in discontinued operations in the consolidated statements of operations. Therefore, the amounts and percentages discussed below exclude the revenues and expenses of Denville unless otherwise described.</w:t>
      </w:r>
    </w:p>
    <w:p>
      <w:pPr>
        <w:spacing w:after="0" w:line="178" w:lineRule="exact"/>
        <w:rPr>
          <w:sz w:val="20"/>
          <w:szCs w:val="20"/>
          <w:color w:val="auto"/>
        </w:rPr>
      </w:pPr>
    </w:p>
    <w:p>
      <w:pPr>
        <w:ind w:right="140" w:firstLine="48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We generate revenues by selling apparatus, instruments, devices, systems, software, services, and consumables through distributors,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 sales force, websites and catalogs. Our websites and catalogs serve as the primary sales tools for our various product lines.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included in continuing operations represented approximately 73% and 63% of our revenues for the three months ended September 30, 2019 and 2018, respectively, and 71% and 58% of our revenues for the nine months ended September 30, 2019 and 2018, respectively.</w:t>
      </w:r>
    </w:p>
    <w:p>
      <w:pPr>
        <w:spacing w:after="0" w:line="174"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Our products consist of instruments, consumables, and systems that are made up of several individual products. Sales prices of these products range from under $100 to over $100,000, although are mostly priced in the range of $5,000 to $15,000. They are mainly scientific instruments like spectrophotometers and plate readers that analyze light to detect and quantify a wide range of molecular and cellular processes, or apparatus like gel electrophoresis units. Our products and services also include wireless monitors, data acquisition and analysis products and software, and ancillary services including post-contract customer support, training and installation.</w:t>
      </w:r>
    </w:p>
    <w:p>
      <w:pPr>
        <w:spacing w:after="0" w:line="18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use distributors for both our catalog products and our higher priced products, as well as for sales in locations where we do not have subsidiaries or where we have existing distributors in place from acquired businesses. For the three months ended September 30, 2019 and 2018, approximately 27% and 37% of our total revenues from continuing operations, respectively, were derived from sales to distributors. For the nine months ended September 30, 2019 and 2018, approximately 29% and 42% of our total revenues from continuing operations, respectively, were derived from sales to distributors.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revenues include complementary products we distribute in order to provide the researcher with a single source for all equipment needed to conduct a particular experiment. For the three months ended September 30, 2019 and 2018, approximately 85% and 86% of our revenues from continuing operations, respectively, were derived from products we manufacture and approximately 15% and 14%, respectively, were derived from complementary products we distribute. For the nine months ended September 30, 2019 and 2018, approximately 84% and 87% of our revenues from continuing operations, respectively, were derived from products we manufacture and approximately 16% and 13%, respectively, were derived from complementary products we distribute.</w:t>
      </w:r>
    </w:p>
    <w:p>
      <w:pPr>
        <w:spacing w:after="0" w:line="184"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2018, approximately 26% and 28% of our revenues from continuing operations, respectively, were derived from sales made by our non-United States operations. For the nine months ended September 30, 2019 and 2018, approximately 27% and 32% of our revenues from continuing operations, respectively, were derived from sales made by our non-United States operations</w:t>
      </w:r>
    </w:p>
    <w:p>
      <w:pPr>
        <w:spacing w:after="0" w:line="174"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includes material, labor and manufacturing overhead costs, obsolescence charges, packaging costs, warranty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shipping costs and royalties. Our cost of revenues may vary over time, including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83"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 consists primarily of salaries and related expenses for personnel in sales,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80"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 consists primarily of salaries and other related costs for personnel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74" w:lineRule="exact"/>
        <w:rPr>
          <w:sz w:val="20"/>
          <w:szCs w:val="20"/>
          <w:color w:val="auto"/>
        </w:rPr>
      </w:pPr>
    </w:p>
    <w:p>
      <w:pPr>
        <w:ind w:right="1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 consists primarily of salaries and related expenses for personnel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83" w:lineRule="exact"/>
        <w:rPr>
          <w:sz w:val="20"/>
          <w:szCs w:val="20"/>
          <w:color w:val="auto"/>
        </w:rPr>
      </w:pPr>
    </w:p>
    <w:p>
      <w:pPr>
        <w:ind w:right="2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Stock-based compensation expense related to stock options, restricted stock units, restricted stock units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 and the employee stock purchase plan and was recorded as a component of cost of revenues, sales and marketing expenses, general and administrative expenses, research and development expenses, and income (loss) from discontinued operations.</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September 30, 2019 and 2018 was $1.0 million and $0.5 million, respectively. Stock-based compensation expense for the nine months ended September 30, 2019 and 2018 was $2.2 million for both periods, respectively. Included in stock-based compensation for the nine months ended September 30, 2018 was $0.2 million related to discontinued operations.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compared to Three Months Ended September 30, 2018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3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(dollars in thousands)</w:t>
            </w:r>
          </w:p>
        </w:tc>
        <w:tc>
          <w:tcPr>
            <w:tcW w:w="1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27,418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28,635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12,439</w:t>
            </w:r>
          </w:p>
        </w:tc>
        <w:tc>
          <w:tcPr>
            <w:tcW w:w="3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12,818</w:t>
            </w:r>
          </w:p>
        </w:tc>
        <w:tc>
          <w:tcPr>
            <w:tcW w:w="3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5,294</w:t>
            </w:r>
          </w:p>
        </w:tc>
        <w:tc>
          <w:tcPr>
            <w:tcW w:w="3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6,021</w:t>
            </w:r>
          </w:p>
        </w:tc>
        <w:tc>
          <w:tcPr>
            <w:tcW w:w="3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6,604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4,655</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1,949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2,564</w:t>
            </w:r>
          </w:p>
        </w:tc>
        <w:tc>
          <w:tcPr>
            <w:tcW w:w="3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2,783</w:t>
            </w:r>
          </w:p>
        </w:tc>
        <w:tc>
          <w:tcPr>
            <w:tcW w:w="3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460</w:t>
            </w:r>
          </w:p>
        </w:tc>
        <w:tc>
          <w:tcPr>
            <w:tcW w:w="3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described, the amounts and percentages in the table above and the amounts and percentages discussed below exclude the revenues and expenses of Denville, which is presented in discontinued operations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Revenues for the three months ended September 30, 2019 were $27.4 million, a decrease of approximately $1.2 million, or 4.3%, compared to revenues of $28.6 million for the three months ended September 30, 2018. The decrease in revenue was primarily due to timing of large equipment orders in Europe and lower volume with contract resource organizations due to all-time high sales to these customers in the prior year. These reductions were partially offset by sales growth in North America across multiple product lines. The impact of currency translation negatively impacted revenues in the period by approximately $0.4 million or (1.4)% of total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Cost of revenues were $12.4 million for the three months ended September 30, 2019, a decrease of $0.4 million, or 3.0%, compared with $12.8 million for the three months ended September 30, 2018. Gross margin as a percentage of revenues decreased to 54.6% for the three months ended September 30, 2019 compared with 55.2% for 2018. The decrease in gross margin was primarily due to reduced fixed cost absorption associated with lower revenue and higher inventory reserves, including inventory write-offs associated with the consolidation of our North Carolina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$0.7 million or 12.1% to $5.3 million for the three months ended September 30, 2019 compared to $6.0 million during the same period in 2018. The decrease in these expenses was primarily due to decreases in employee-related expenses and variable sales costs as compared to the three months ended September 30,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$6.6 million for the three months ended September 30, 2019, an increase of $1.9 million, or 41.9%, compared with $4.7 million for the three months ended September 30, 2018. The increase was primarily due to higher employee severance costs in the three months ended September 30, 2019, including costs associated with the resignation of our CEO in July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$2.6 million for the three months ended September 30, 2019, and did not change materially as compared to the prior period.</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Amortization of intangible asset expenses was $1.4 million for the three months ended September 30,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we recognized a charge of $0.5 million related to the impairment of certain intangible assets as a result of the decision to discontinue one of our product lines and to close our facility in North Carolina. There was no similar impairment charge recognized in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Other expense, net, was $1.3 million and $1.8 million for the three months ended September 30, 2019 and 2018, respectively. Other expense, net, consists primarily of interest expense which decreased slightly in the three months ended September 30, 2019 as compared to the same period in the prior year primarily due to lower outstanding debt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Income tax benefit from continuing operations was approximately $0.1 million and $0.7 million for the three months ended September 30, 2019 and 2018, respectively. The effective income tax rate was 2.0% and 71.8% for the three months ended September 30, 2019 and 2018, respectively. The difference between our effective tax rates in 2019 and 2018 compared to the U.S. statutory tax rate of 21% is primarily due to the mix of year-to-date and forecasted income or losses in the U.S. and foreign tax jurisdictions, the impact of different tax rates in certain foreign jurisdictions, the impact of the inclusion of foreign income in U.S. taxable income under the GILTI (Global Intangible Low-Taxed Income) tax rules, limitations on interest expense deductions, the adjustment of estimates for the tax impact of certain acquisitions and dispositions, the tax impact of stock compensation deductions, and, in 2018, certain non-deductible acquisition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compared to Nine Months Ended September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(dollars 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85,204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86,916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38,116</w:t>
            </w:r>
          </w:p>
        </w:tc>
        <w:tc>
          <w:tcPr>
            <w:tcW w:w="2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42,475</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17,370</w:t>
            </w:r>
          </w:p>
        </w:tc>
        <w:tc>
          <w:tcPr>
            <w:tcW w:w="2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17,976</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17,215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15,297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8,070</w:t>
            </w:r>
          </w:p>
        </w:tc>
        <w:tc>
          <w:tcPr>
            <w:tcW w:w="2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7,943</w:t>
            </w:r>
          </w:p>
        </w:tc>
        <w:tc>
          <w:tcPr>
            <w:tcW w:w="28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4,289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1,401</w:t>
            </w:r>
          </w:p>
        </w:tc>
        <w:tc>
          <w:tcPr>
            <w:tcW w:w="2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4,343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7,262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1,820</w:t>
            </w:r>
          </w:p>
        </w:tc>
        <w:tc>
          <w:tcPr>
            <w:tcW w:w="2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described, the amounts and percentages in the table above and those amounts and percentages discussed below exclude the revenues and expenses of Denville, which is presented in discontinued operations in the Consolidated Statements of Operations and Comprehensive Loss.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Revenues for the nine months ended September 30, 2019 were $85.2 million, a decrease of approximately $1.7 million, or 2.0%, compared to revenues of $86.9 million for the nine months ended September 30, 2018.</w:t>
      </w:r>
    </w:p>
    <w:p>
      <w:pPr>
        <w:spacing w:after="0" w:line="162"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decrease in revenue for the nine months ended September 30, 2019 is due to lower sales volume in Europe as well as lower volume with contract resource organizations due to customer consolidation and all-time high sales to these customers in the third quarter of 2018. These reductions were partially offset by growth in sales of cellular and molecular discovery technologies in North America. Additionally, revenues for the nine months ended September 30, 2019 included nine months of revenues from DSI as compared to eight months of revenues from DSI included in the nine months ended September 30, 2018. The impact of currency translation negatively impacted revenues in the nine months ended September 30, 2019 by approximately $1.6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Cost of revenues decreased $4.4 million, or 10.3%, to $38.1 million for the nine months ended September 30, 2019 compared with $42.5 million for the nine months ended September 30, 2018. Gross margin as a percentage of revenues increased to 55.3% for the nine months ended September 30, 2019 compared with 51.1% for the nine months ended September 30, 2018. Cost of revenues for the nine months ended September 30, 2018, included approximately $3.8 million related to a purchase accounting inventory fair value step up amortization. This inventory fair value step-up was fully recognized into cost of revenues over one inventory turn, or approximately six months. Excluding the effect of the step-up amortization, gross profit margin decreased by approximately $1.2 million which was primarily due to reduced fixed cost absorption associated with lower revenue as well as product mix.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$0.6 million or 3.4% to $17.4 million for the nine months ended September 30, 2019 compared to $18.0 million during the same period in 2018. Sales and marketing expenses for the nine months ended September 30, 2019 included nine months of costs from DSI as compared to eight months of costs from DSI in the nine months ended September 30, 2018. The decrease in costs in the nine months ended September 30, 2019, was primarily due to decreases in employee-related expenses, variable sales costs and lower stock-based compensation as compared to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General and administrative expenses increased $1.9 million or 12.5% to $17.2 million for the nine months ended September 30, 2019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 million during the same period in 2018. Costs for the nine months ended September 30, 2019 included nine months of costs from DSI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 months of costs from DSI in the nine months ended September 30, 2018. Other changes in the nine months ended September 30, 2019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restructuring related employee expenses and stock-based compensation as compared to the nine months ended September 30,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$8.0 million for nine months period ended September 30, 2019 and did not change materially as compared to the nine months ended September 30,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Amortization of intangible asset expenses was $4.3 million and $4.0 million for the nine months ended September 30, 2019 and 2018, respectively. The increase of $0.3 million in amortization of intangible assets expense was primarily due to the impact of the DSI acquisition, as the nine months ended September 2019 included nine months of amortization expenses from DSI as compared to eight months of such expenses in the nine months ended September 30, 2018.</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we recognized an impairment charge of $1.4 million consisting of a charge of $0.9 million related to our in-process research and development intangible assets as a result of our on-going evaluation of our research and development activities, and a charge of $0.5 million related to the impairment of certain intangible assets due to the decision to discontinue one of our product lines and to cease operations in our facility in Raleigh, North Carolina. There were no similar impairment charges recognized in the same period in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right="360" w:firstLine="441"/>
        <w:spacing w:after="0" w:line="261" w:lineRule="auto"/>
        <w:rPr>
          <w:sz w:val="20"/>
          <w:szCs w:val="20"/>
          <w:color w:val="auto"/>
        </w:rPr>
      </w:pPr>
      <w:r>
        <w:rPr>
          <w:rFonts w:ascii="Times New Roman" w:cs="Times New Roman" w:eastAsia="Times New Roman" w:hAnsi="Times New Roman"/>
          <w:sz w:val="18"/>
          <w:szCs w:val="18"/>
          <w:color w:val="auto"/>
        </w:rPr>
        <w:t>Other expense, net, was $4.3 million and $7.3 million for the nine months ended September 30, 2019 and 2018, respectively. The decrease of $2.9 million in other expense, net was primarily due to transaction costs incurred in the nine months ended September 30, 2018 of approximately $2.8 million related to the acquisition of DSI and divestiture of Denville. These decreases were partially offset by an increase in interest expense in 2019 as a result of higher average debt balances due to the additional debt incurred to finance the acquisition of DSI in January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Income tax from continuing operations was a benefit of $0.4 million and $0.4 million for the nine months ended September 30, 2019 and 2018, respectively. The effective income tax rate was 6.5% for the nine months ended September 30, 2019, compared with 5.2% for the same period in 2018. The difference between our effective rates in 2019 and 2018 compared to the U.S. statutory tax rate of 21% is primarily due to the mix of year-to-date and forecasted income or losses in the U.S. and foreign tax jurisdictions, the impact of different tax rates in certain foreign jurisdictions, the impact of inclusion of foreign income in U.S. taxable income under the GILTI (Global Intangible Low-Taxed Income) tax rules, limitations on interest expense deductions, the adjustment of estimates for the tax impact of certain acquisitions and dispositions, the tax impact of stock compensation deductions and windfalls, and in 2018, certain non-deductible acquisition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Discontinued operations resulted in income of $1.8 million for the nine months ended September 30, 2018. On January 22, 2018, we sold substantially all the assets of Denville, for approximately $20.0 million, which included a $3.0 million earn-out provision contingent on Denville achieving certain performance metrics with respect to 2018 and 2019 (the Denville Transaction). The results of Denville were presented in discontinued operations for the nine months ended September 30, 2018. The income from discontinued operations for the nine months ended September 30, 2018 included a gain on sale of Denville of $1.3 million and an income tax benefit of $0.9 million. The income tax benefit was mainly due to the reversal of deferred tax liabilities associated with indefinite lived intangibles following the Denville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Historically, we have financed our business through cash provided by operating activities, bank borrowings, and the issuance of common stock. Our liquidity requirements arise primarily from investing activities, including funding of acquisitions, and capital expenditures.</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On January 22, 2018, we sold the operations of Denville, and received approximately $15.7 million, net of cash on hand. Simultaneously, we retired existing debt of approximately $11.9 million. On January 31, 2018, we entered into a financing agreement, which comprised of a $64.0 million term loan and up to a $25.0 million line of credit. Finally, on January 31, 2018, we acquired DSI for approximately $67.4 million, net of cash acquired.</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As of September 30, 2019, we held cash and cash equivalents from continuing operations of $6.8 million, compared with $8.2 million at December 31, 2018. As of September 30, 2019 and December 31, 2018, we had $54.3 million and $60.8 million of borrowings outstanding under our credit facility, net of deferred financing costs, respectively. Total debt, net of cash and cash equivalents was $47.5 million at September 30, 2019, compared to $52.6 million at December 31, 2018. In addition, we had an underfunded United Kingdom pension liability of approximately $0.9 million at September 30, 2019 and December 31, 2018, respectively.</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9" w:name="page30"/>
    <w:bookmarkEnd w:id="29"/>
    <w:p>
      <w:pPr>
        <w:ind w:firstLine="441"/>
        <w:spacing w:after="0" w:line="261" w:lineRule="auto"/>
        <w:rPr>
          <w:sz w:val="20"/>
          <w:szCs w:val="20"/>
          <w:color w:val="auto"/>
        </w:rPr>
      </w:pPr>
      <w:r>
        <w:rPr>
          <w:rFonts w:ascii="Times New Roman" w:cs="Times New Roman" w:eastAsia="Times New Roman" w:hAnsi="Times New Roman"/>
          <w:sz w:val="18"/>
          <w:szCs w:val="18"/>
          <w:color w:val="auto"/>
        </w:rPr>
        <w:t>As of September 30, 2019 and December 31, 2018, cash and cash equivalents held by our foreign subsidiaries was $2.3 million and $3.2 million, respectively. As a result of the 2017 Tax Act, post-2017 dividends from qualifying Controlled Foreign Corporations are no longer taxed in the U.S. However, any dividends to the U.S. must still be assessed for withholding tax liability as well as income state tax liability. As a result of our assertion, we determined the potential state income tax liability related to available cash balances at foreign subsidiaries would be immaterial in both 2019 and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Condensed Cash Flow Statements</w:t>
      </w:r>
    </w:p>
    <w:p>
      <w:pPr>
        <w:spacing w:after="0" w:line="31"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adjustments to operating cash flows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Disposition, net of cash sold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cash of $5.8 million and $0.3 million for the nine months ended September 30, 2019 and 2018, respectively. The increase in net cash flow from operations was primarily due to deal fees, integration costs and other payments associated with the DSI acquisition and Denville sale in the first half of 2018.</w:t>
      </w:r>
    </w:p>
    <w:p>
      <w:pPr>
        <w:spacing w:after="0" w:line="176"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Our investing activities provided cash of $0.2 million and used cash of $(53.2) million for the nine months ended September 30, 2019 and 2018, respectively. Investing activities during the nine months ended September 30, 2019 primarily consisted of cash used for capital expenditures, and the receipt of $1.0 million in connection with the release of an escrow amount associated with the Denville Transaction. Investing activities during the nine months ended September 30, 2018 primarily consisted of $68.0 million paid for the acquisition of DSI and $15.8 million received from the disposition of Denville. We spent $0.8 million and $0.9 million on capital expenditures during the nine months ended September 30, 2019 and 2018, respectively.</w:t>
      </w: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t>Our financing activities have historically consisted of borrowings and repayments under our revolving credit facility and term loans, payments of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costs and the issuance of common stock. During the nine months ended September 30, 2019, financing activities used cash of $7.2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$53.4 million of cash provided by financing activities for the nine months ended September 30, 2018.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we borrowed $4.3 million and repaid $11.1 million of debt, including an excess cash flow payment of $4.0 million and a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in connection with the release of an escrow amount associated with the Denville Transaction as required by the Financing Agreement, and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 with $54.3 million of borrowings, net of deferred financing costs of $1.3 million. During the nine months ended September 30, 2018 we borrowed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$70.8 million, repaid $19.9 million of debt and ended the quarter with $61.0 million of borrowings, net of deferred financing costs of $1.7 million. Net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for tax withholdings from the issuance from common stock related to the vesting of restricted stock units was $0.4 million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Net cash proceeds from the issuance of common stock for the nine months ended September 30, 2018 was $2.6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Arrangements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14 to the consolidated financial statements for a detailed discussion regarding our financing agreement and credit facilities.</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we had borrowings of $55.6 million and $62.4 million respectively, outstanding. We had available borrowing capacity under the revolving line of credit of $9.4 million as of September 30, 2019. As of September 30, 2019, the weighted effective interest rate, net of the impact of our interest rate swap, on our borrowings was 8.69%.</w:t>
      </w:r>
    </w:p>
    <w:p>
      <w:pPr>
        <w:spacing w:after="0" w:line="176"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On November 4, 2019, we entered into a Second Amendment to the Financing Agreement with Cerberus Business Finance, LLC, which modified certain provisions effective as of September 30, 2019 related to our quarterly leverage ratio financial covenant amongst other provisions.</w:t>
      </w:r>
    </w:p>
    <w:p>
      <w:pPr>
        <w:spacing w:after="0" w:line="162"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anticipation of the restructuring and related costs in the third quarter and future periods associated with the actions described in the accompanying consolidated financial statements, we began discussions in September 2019 with our lender to request a modification of the terms of the Credit Agreement to exclude the impact of these costs from the maximum leverage ratio covenant. On November 4, 2019, we entered into a Second Amendment of the Financing Agreement with Cerberus Business Finance, LLC, as collateral agent for the Lenders, and PNC Bank, National Association, as administrative agent for the Lenders. The Amendment increases the maximum leverage ratio and amount of restructuring and related costs to be excluded from consolidated EBITDA and decreases the minimum fixed charge ratio. Additionally, the applicable interest rate margin was modified to adjust based on our leverage ratio. We also agreed to extend the prepayment penalty periods and paid a $50,000 amendment fee. The amendment is effective for covenant calculations commencing with the period ended September 30, 2019, other than the change in minimum fixed charge ratio which is effective beginning the three months ended December 31, 2019.</w:t>
      </w:r>
    </w:p>
    <w:p>
      <w:pPr>
        <w:spacing w:after="0" w:line="18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Prior to this amendment, we exceeded the maximum leverage ratio covenant due primarily to costs associated with the resignation of the previous CEO in July 2019 and certain restructuring activity in the period. We are compliant with all covenants under the Financing Agreement as of September 30, 2019 with the completion of this amendment. We expect to be in compliance with covenants and other terms under the amended credit agreement for at least the next 12 months.</w:t>
      </w:r>
    </w:p>
    <w:p>
      <w:pPr>
        <w:spacing w:after="0" w:line="180"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Based on our current operations and current operating plans, we expect that our available cash, cash generated from current operations and debt capacity will be sufficient to finance current operations, any costs associated with restructuring activities resulting from initiatives described in “Recent Developments” above and capital expenditures for the next 12 months and beyond.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underlying the accompanying unaudited consolidated financial statements are those set forth in Part II, Item 7 included in our Annual Report on Form 10-K for the fiscal year ended December 31, 2018, which was filed with the SEC on March 18,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2019, changes in foreign currency exchange rates resulted in an unfavorable translation effect on our consolidated revenues and on our consolidated net loss. Changes in foreign currency exchange rates resulted in an unfavorable effect on revenues of approximately $0.4 million and a favorable effect on expenses of approximately $1.0 million. During the nine months ended September 30, 2019, changes in foreign currency exchange rates resulted in an unfavorable translation effect on our consolidated revenues and on our consolidated net loss. Changes in foreign currency exchange rates resulted in an unfavorable effect on revenues of approximately $1.6 million and a favorable effect on expenses of approximately $1.3 million.</w:t>
      </w:r>
    </w:p>
    <w:p>
      <w:pPr>
        <w:spacing w:after="0" w:line="18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loss associated with the translation of foreign equity into U.S. dollars included as a component of comprehensive loss during the three months ended September 30, 2019, was approximately $(1.5) million, compared to a gain of $(0.4) million for the three months ended September 30, 2018. The loss associated with the translation of foreign equity into U.S. dollars included as a component of comprehensive loss during the nine months ended September 30, 2019, was approximately $(1.7) million, compared to a loss of $(1.0) million for the nine months ended September 30, 2018.</w:t>
      </w:r>
    </w:p>
    <w:p>
      <w:pPr>
        <w:spacing w:after="0" w:line="18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addition, currency exchange rate fluctuations included as a component of net loss resulted in approximately $(0.1) million in currency loss during the three months ended September 30, 2019 and $0.1 million in currency gain during the same period in 2018. The currency exchange rate fluctuations included as a component of net loss resulted in approximately $0.1 million in currency gain and $(0.1) million in currency loss during the nine months ended September 30, 2019 and 2018,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 Accounting Pronouncements" included under Note 2 to our Condensed Consolidated Financial Statements.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76"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6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primarily through our financing activities. As of September 30, 2019, we had $55.6 million outstanding under our Financing Agreement. We entered into an interest rate swap contract with PNC bank with a notional amount of $36.0 million and a termination date of January 31, 2023 in order to hedge a portion of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18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As of September 30, 2019, the weighted effective interest rates, net of the impact of our interest rate swaps, on our Term Loan was 8.69%. Assuming no other changes which would affect the margin of the interest rate, the estimated effect of interest rate fluctuations on outstanding borrowings under our Financing Agreement as of September 30, 2019 is quantified and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Interest expense</w:t>
            </w:r>
          </w:p>
        </w:tc>
      </w:t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compared to the rate as of September 30, 2019</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10"/>
        </w:trPr>
        <w:tc>
          <w:tcPr>
            <w:tcW w:w="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rates increase by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rates increase by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4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to allow timely decisions regarding required disclosures.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required by Rules 13a-15(e) and 15d-15(e) under the Exchange Act, our management, under the supervision and with the participation of our Chief Executive Officer and Chief Financial Officer, conducted an evaluation of the effectiveness of the design and operation of our disclosure controls and procedures as of September 30, 2019.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management concluded that our disclosure controls and procedures for the periods covered by this report were effective, as of the end of the period covered by this Quarterly Report on Form 10-Q, in providing reasonable assurance that information required to be disclosed by us in the reports that we file or submit under the Exchange Act is accumulated and communicated to our management, including our Chief Executive Officer and Chief Financial Officer, to allow timely decisions regarding required disclosures, and is recorded, processed, summarized and reported within the time periods specified in the SEC’s rules and forms.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reviewed our internal control over financial reporting at September 30, 2019. As a result of the acquisition of Data Sciences International, Inc. (or DSI) in January 2018, we continue to integrate certain business processes and systems of DSI. Accordingly, certain changes have been made and will continue to be made to our internal controls over financial reporting until such time as this integration is complete. There were no other changes in our internal controls over financial reporting identified in an evaluation thereof that occurred during the nine months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To our knowledge, and except to the extent additional factual information disclosed in this Quarterly Report on Form 10-Q relates to such risk factors, there has been no material changes in the risk factors described in “Item 1A. Risk Factors” in our Annual Report on Form 10-K for the year ended December 31, 2018, which was filed with the SEC on March 18,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4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vMerge w:val="restart"/>
          </w:tcPr>
          <w:p>
            <w:pPr>
              <w:spacing w:after="0"/>
              <w:rPr>
                <w:rFonts w:ascii="Times New Roman" w:cs="Times New Roman" w:eastAsia="Times New Roman" w:hAnsi="Times New Roman"/>
                <w:sz w:val="18"/>
                <w:szCs w:val="18"/>
                <w:color w:val="0000EE"/>
                <w:w w:val="88"/>
              </w:rPr>
            </w:pPr>
            <w:hyperlink r:id="rId70">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hyperlink>
          </w:p>
        </w:tc>
        <w:tc>
          <w:tcPr>
            <w:tcW w:w="16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4"/>
                <w:szCs w:val="14"/>
                <w:color w:val="0000EE"/>
                <w:w w:val="85"/>
              </w:rPr>
            </w:pPr>
            <w:hyperlink r:id="rId70">
              <w:r>
                <w:rPr>
                  <w:rFonts w:ascii="Times New Roman" w:cs="Times New Roman" w:eastAsia="Times New Roman" w:hAnsi="Times New Roman"/>
                  <w:sz w:val="14"/>
                  <w:szCs w:val="14"/>
                  <w:color w:val="0000EE"/>
                  <w:w w:val="85"/>
                </w:rPr>
                <w:t>(1)</w:t>
              </w:r>
            </w:hyperlink>
          </w:p>
        </w:tc>
        <w:tc>
          <w:tcPr>
            <w:tcW w:w="660" w:type="dxa"/>
            <w:vAlign w:val="bottom"/>
          </w:tcPr>
          <w:p>
            <w:pPr>
              <w:spacing w:after="0"/>
              <w:rPr>
                <w:sz w:val="12"/>
                <w:szCs w:val="12"/>
                <w:color w:val="auto"/>
              </w:rPr>
            </w:pPr>
          </w:p>
        </w:tc>
        <w:tc>
          <w:tcPr>
            <w:tcW w:w="10140" w:type="dxa"/>
            <w:vAlign w:val="bottom"/>
            <w:gridSpan w:val="9"/>
            <w:vMerge w:val="restart"/>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Employment Agreement between Harvard Bioscience, Inc. and James Green.</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1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0" w:type="dxa"/>
            <w:vAlign w:val="bottom"/>
            <w:gridSpan w:val="2"/>
            <w:vMerge w:val="restart"/>
          </w:tcPr>
          <w:p>
            <w:pPr>
              <w:spacing w:after="0"/>
              <w:rPr>
                <w:rFonts w:ascii="Times New Roman" w:cs="Times New Roman" w:eastAsia="Times New Roman" w:hAnsi="Times New Roman"/>
                <w:sz w:val="18"/>
                <w:szCs w:val="18"/>
                <w:color w:val="0000EE"/>
                <w:w w:val="95"/>
              </w:rPr>
            </w:pPr>
            <w:hyperlink r:id="rId7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660" w:type="dxa"/>
            <w:vAlign w:val="bottom"/>
          </w:tcPr>
          <w:p>
            <w:pPr>
              <w:spacing w:after="0"/>
              <w:rPr>
                <w:sz w:val="24"/>
                <w:szCs w:val="24"/>
                <w:color w:val="auto"/>
              </w:rPr>
            </w:pPr>
          </w:p>
        </w:tc>
        <w:tc>
          <w:tcPr>
            <w:tcW w:w="10140" w:type="dxa"/>
            <w:vAlign w:val="bottom"/>
            <w:gridSpan w:val="9"/>
            <w:vMerge w:val="restart"/>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Separation and Release Agreement between Harvard Bioscience, Inc. and Jeffrey Duchemin.</w:t>
              </w:r>
            </w:hyperlink>
          </w:p>
        </w:tc>
        <w:tc>
          <w:tcPr>
            <w:tcW w:w="0" w:type="dxa"/>
            <w:vAlign w:val="bottom"/>
          </w:tcPr>
          <w:p>
            <w:pPr>
              <w:spacing w:after="0"/>
              <w:rPr>
                <w:sz w:val="1"/>
                <w:szCs w:val="1"/>
                <w:color w:val="auto"/>
              </w:rPr>
            </w:pPr>
          </w:p>
        </w:tc>
      </w:tr>
      <w:tr>
        <w:trPr>
          <w:trHeight w:val="48"/>
        </w:trPr>
        <w:tc>
          <w:tcPr>
            <w:tcW w:w="3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1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0" w:type="dxa"/>
            <w:vAlign w:val="bottom"/>
            <w:gridSpan w:val="2"/>
            <w:vMerge w:val="restart"/>
          </w:tcPr>
          <w:p>
            <w:pPr>
              <w:spacing w:after="0"/>
              <w:rPr>
                <w:rFonts w:ascii="Times New Roman" w:cs="Times New Roman" w:eastAsia="Times New Roman" w:hAnsi="Times New Roman"/>
                <w:sz w:val="18"/>
                <w:szCs w:val="18"/>
                <w:color w:val="0000EE"/>
                <w:w w:val="95"/>
              </w:rPr>
            </w:pPr>
            <w:hyperlink r:id="rId7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5"/>
                <w:szCs w:val="15"/>
                <w:color w:val="0000EE"/>
                <w:w w:val="79"/>
              </w:rPr>
              <w:t>(2)</w:t>
            </w:r>
          </w:p>
        </w:tc>
        <w:tc>
          <w:tcPr>
            <w:tcW w:w="660" w:type="dxa"/>
            <w:vAlign w:val="bottom"/>
          </w:tcPr>
          <w:p>
            <w:pPr>
              <w:spacing w:after="0"/>
              <w:rPr>
                <w:sz w:val="24"/>
                <w:szCs w:val="24"/>
                <w:color w:val="auto"/>
              </w:rPr>
            </w:pPr>
          </w:p>
        </w:tc>
        <w:tc>
          <w:tcPr>
            <w:tcW w:w="5680" w:type="dxa"/>
            <w:vAlign w:val="bottom"/>
            <w:gridSpan w:val="4"/>
            <w:vMerge w:val="restart"/>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Employment Agreement between Harvard Bioscience, Inc. and Michael Rossi.</w:t>
              </w:r>
            </w:hyperlink>
          </w:p>
        </w:tc>
        <w:tc>
          <w:tcPr>
            <w:tcW w:w="446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40" w:type="dxa"/>
            <w:vAlign w:val="bottom"/>
            <w:tcBorders>
              <w:bottom w:val="single" w:sz="8" w:color="0000EE"/>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80" w:type="dxa"/>
            <w:vAlign w:val="bottom"/>
            <w:tcBorders>
              <w:bottom w:val="single" w:sz="8" w:color="0000EE"/>
            </w:tcBorders>
            <w:gridSpan w:val="4"/>
            <w:vMerge w:val="continue"/>
          </w:tcPr>
          <w:p>
            <w:pPr>
              <w:spacing w:after="0"/>
              <w:rPr>
                <w:sz w:val="4"/>
                <w:szCs w:val="4"/>
                <w:color w:val="auto"/>
              </w:rPr>
            </w:pPr>
          </w:p>
        </w:tc>
        <w:tc>
          <w:tcPr>
            <w:tcW w:w="4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40" w:type="dxa"/>
            <w:vAlign w:val="bottom"/>
            <w:gridSpan w:val="2"/>
          </w:tcPr>
          <w:p>
            <w:pPr>
              <w:spacing w:after="0"/>
              <w:rPr>
                <w:rFonts w:ascii="Times New Roman" w:cs="Times New Roman" w:eastAsia="Times New Roman" w:hAnsi="Times New Roman"/>
                <w:sz w:val="18"/>
                <w:szCs w:val="18"/>
                <w:color w:val="0000EE"/>
                <w:w w:val="95"/>
              </w:rPr>
            </w:pPr>
            <w:hyperlink w:anchor="page37">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40" w:type="dxa"/>
            <w:vAlign w:val="bottom"/>
            <w:gridSpan w:val="9"/>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Certification of Chief Financial Officer of Harvard Bioscience, Inc., pursuant to Rules 13a-14(a) and 15d-14(a), as adopted pursuant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Section 302 of the Sarbanes-Oxley Act of 2002.</w:t>
              </w:r>
            </w:hyperlink>
          </w:p>
        </w:tc>
        <w:tc>
          <w:tcPr>
            <w:tcW w:w="6240" w:type="dxa"/>
            <w:vAlign w:val="bottom"/>
            <w:tcBorders>
              <w:top w:val="single" w:sz="8" w:color="0000EE"/>
            </w:tcBorders>
            <w:gridSpan w:val="4"/>
          </w:tcPr>
          <w:p>
            <w:pPr>
              <w:spacing w:after="0"/>
              <w:rPr>
                <w:sz w:val="17"/>
                <w:szCs w:val="17"/>
                <w:color w:val="auto"/>
              </w:rPr>
            </w:pPr>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gridSpan w:val="2"/>
          </w:tcPr>
          <w:p>
            <w:pPr>
              <w:spacing w:after="0"/>
              <w:rPr>
                <w:rFonts w:ascii="Times New Roman" w:cs="Times New Roman" w:eastAsia="Times New Roman" w:hAnsi="Times New Roman"/>
                <w:sz w:val="18"/>
                <w:szCs w:val="18"/>
                <w:color w:val="0000EE"/>
                <w:w w:val="95"/>
              </w:rPr>
            </w:pPr>
            <w:hyperlink w:anchor="page38">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40" w:type="dxa"/>
            <w:vAlign w:val="bottom"/>
            <w:gridSpan w:val="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Certification of Chief Executive Officer of Harvard Bioscience, Inc., pursuant to Rules 13a-14(a) and 15d-14(a), as adopted pursuant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Section 302 of the Sarbanes-Oxley Act of 2002.</w:t>
              </w:r>
            </w:hyperlink>
          </w:p>
        </w:tc>
        <w:tc>
          <w:tcPr>
            <w:tcW w:w="6300" w:type="dxa"/>
            <w:vAlign w:val="bottom"/>
            <w:tcBorders>
              <w:top w:val="single" w:sz="8" w:color="0000EE"/>
            </w:tcBorders>
            <w:gridSpan w:val="5"/>
          </w:tcPr>
          <w:p>
            <w:pPr>
              <w:spacing w:after="0"/>
              <w:rPr>
                <w:sz w:val="17"/>
                <w:szCs w:val="17"/>
                <w:color w:val="auto"/>
              </w:rPr>
            </w:pP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gridSpan w:val="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660" w:type="dxa"/>
            <w:vAlign w:val="bottom"/>
          </w:tcPr>
          <w:p>
            <w:pPr>
              <w:spacing w:after="0"/>
              <w:rPr>
                <w:sz w:val="24"/>
                <w:szCs w:val="24"/>
                <w:color w:val="auto"/>
              </w:rPr>
            </w:pPr>
          </w:p>
        </w:tc>
        <w:tc>
          <w:tcPr>
            <w:tcW w:w="10140" w:type="dxa"/>
            <w:vAlign w:val="bottom"/>
            <w:gridSpan w:val="9"/>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Certification of Chief Financial Officer of Harvard Bioscience, Inc.,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of the Sarbanes-Oxley Act of 2002.</w:t>
              </w:r>
            </w:hyperlink>
          </w:p>
        </w:tc>
        <w:tc>
          <w:tcPr>
            <w:tcW w:w="754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gridSpan w:val="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660" w:type="dxa"/>
            <w:vAlign w:val="bottom"/>
          </w:tcPr>
          <w:p>
            <w:pPr>
              <w:spacing w:after="0"/>
              <w:rPr>
                <w:sz w:val="24"/>
                <w:szCs w:val="24"/>
                <w:color w:val="auto"/>
              </w:rPr>
            </w:pPr>
          </w:p>
        </w:tc>
        <w:tc>
          <w:tcPr>
            <w:tcW w:w="10140" w:type="dxa"/>
            <w:vAlign w:val="bottom"/>
            <w:gridSpan w:val="9"/>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Certification of Chief Executive Officer of Harvard Bioscience, Inc.,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of the Sarbanes-Oxley Act of 2002.</w:t>
              </w:r>
            </w:hyperlink>
          </w:p>
        </w:tc>
        <w:tc>
          <w:tcPr>
            <w:tcW w:w="7580" w:type="dxa"/>
            <w:vAlign w:val="bottom"/>
            <w:tcBorders>
              <w:top w:val="single" w:sz="8" w:color="0000EE"/>
            </w:tcBorders>
            <w:gridSpan w:val="8"/>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6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76"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July 8, 2019) and incorporated by reference thereto.</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July 19, 2019) and incorporated by reference thereto.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200" w:lineRule="exact"/>
        <w:rPr>
          <w:sz w:val="20"/>
          <w:szCs w:val="20"/>
          <w:color w:val="auto"/>
        </w:rPr>
      </w:pPr>
    </w:p>
    <w:p>
      <w:pPr>
        <w:spacing w:after="0" w:line="2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00"/>
        <w:spacing w:after="0"/>
        <w:tabs>
          <w:tab w:leader="none" w:pos="8880" w:val="left"/>
          <w:tab w:leader="none" w:pos="9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JAMES GREEN</w:t>
      </w:r>
    </w:p>
    <w:p>
      <w:pPr>
        <w:spacing w:after="0" w:line="27"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James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-130810</wp:posOffset>
            </wp:positionV>
            <wp:extent cx="19551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0"/>
        <w:spacing w:after="0"/>
        <w:tabs>
          <w:tab w:leader="none" w:pos="8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A. ROSSI</w:t>
      </w:r>
    </w:p>
    <w:p>
      <w:pPr>
        <w:spacing w:after="0" w:line="27"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Michael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-130810</wp:posOffset>
            </wp:positionV>
            <wp:extent cx="19551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3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7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320" w:type="dxa"/>
            <w:vAlign w:val="bottom"/>
          </w:tcPr>
          <w:p>
            <w:pPr>
              <w:spacing w:after="0"/>
              <w:rPr>
                <w:sz w:val="24"/>
                <w:szCs w:val="24"/>
                <w:color w:val="auto"/>
              </w:rPr>
            </w:pPr>
          </w:p>
        </w:tc>
        <w:tc>
          <w:tcPr>
            <w:tcW w:w="5580" w:type="dxa"/>
            <w:vAlign w:val="bottom"/>
            <w:gridSpan w:val="5"/>
            <w:vMerge w:val="restart"/>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Employment Agreement between Harvard Bioscience, Inc. and James Green.</w:t>
              </w:r>
            </w:hyperlink>
          </w:p>
        </w:tc>
        <w:tc>
          <w:tcPr>
            <w:tcW w:w="100" w:type="dxa"/>
            <w:vAlign w:val="bottom"/>
            <w:vMerge w:val="restart"/>
          </w:tcPr>
          <w:p>
            <w:pPr>
              <w:spacing w:after="0"/>
              <w:rPr>
                <w:sz w:val="24"/>
                <w:szCs w:val="24"/>
                <w:color w:val="auto"/>
              </w:rPr>
            </w:pPr>
          </w:p>
        </w:tc>
        <w:tc>
          <w:tcPr>
            <w:tcW w:w="1000" w:type="dxa"/>
            <w:vAlign w:val="bottom"/>
            <w:gridSpan w:val="2"/>
            <w:vMerge w:val="restart"/>
          </w:tcPr>
          <w:p>
            <w:pPr>
              <w:spacing w:after="0"/>
              <w:rPr>
                <w:sz w:val="24"/>
                <w:szCs w:val="24"/>
                <w:color w:val="auto"/>
              </w:rPr>
            </w:pPr>
          </w:p>
        </w:tc>
        <w:tc>
          <w:tcPr>
            <w:tcW w:w="256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80" w:type="dxa"/>
            <w:vAlign w:val="bottom"/>
            <w:tcBorders>
              <w:bottom w:val="single" w:sz="8" w:color="0000EE"/>
            </w:tcBorders>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gridSpan w:val="8"/>
            <w:vMerge w:val="restart"/>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Separation and Release Agreement between Harvard Bioscience, Inc. and Jeffrey Duchemin.</w:t>
              </w:r>
            </w:hyperlink>
          </w:p>
        </w:tc>
        <w:tc>
          <w:tcPr>
            <w:tcW w:w="25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7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320" w:type="dxa"/>
            <w:vAlign w:val="bottom"/>
          </w:tcPr>
          <w:p>
            <w:pPr>
              <w:spacing w:after="0"/>
              <w:rPr>
                <w:sz w:val="24"/>
                <w:szCs w:val="24"/>
                <w:color w:val="auto"/>
              </w:rPr>
            </w:pPr>
          </w:p>
        </w:tc>
        <w:tc>
          <w:tcPr>
            <w:tcW w:w="6680" w:type="dxa"/>
            <w:vAlign w:val="bottom"/>
            <w:gridSpan w:val="8"/>
            <w:vMerge w:val="continue"/>
          </w:tcPr>
          <w:p>
            <w:pPr>
              <w:spacing w:after="0"/>
              <w:rPr>
                <w:sz w:val="24"/>
                <w:szCs w:val="24"/>
                <w:color w:val="auto"/>
              </w:rPr>
            </w:pPr>
          </w:p>
        </w:tc>
        <w:tc>
          <w:tcPr>
            <w:tcW w:w="256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tcBorders>
              <w:bottom w:val="single" w:sz="8" w:color="0000EE"/>
            </w:tcBorders>
            <w:gridSpan w:val="8"/>
            <w:vMerge w:val="continue"/>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gridSpan w:val="6"/>
            <w:vMerge w:val="restart"/>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Employment Agreement between Harvard Bioscience, Inc. and Michael Rossi.</w:t>
              </w:r>
            </w:hyperlink>
          </w:p>
        </w:tc>
        <w:tc>
          <w:tcPr>
            <w:tcW w:w="1000" w:type="dxa"/>
            <w:vAlign w:val="bottom"/>
            <w:gridSpan w:val="2"/>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20" w:type="dxa"/>
            <w:vAlign w:val="bottom"/>
            <w:vMerge w:val="restart"/>
          </w:tcPr>
          <w:p>
            <w:pPr>
              <w:spacing w:after="0"/>
              <w:rPr>
                <w:rFonts w:ascii="Times New Roman" w:cs="Times New Roman" w:eastAsia="Times New Roman" w:hAnsi="Times New Roman"/>
                <w:sz w:val="18"/>
                <w:szCs w:val="18"/>
                <w:color w:val="0000EE"/>
                <w:w w:val="95"/>
              </w:rPr>
            </w:pPr>
            <w:hyperlink r:id="rId7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5"/>
                <w:szCs w:val="15"/>
                <w:color w:val="0000EE"/>
                <w:w w:val="91"/>
              </w:rPr>
              <w:t>(2)</w:t>
            </w:r>
          </w:p>
        </w:tc>
        <w:tc>
          <w:tcPr>
            <w:tcW w:w="320" w:type="dxa"/>
            <w:vAlign w:val="bottom"/>
          </w:tcPr>
          <w:p>
            <w:pPr>
              <w:spacing w:after="0"/>
              <w:rPr>
                <w:sz w:val="24"/>
                <w:szCs w:val="24"/>
                <w:color w:val="auto"/>
              </w:rPr>
            </w:pPr>
          </w:p>
        </w:tc>
        <w:tc>
          <w:tcPr>
            <w:tcW w:w="5680" w:type="dxa"/>
            <w:vAlign w:val="bottom"/>
            <w:gridSpan w:val="6"/>
            <w:vMerge w:val="continue"/>
          </w:tcPr>
          <w:p>
            <w:pPr>
              <w:spacing w:after="0"/>
              <w:rPr>
                <w:sz w:val="24"/>
                <w:szCs w:val="24"/>
                <w:color w:val="auto"/>
              </w:rPr>
            </w:pPr>
          </w:p>
        </w:tc>
        <w:tc>
          <w:tcPr>
            <w:tcW w:w="3560" w:type="dxa"/>
            <w:vAlign w:val="bottom"/>
            <w:gridSpan w:val="3"/>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tcBorders>
              <w:bottom w:val="single" w:sz="8" w:color="0000EE"/>
            </w:tcBorders>
            <w:gridSpan w:val="6"/>
            <w:vMerge w:val="continue"/>
          </w:tcPr>
          <w:p>
            <w:pPr>
              <w:spacing w:after="0" w:line="20" w:lineRule="exact"/>
              <w:rPr>
                <w:sz w:val="1"/>
                <w:szCs w:val="1"/>
                <w:color w:val="auto"/>
              </w:rPr>
            </w:pPr>
          </w:p>
        </w:tc>
        <w:tc>
          <w:tcPr>
            <w:tcW w:w="3560" w:type="dxa"/>
            <w:vAlign w:val="bottom"/>
            <w:gridSpan w:val="3"/>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60" w:type="dxa"/>
            <w:vAlign w:val="bottom"/>
            <w:gridSpan w:val="3"/>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37">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Certification of Chief Financial Officer of Harvard Bioscience, Inc., pursuant to Rules 13a-14(a) and 15d-14(a), as adopted pursuant to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Section 302 of the Sarbanes-Oxley Act of 2002.</w:t>
              </w:r>
            </w:hyperlink>
          </w:p>
        </w:tc>
        <w:tc>
          <w:tcPr>
            <w:tcW w:w="6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95"/>
              </w:rPr>
            </w:pPr>
            <w:hyperlink w:anchor="page38">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80" w:type="dxa"/>
            <w:vAlign w:val="bottom"/>
            <w:gridSpan w:val="12"/>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Certification of Chief Executive Officer of Harvard Bioscience, Inc., pursuant to Rules 13a-14(a) and 15d-14(a), as adopted pursuant to</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Section 302 of the Sarbanes-Oxley Act of 2002.</w:t>
              </w:r>
            </w:hyperlink>
          </w:p>
        </w:tc>
        <w:tc>
          <w:tcPr>
            <w:tcW w:w="62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gridSpan w:val="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320" w:type="dxa"/>
            <w:vAlign w:val="bottom"/>
          </w:tcPr>
          <w:p>
            <w:pPr>
              <w:spacing w:after="0"/>
              <w:rPr>
                <w:sz w:val="24"/>
                <w:szCs w:val="24"/>
                <w:color w:val="auto"/>
              </w:rPr>
            </w:pPr>
          </w:p>
        </w:tc>
        <w:tc>
          <w:tcPr>
            <w:tcW w:w="9780" w:type="dxa"/>
            <w:vAlign w:val="bottom"/>
            <w:gridSpan w:val="12"/>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Certification of Chief Financial Officer of Harvard Bioscience, Inc., pursuant to 18 U.S.C. Section 1350, as adopted pursuant to Section</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906 of the Sarbanes-Oxley Act of 2002.</w:t>
              </w:r>
            </w:hyperlink>
          </w:p>
        </w:tc>
        <w:tc>
          <w:tcPr>
            <w:tcW w:w="6900" w:type="dxa"/>
            <w:vAlign w:val="bottom"/>
            <w:tcBorders>
              <w:top w:val="single" w:sz="8" w:color="0000EE"/>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2*</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80" w:type="dxa"/>
            <w:vAlign w:val="bottom"/>
            <w:gridSpan w:val="1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Certification of Chief Executive Officer of Harvard Bioscience, Inc., pursuant to 18 U.S.C. Section 1350, as adopted pursuant to</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Section 906 of the Sarbanes-Oxley Act of 2002.</w:t>
              </w:r>
            </w:hyperlink>
          </w:p>
        </w:tc>
        <w:tc>
          <w:tcPr>
            <w:tcW w:w="5780" w:type="dxa"/>
            <w:vAlign w:val="bottom"/>
            <w:tcBorders>
              <w:top w:val="single" w:sz="8" w:color="0000EE"/>
            </w:tcBorders>
            <w:gridSpan w:val="7"/>
          </w:tcPr>
          <w:p>
            <w:pPr>
              <w:spacing w:after="0"/>
              <w:rPr>
                <w:sz w:val="17"/>
                <w:szCs w:val="17"/>
                <w:color w:val="auto"/>
              </w:rPr>
            </w:pPr>
          </w:p>
        </w:tc>
        <w:tc>
          <w:tcPr>
            <w:tcW w:w="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3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43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3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76"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July 8, 2019) and incorporated by reference thereto.</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July 19, 2019) and incorporated by reference thereto.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24" w:right="2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Rossi, certify that:</w:t>
      </w:r>
    </w:p>
    <w:p>
      <w:pPr>
        <w:spacing w:after="0" w:line="207"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80" w:firstLine="449"/>
        <w:spacing w:after="0" w:line="266" w:lineRule="auto"/>
        <w:tabs>
          <w:tab w:leader="none" w:pos="6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60" w:firstLine="449"/>
        <w:spacing w:after="0" w:line="266" w:lineRule="auto"/>
        <w:tabs>
          <w:tab w:leader="none" w:pos="6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120" w:firstLine="449"/>
        <w:spacing w:after="0" w:line="282" w:lineRule="auto"/>
        <w:tabs>
          <w:tab w:leader="none" w:pos="6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40" w:firstLine="449"/>
        <w:spacing w:after="0" w:line="266" w:lineRule="auto"/>
        <w:tabs>
          <w:tab w:leader="none" w:pos="6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 w:firstLine="449"/>
        <w:spacing w:after="0" w:line="282" w:lineRule="auto"/>
        <w:tabs>
          <w:tab w:leader="none" w:pos="6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449"/>
        <w:spacing w:after="0" w:line="282" w:lineRule="auto"/>
        <w:tabs>
          <w:tab w:leader="none" w:pos="6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8, 2019</w:t>
      </w:r>
      <w:r>
        <w:rPr>
          <w:sz w:val="20"/>
          <w:szCs w:val="20"/>
          <w:color w:val="auto"/>
        </w:rPr>
        <w:tab/>
      </w:r>
      <w:r>
        <w:rPr>
          <w:rFonts w:ascii="Times New Roman" w:cs="Times New Roman" w:eastAsia="Times New Roman" w:hAnsi="Times New Roman"/>
          <w:sz w:val="18"/>
          <w:szCs w:val="18"/>
          <w:color w:val="auto"/>
        </w:rPr>
        <w:t>/s/ MICHAEL 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Michael A. Rossi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0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80" w:firstLine="449"/>
        <w:spacing w:after="0" w:line="266" w:lineRule="auto"/>
        <w:tabs>
          <w:tab w:leader="none" w:pos="6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60" w:firstLine="449"/>
        <w:spacing w:after="0" w:line="266" w:lineRule="auto"/>
        <w:tabs>
          <w:tab w:leader="none" w:pos="6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120" w:firstLine="449"/>
        <w:spacing w:after="0" w:line="282" w:lineRule="auto"/>
        <w:tabs>
          <w:tab w:leader="none" w:pos="6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40" w:firstLine="449"/>
        <w:spacing w:after="0" w:line="266" w:lineRule="auto"/>
        <w:tabs>
          <w:tab w:leader="none" w:pos="6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 w:firstLine="449"/>
        <w:spacing w:after="0" w:line="282" w:lineRule="auto"/>
        <w:tabs>
          <w:tab w:leader="none" w:pos="6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449"/>
        <w:spacing w:after="0" w:line="282" w:lineRule="auto"/>
        <w:tabs>
          <w:tab w:leader="none" w:pos="6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8, 2019</w:t>
      </w:r>
      <w:r>
        <w:rPr>
          <w:sz w:val="20"/>
          <w:szCs w:val="20"/>
          <w:color w:val="auto"/>
        </w:rPr>
        <w:tab/>
      </w:r>
      <w:r>
        <w:rPr>
          <w:rFonts w:ascii="Times New Roman" w:cs="Times New Roman" w:eastAsia="Times New Roman" w:hAnsi="Times New Roman"/>
          <w:sz w:val="18"/>
          <w:szCs w:val="18"/>
          <w:color w:val="auto"/>
        </w:rPr>
        <w:t>/s/ JAMES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James Green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ind w:right="120" w:firstLine="441"/>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her knowledge that the Company’s Quarterly Report on Form 10-Q for the quarterly period ended September 30, 2019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8, 2019</w:t>
      </w:r>
      <w:r>
        <w:rPr>
          <w:sz w:val="20"/>
          <w:szCs w:val="20"/>
          <w:color w:val="auto"/>
        </w:rPr>
        <w:tab/>
      </w:r>
      <w:r>
        <w:rPr>
          <w:rFonts w:ascii="Times New Roman" w:cs="Times New Roman" w:eastAsia="Times New Roman" w:hAnsi="Times New Roman"/>
          <w:sz w:val="18"/>
          <w:szCs w:val="18"/>
          <w:color w:val="auto"/>
        </w:rPr>
        <w:t>/s/ MICHAEL 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3327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A. Rossi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966470</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ind w:right="120" w:firstLine="441"/>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September 30, 2019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8, 2019</w:t>
      </w:r>
      <w:r>
        <w:rPr>
          <w:sz w:val="20"/>
          <w:szCs w:val="20"/>
          <w:color w:val="auto"/>
        </w:rPr>
        <w:tab/>
      </w:r>
      <w:r>
        <w:rPr>
          <w:rFonts w:ascii="Times New Roman" w:cs="Times New Roman" w:eastAsia="Times New Roman" w:hAnsi="Times New Roman"/>
          <w:sz w:val="18"/>
          <w:szCs w:val="18"/>
          <w:color w:val="auto"/>
        </w:rPr>
        <w:t>/s/ JAMES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James Green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decimal"/>
      <w:start w:val="6"/>
    </w:lvl>
  </w:abstractNum>
  <w:abstractNum w:abstractNumId="7">
    <w:nsid w:val="257130A3"/>
    <w:multiLevelType w:val="hybridMultilevel"/>
    <w:lvl w:ilvl="0">
      <w:lvlJc w:val="left"/>
      <w:lvlText w:val="%1."/>
      <w:numFmt w:val="decimal"/>
      <w:start w:val="7"/>
    </w:lvl>
  </w:abstractNum>
  <w:abstractNum w:abstractNumId="8">
    <w:nsid w:val="62BBD95A"/>
    <w:multiLevelType w:val="hybridMultilevel"/>
    <w:lvl w:ilvl="0">
      <w:lvlJc w:val="left"/>
      <w:lvlText w:val="%1."/>
      <w:numFmt w:val="decimal"/>
      <w:start w:val="9"/>
    </w:lvl>
  </w:abstractNum>
  <w:abstractNum w:abstractNumId="9">
    <w:nsid w:val="436C6125"/>
    <w:multiLevelType w:val="hybridMultilevel"/>
    <w:lvl w:ilvl="0">
      <w:lvlJc w:val="left"/>
      <w:lvlText w:val="%1."/>
      <w:numFmt w:val="decimal"/>
      <w:start w:val="10"/>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2"/>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3"/>
    </w:lvl>
  </w:abstractNum>
  <w:abstractNum w:abstractNumId="20">
    <w:nsid w:val="B03E0C6"/>
    <w:multiLevelType w:val="hybridMultilevel"/>
    <w:lvl w:ilvl="0">
      <w:lvlJc w:val="left"/>
      <w:lvlText w:val="%1."/>
      <w:numFmt w:val="decimal"/>
      <w:start w:val="14"/>
    </w:lvl>
  </w:abstractNum>
  <w:abstractNum w:abstractNumId="21">
    <w:nsid w:val="189A769B"/>
    <w:multiLevelType w:val="hybridMultilevel"/>
    <w:lvl w:ilvl="0">
      <w:lvlJc w:val="left"/>
      <w:lvlText w:val="%1."/>
      <w:numFmt w:val="decimal"/>
      <w:start w:val="16"/>
    </w:lvl>
  </w:abstractNum>
  <w:abstractNum w:abstractNumId="22">
    <w:nsid w:val="54E49EB4"/>
    <w:multiLevelType w:val="hybridMultilevel"/>
    <w:lvl w:ilvl="0">
      <w:lvlJc w:val="left"/>
      <w:lvlText w:val="%1."/>
      <w:numFmt w:val="decimal"/>
      <w:start w:val="17"/>
    </w:lvl>
  </w:abstractNum>
  <w:abstractNum w:abstractNumId="23">
    <w:nsid w:val="71F32454"/>
    <w:multiLevelType w:val="hybridMultilevel"/>
    <w:lvl w:ilvl="0">
      <w:lvlJc w:val="left"/>
      <w:lvlText w:val="%1."/>
      <w:numFmt w:val="decimal"/>
      <w:start w:val="18"/>
    </w:lvl>
  </w:abstractNum>
  <w:abstractNum w:abstractNumId="24">
    <w:nsid w:val="2CA88611"/>
    <w:multiLevelType w:val="hybridMultilevel"/>
    <w:lvl w:ilvl="0">
      <w:lvlJc w:val="left"/>
      <w:lvlText w:val="%1."/>
      <w:numFmt w:val="decimal"/>
      <w:start w:val="20"/>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0" Type="http://schemas.openxmlformats.org/officeDocument/2006/relationships/hyperlink" Target="http://www.sec.gov/Archives/edgar/data/1123494/000117184319004441/exh_101.htm" TargetMode="External"/><Relationship Id="rId71" Type="http://schemas.openxmlformats.org/officeDocument/2006/relationships/hyperlink" Target="http://www.sec.gov/Archives/edgar/data/1123494/000117184319004441/exh_102.htm" TargetMode="External"/><Relationship Id="rId72" Type="http://schemas.openxmlformats.org/officeDocument/2006/relationships/hyperlink" Target="http://www.sec.gov/Archives/edgar/data/1123494/000117184319004677/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2019-12-28T02:09:06Z</dcterms:created>
  <dcterms:modified xsi:type="dcterms:W3CDTF">2019-12-28T02:09:06Z</dcterms:modified>
</cp:coreProperties>
</file>