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10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LEWIS EARL R</w:t>
              </w:r>
            </w:hyperlink>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3"/>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HARVARD BIOSCIENCE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HBIO</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100" w:type="dxa"/>
            <w:vAlign w:val="bottom"/>
            <w:gridSpan w:val="3"/>
            <w:vMerge w:val="continue"/>
          </w:tcPr>
          <w:p>
            <w:pPr>
              <w:spacing w:after="0"/>
              <w:rPr>
                <w:sz w:val="5"/>
                <w:szCs w:val="5"/>
                <w:color w:val="auto"/>
              </w:rPr>
            </w:pPr>
          </w:p>
        </w:tc>
        <w:tc>
          <w:tcPr>
            <w:tcW w:w="17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640" w:type="dxa"/>
            <w:vAlign w:val="bottom"/>
            <w:tcBorders>
              <w:top w:val="single" w:sz="8" w:color="0000EE"/>
            </w:tcBorders>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17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64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0" w:type="dxa"/>
            <w:vAlign w:val="bottom"/>
          </w:tcPr>
          <w:p>
            <w:pPr>
              <w:spacing w:after="0"/>
              <w:rPr>
                <w:sz w:val="15"/>
                <w:szCs w:val="15"/>
                <w:color w:val="auto"/>
              </w:rPr>
            </w:pPr>
          </w:p>
        </w:tc>
        <w:tc>
          <w:tcPr>
            <w:tcW w:w="820" w:type="dxa"/>
            <w:vAlign w:val="bottom"/>
            <w:tcBorders>
              <w:top w:val="single" w:sz="8" w:color="EEEEEE"/>
            </w:tcBorders>
            <w:vMerge w:val="restart"/>
          </w:tcPr>
          <w:p>
            <w:pPr>
              <w:spacing w:after="0"/>
              <w:rPr>
                <w:sz w:val="20"/>
                <w:szCs w:val="20"/>
                <w:color w:val="auto"/>
              </w:rPr>
            </w:pPr>
            <w:r>
              <w:rPr>
                <w:rFonts w:ascii="Arial" w:cs="Arial" w:eastAsia="Arial" w:hAnsi="Arial"/>
                <w:sz w:val="14"/>
                <w:szCs w:val="14"/>
                <w:color w:val="auto"/>
              </w:rPr>
              <w:t>(Last)</w:t>
            </w:r>
          </w:p>
        </w:tc>
        <w:tc>
          <w:tcPr>
            <w:tcW w:w="1280" w:type="dxa"/>
            <w:vAlign w:val="bottom"/>
            <w:tcBorders>
              <w:top w:val="single" w:sz="8" w:color="EEEEEE"/>
            </w:tcBorders>
            <w:gridSpan w:val="2"/>
            <w:vMerge w:val="restart"/>
          </w:tcPr>
          <w:p>
            <w:pPr>
              <w:ind w:left="460"/>
              <w:spacing w:after="0"/>
              <w:rPr>
                <w:sz w:val="20"/>
                <w:szCs w:val="20"/>
                <w:color w:val="auto"/>
              </w:rPr>
            </w:pPr>
            <w:r>
              <w:rPr>
                <w:rFonts w:ascii="Arial" w:cs="Arial" w:eastAsia="Arial" w:hAnsi="Arial"/>
                <w:sz w:val="14"/>
                <w:szCs w:val="14"/>
                <w:color w:val="auto"/>
              </w:rPr>
              <w:t>(First)</w:t>
            </w:r>
          </w:p>
        </w:tc>
        <w:tc>
          <w:tcPr>
            <w:tcW w:w="1700" w:type="dxa"/>
            <w:vAlign w:val="bottom"/>
            <w:tcBorders>
              <w:top w:val="single" w:sz="8" w:color="EEEEEE"/>
            </w:tcBorders>
            <w:vMerge w:val="restart"/>
          </w:tcPr>
          <w:p>
            <w:pPr>
              <w:ind w:left="440"/>
              <w:spacing w:after="0"/>
              <w:rPr>
                <w:sz w:val="20"/>
                <w:szCs w:val="20"/>
                <w:color w:val="auto"/>
              </w:rPr>
            </w:pPr>
            <w:r>
              <w:rPr>
                <w:rFonts w:ascii="Arial" w:cs="Arial" w:eastAsia="Arial" w:hAnsi="Arial"/>
                <w:sz w:val="14"/>
                <w:szCs w:val="14"/>
                <w:color w:val="auto"/>
              </w:rPr>
              <w:t>(Middle)</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700" w:type="dxa"/>
            <w:vAlign w:val="bottom"/>
            <w:vMerge w:val="continue"/>
          </w:tcPr>
          <w:p>
            <w:pPr>
              <w:spacing w:after="0"/>
              <w:rPr>
                <w:sz w:val="11"/>
                <w:szCs w:val="11"/>
                <w:color w:val="auto"/>
              </w:rPr>
            </w:pPr>
          </w:p>
        </w:tc>
        <w:tc>
          <w:tcPr>
            <w:tcW w:w="2920" w:type="dxa"/>
            <w:vAlign w:val="bottom"/>
            <w:gridSpan w:val="4"/>
            <w:vMerge w:val="restart"/>
          </w:tcPr>
          <w:p>
            <w:pPr>
              <w:ind w:left="160"/>
              <w:spacing w:after="0" w:line="203" w:lineRule="exact"/>
              <w:rPr>
                <w:sz w:val="20"/>
                <w:szCs w:val="20"/>
                <w:color w:val="auto"/>
              </w:rPr>
            </w:pPr>
            <w:r>
              <w:rPr>
                <w:rFonts w:ascii="Arial" w:cs="Arial" w:eastAsia="Arial" w:hAnsi="Arial"/>
                <w:sz w:val="18"/>
                <w:szCs w:val="18"/>
                <w:color w:val="0000FF"/>
              </w:rPr>
              <w:t>01/02/2018</w:t>
            </w: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700" w:type="dxa"/>
            <w:vAlign w:val="bottom"/>
          </w:tcPr>
          <w:p>
            <w:pPr>
              <w:spacing w:after="0"/>
              <w:rPr>
                <w:sz w:val="6"/>
                <w:szCs w:val="6"/>
                <w:color w:val="auto"/>
              </w:rPr>
            </w:pPr>
          </w:p>
        </w:tc>
        <w:tc>
          <w:tcPr>
            <w:tcW w:w="2920" w:type="dxa"/>
            <w:vAlign w:val="bottom"/>
            <w:gridSpan w:val="4"/>
            <w:vMerge w:val="continue"/>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8"/>
          <w:szCs w:val="18"/>
          <w:color w:val="0000FF"/>
        </w:rPr>
        <w:t>87 PINCKNEY STREET</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0"/>
          <w:szCs w:val="20"/>
          <w:color w:val="auto"/>
        </w:rPr>
      </w:pPr>
    </w:p>
    <w:p>
      <w:pPr>
        <w:sectPr>
          <w:pgSz w:w="11900" w:h="16838" w:orient="portrait"/>
          <w:cols w:equalWidth="0" w:num="2">
            <w:col w:w="7980" w:space="77"/>
            <w:col w:w="3363"/>
          </w:cols>
          <w:pgMar w:left="240" w:top="226" w:right="239" w:bottom="1440" w:gutter="0" w:footer="0" w:header="0"/>
          <w:type w:val="continuous"/>
        </w:sectPr>
      </w:pPr>
    </w:p>
    <w:p>
      <w:pPr>
        <w:spacing w:after="0" w:line="255"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BOSTON</w:t>
            </w:r>
          </w:p>
        </w:tc>
        <w:tc>
          <w:tcPr>
            <w:tcW w:w="1120" w:type="dxa"/>
            <w:vAlign w:val="bottom"/>
          </w:tcPr>
          <w:p>
            <w:pPr>
              <w:ind w:left="280"/>
              <w:spacing w:after="0"/>
              <w:rPr>
                <w:sz w:val="20"/>
                <w:szCs w:val="20"/>
                <w:color w:val="auto"/>
              </w:rPr>
            </w:pPr>
            <w:r>
              <w:rPr>
                <w:rFonts w:ascii="Arial" w:cs="Arial" w:eastAsia="Arial" w:hAnsi="Arial"/>
                <w:sz w:val="18"/>
                <w:szCs w:val="18"/>
                <w:color w:val="0000FF"/>
              </w:rPr>
              <w:t>MA</w:t>
            </w:r>
          </w:p>
        </w:tc>
        <w:tc>
          <w:tcPr>
            <w:tcW w:w="1680" w:type="dxa"/>
            <w:vAlign w:val="bottom"/>
          </w:tcPr>
          <w:p>
            <w:pPr>
              <w:ind w:left="420"/>
              <w:spacing w:after="0"/>
              <w:rPr>
                <w:sz w:val="20"/>
                <w:szCs w:val="20"/>
                <w:color w:val="auto"/>
              </w:rPr>
            </w:pPr>
            <w:r>
              <w:rPr>
                <w:rFonts w:ascii="Arial" w:cs="Arial" w:eastAsia="Arial" w:hAnsi="Arial"/>
                <w:sz w:val="18"/>
                <w:szCs w:val="18"/>
                <w:color w:val="0000FF"/>
              </w:rPr>
              <w:t>02114</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01/02/2018</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w w:val="79"/>
              </w:rPr>
              <w:t>9,700</w:t>
            </w:r>
            <w:r>
              <w:rPr>
                <w:rFonts w:ascii="Arial" w:cs="Arial" w:eastAsia="Arial" w:hAnsi="Arial"/>
                <w:sz w:val="22"/>
                <w:szCs w:val="22"/>
                <w:color w:val="008000"/>
                <w:w w:val="79"/>
                <w:vertAlign w:val="superscript"/>
              </w:rPr>
              <w:t>(1)</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w:t>
            </w:r>
          </w:p>
        </w:tc>
        <w:tc>
          <w:tcPr>
            <w:tcW w:w="1260" w:type="dxa"/>
            <w:vAlign w:val="bottom"/>
            <w:tcBorders>
              <w:bottom w:val="single" w:sz="8" w:color="2C2C2C"/>
            </w:tcBorders>
            <w:gridSpan w:val="2"/>
          </w:tcPr>
          <w:p>
            <w:pPr>
              <w:ind w:left="260"/>
              <w:spacing w:after="0"/>
              <w:rPr>
                <w:sz w:val="20"/>
                <w:szCs w:val="20"/>
                <w:color w:val="auto"/>
              </w:rPr>
            </w:pPr>
            <w:r>
              <w:rPr>
                <w:rFonts w:ascii="Arial" w:cs="Arial" w:eastAsia="Arial" w:hAnsi="Arial"/>
                <w:sz w:val="18"/>
                <w:szCs w:val="18"/>
                <w:color w:val="0000FF"/>
              </w:rPr>
              <w:t>477,050</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8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a deferred stock award of 9,700 restricted stock units which vest quarterly in equal installments on March 31, 2018, June 30, 2018, September 30, 2018 and December 31, 2018, and are subject to continued service as a non-employee director on the applicable vesting dates. These retainer awards are granted in lieu and satisfaction of the annual cash retainer compensation to be earned by the director for his service on the Issuer's Board of Directors and its Committees during 2018. The number of shares of common stock subject to such retainer award is equal to the amount of cash that would have been received had the retainers all been paid in cash, divided by the average daily closing market price of the Issuer's common stock for the month of November, rounded to the nearest 100 shares.</w:t>
      </w:r>
    </w:p>
    <w:p>
      <w:pPr>
        <w:spacing w:after="0" w:line="8" w:lineRule="exact"/>
        <w:rPr>
          <w:rFonts w:ascii="Arial" w:cs="Arial" w:eastAsia="Arial" w:hAnsi="Arial"/>
          <w:sz w:val="12"/>
          <w:szCs w:val="12"/>
          <w:color w:val="008000"/>
        </w:rPr>
      </w:pPr>
    </w:p>
    <w:p>
      <w:pPr>
        <w:jc w:val="both"/>
        <w:ind w:left="40" w:right="2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(a) a deferred stock award of 9,700 restricted stock units which vest quarterly in equal installments on March 31, 2018, June 30, 2018, September 30, 2018 and December 31, 2018; (b) a deferred stock award of 31,300 restricted stock units which fully vest on the earlier of (i) the date of the Issuer's next Annual Meeting of Stockholders after May 18, 2017, immediately prior to the commencement of such meeting, and (ii) May 18, 2018; and (c) 436,050 shares of common stock held by the Reporting Person.</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This form has been signed under power of attorney.</w:t>
      </w:r>
    </w:p>
    <w:p>
      <w:pPr>
        <w:spacing w:after="0" w:line="4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/s/ Chad Porter, by power of</w:t>
            </w:r>
          </w:p>
        </w:tc>
        <w:tc>
          <w:tcPr>
            <w:tcW w:w="140" w:type="dxa"/>
            <w:vAlign w:val="bottom"/>
          </w:tcPr>
          <w:p>
            <w:pPr>
              <w:spacing w:after="0"/>
              <w:rPr>
                <w:sz w:val="18"/>
                <w:szCs w:val="18"/>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01/04/2018</w:t>
            </w:r>
          </w:p>
        </w:tc>
        <w:tc>
          <w:tcPr>
            <w:tcW w:w="0" w:type="dxa"/>
            <w:vAlign w:val="bottom"/>
          </w:tcPr>
          <w:p>
            <w:pPr>
              <w:spacing w:after="0"/>
              <w:rPr>
                <w:sz w:val="1"/>
                <w:szCs w:val="1"/>
                <w:color w:val="auto"/>
              </w:rPr>
            </w:pPr>
          </w:p>
        </w:tc>
      </w:tr>
      <w:tr>
        <w:trPr>
          <w:trHeight w:val="88"/>
        </w:trPr>
        <w:tc>
          <w:tcPr>
            <w:tcW w:w="214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w:t>
            </w: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4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30427" TargetMode="External"/><Relationship Id="rId13" Type="http://schemas.openxmlformats.org/officeDocument/2006/relationships/hyperlink" Target="http://www.sec.gov/cgi-bin/browse-edgar?action=getcompany&amp;CIK=00011234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2019-12-04T00:28:28Z</dcterms:created>
  <dcterms:modified xsi:type="dcterms:W3CDTF">2019-12-04T00:28:28Z</dcterms:modified>
</cp:coreProperties>
</file>