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AND EXCHANGE COMMISSION WASHINGTON, DC 20549</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9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4003040</wp:posOffset>
            </wp:positionH>
            <wp:positionV relativeFrom="paragraph">
              <wp:posOffset>-7620</wp:posOffset>
            </wp:positionV>
            <wp:extent cx="63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001-33957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31" w:right="3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04-3306140</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931"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 October Hill Road, Holliston, Massachusetts 01746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893-8999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w w:val="94"/>
              </w:rPr>
              <w:t>Securities registered pursuant to Section 12(b) of the Act</w:t>
            </w:r>
            <w:r>
              <w:rPr>
                <w:rFonts w:ascii="Arial" w:cs="Arial" w:eastAsia="Arial" w:hAnsi="Arial"/>
                <w:sz w:val="18"/>
                <w:szCs w:val="18"/>
                <w:color w:val="auto"/>
                <w:w w:val="94"/>
              </w:rPr>
              <w:t>:</w:t>
            </w:r>
          </w:p>
        </w:tc>
        <w:tc>
          <w:tcPr>
            <w:tcW w:w="286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33"/>
        </w:trPr>
        <w:tc>
          <w:tcPr>
            <w:tcW w:w="3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94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jc w:val="center"/>
              <w:ind w:right="870"/>
              <w:spacing w:after="0" w:line="189" w:lineRule="exact"/>
              <w:rPr>
                <w:sz w:val="20"/>
                <w:szCs w:val="20"/>
                <w:color w:val="auto"/>
              </w:rPr>
            </w:pPr>
            <w:r>
              <w:rPr>
                <w:rFonts w:ascii="Arial" w:cs="Arial" w:eastAsia="Arial" w:hAnsi="Arial"/>
                <w:sz w:val="18"/>
                <w:szCs w:val="18"/>
                <w:color w:val="auto"/>
                <w:w w:val="91"/>
              </w:rPr>
              <w:t>Trading Symbol(s)</w:t>
            </w:r>
          </w:p>
        </w:tc>
        <w:tc>
          <w:tcPr>
            <w:tcW w:w="37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$0.01 par value</w:t>
            </w:r>
          </w:p>
        </w:tc>
        <w:tc>
          <w:tcPr>
            <w:tcW w:w="940" w:type="dxa"/>
            <w:vAlign w:val="bottom"/>
            <w:tcBorders>
              <w:bottom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jc w:val="center"/>
              <w:ind w:right="850"/>
              <w:spacing w:after="0" w:line="193" w:lineRule="exact"/>
              <w:rPr>
                <w:sz w:val="20"/>
                <w:szCs w:val="20"/>
                <w:color w:val="auto"/>
              </w:rPr>
            </w:pPr>
            <w:r>
              <w:rPr>
                <w:rFonts w:ascii="Arial" w:cs="Arial" w:eastAsia="Arial" w:hAnsi="Arial"/>
                <w:sz w:val="18"/>
                <w:szCs w:val="18"/>
                <w:color w:val="auto"/>
                <w:w w:val="99"/>
              </w:rPr>
              <w:t>HBIO</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8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31" w:right="339" w:bottom="1440" w:gutter="0" w:footer="0" w:header="0"/>
          <w:type w:val="continuous"/>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3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2023, there were 42,688,246 shares of the registrant’s common stock issued and outstanding.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00" w:type="dxa"/>
            <w:vAlign w:val="bottom"/>
            <w:gridSpan w:val="15"/>
          </w:tcPr>
          <w:p>
            <w:pPr>
              <w:spacing w:after="0"/>
              <w:rPr>
                <w:sz w:val="20"/>
                <w:szCs w:val="20"/>
                <w:color w:val="auto"/>
              </w:rPr>
            </w:pPr>
            <w:r>
              <w:rPr>
                <w:rFonts w:ascii="Arial" w:cs="Arial" w:eastAsia="Arial" w:hAnsi="Arial"/>
                <w:sz w:val="18"/>
                <w:szCs w:val="18"/>
                <w:color w:val="0000EE"/>
              </w:rPr>
              <w:t>Table of Contents</w:t>
            </w: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696"/>
        </w:trPr>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9"/>
              </w:rPr>
              <w:t>HARVARD BIOSCIENCE, INC.</w:t>
            </w: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jc w:val="center"/>
              <w:ind w:right="610"/>
              <w:spacing w:after="0"/>
              <w:rPr>
                <w:sz w:val="20"/>
                <w:szCs w:val="20"/>
                <w:color w:val="auto"/>
              </w:rPr>
            </w:pPr>
            <w:r>
              <w:rPr>
                <w:rFonts w:ascii="Arial" w:cs="Arial" w:eastAsia="Arial" w:hAnsi="Arial"/>
                <w:sz w:val="18"/>
                <w:szCs w:val="18"/>
                <w:b w:val="1"/>
                <w:bCs w:val="1"/>
                <w:color w:val="auto"/>
                <w:w w:val="99"/>
              </w:rPr>
              <w:t>FORM 10-Q</w:t>
            </w: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jc w:val="center"/>
              <w:ind w:right="610"/>
              <w:spacing w:after="0"/>
              <w:rPr>
                <w:sz w:val="20"/>
                <w:szCs w:val="20"/>
                <w:color w:val="auto"/>
              </w:rPr>
            </w:pPr>
            <w:r>
              <w:rPr>
                <w:rFonts w:ascii="Arial" w:cs="Arial" w:eastAsia="Arial" w:hAnsi="Arial"/>
                <w:sz w:val="18"/>
                <w:szCs w:val="18"/>
                <w:b w:val="1"/>
                <w:bCs w:val="1"/>
                <w:color w:val="auto"/>
              </w:rPr>
              <w:t>INDEX</w:t>
            </w: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40" w:type="dxa"/>
            <w:vAlign w:val="bottom"/>
            <w:gridSpan w:val="3"/>
          </w:tcPr>
          <w:p>
            <w:pPr>
              <w:ind w:left="3780"/>
              <w:spacing w:after="0"/>
              <w:rPr>
                <w:sz w:val="20"/>
                <w:szCs w:val="20"/>
                <w:color w:val="auto"/>
              </w:rPr>
            </w:pPr>
            <w:r>
              <w:rPr>
                <w:rFonts w:ascii="Arial" w:cs="Arial" w:eastAsia="Arial" w:hAnsi="Arial"/>
                <w:sz w:val="18"/>
                <w:szCs w:val="18"/>
                <w:b w:val="1"/>
                <w:bCs w:val="1"/>
                <w:color w:val="auto"/>
              </w:rPr>
              <w:t>Page</w:t>
            </w:r>
          </w:p>
        </w:tc>
      </w:tr>
      <w:tr>
        <w:trPr>
          <w:trHeight w:val="391"/>
        </w:trPr>
        <w:tc>
          <w:tcPr>
            <w:tcW w:w="2880" w:type="dxa"/>
            <w:vAlign w:val="bottom"/>
            <w:gridSpan w:val="8"/>
          </w:tcPr>
          <w:p>
            <w:pPr>
              <w:spacing w:after="0"/>
              <w:rPr>
                <w:sz w:val="20"/>
                <w:szCs w:val="20"/>
                <w:color w:val="auto"/>
              </w:rPr>
            </w:pPr>
            <w:r>
              <w:rPr>
                <w:rFonts w:ascii="Arial" w:cs="Arial" w:eastAsia="Arial" w:hAnsi="Arial"/>
                <w:sz w:val="18"/>
                <w:szCs w:val="18"/>
                <w:color w:val="0000EE"/>
                <w:w w:val="94"/>
              </w:rPr>
              <w:t>PART I - FINANCIAL INFORMATION</w:t>
            </w:r>
          </w:p>
        </w:tc>
        <w:tc>
          <w:tcPr>
            <w:tcW w:w="4120" w:type="dxa"/>
            <w:vAlign w:val="bottom"/>
            <w:gridSpan w:val="7"/>
          </w:tcPr>
          <w:p>
            <w:pPr>
              <w:spacing w:after="0"/>
              <w:rPr>
                <w:sz w:val="24"/>
                <w:szCs w:val="24"/>
                <w:color w:val="auto"/>
              </w:rPr>
            </w:pP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3</w:t>
            </w:r>
          </w:p>
        </w:tc>
        <w:tc>
          <w:tcPr>
            <w:tcW w:w="240" w:type="dxa"/>
            <w:vAlign w:val="bottom"/>
          </w:tcPr>
          <w:p>
            <w:pPr>
              <w:spacing w:after="0"/>
              <w:rPr>
                <w:sz w:val="24"/>
                <w:szCs w:val="24"/>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7000" w:type="dxa"/>
            <w:vAlign w:val="bottom"/>
            <w:gridSpan w:val="15"/>
          </w:tcPr>
          <w:p>
            <w:pPr>
              <w:spacing w:after="0"/>
              <w:rPr>
                <w:sz w:val="20"/>
                <w:szCs w:val="20"/>
                <w:color w:val="auto"/>
              </w:rPr>
            </w:pPr>
            <w:r>
              <w:rPr>
                <w:rFonts w:ascii="Arial" w:cs="Arial" w:eastAsia="Arial" w:hAnsi="Arial"/>
                <w:sz w:val="18"/>
                <w:szCs w:val="18"/>
                <w:color w:val="0000EE"/>
              </w:rPr>
              <w:t>Item 1. Condensed Consolidated Financial Statements (unaudited)</w:t>
            </w: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3</w:t>
            </w:r>
          </w:p>
        </w:tc>
        <w:tc>
          <w:tcPr>
            <w:tcW w:w="240" w:type="dxa"/>
            <w:vAlign w:val="bottom"/>
          </w:tcPr>
          <w:p>
            <w:pPr>
              <w:spacing w:after="0"/>
              <w:rPr>
                <w:sz w:val="24"/>
                <w:szCs w:val="24"/>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3940" w:type="dxa"/>
            <w:vAlign w:val="bottom"/>
            <w:gridSpan w:val="11"/>
          </w:tcPr>
          <w:p>
            <w:pPr>
              <w:spacing w:after="0"/>
              <w:rPr>
                <w:sz w:val="20"/>
                <w:szCs w:val="20"/>
                <w:color w:val="auto"/>
              </w:rPr>
            </w:pPr>
            <w:r>
              <w:rPr>
                <w:rFonts w:ascii="Arial" w:cs="Arial" w:eastAsia="Arial" w:hAnsi="Arial"/>
                <w:sz w:val="18"/>
                <w:szCs w:val="18"/>
                <w:color w:val="0000EE"/>
              </w:rPr>
              <w:t>Consolidated Balance Sheets</w:t>
            </w:r>
          </w:p>
        </w:tc>
        <w:tc>
          <w:tcPr>
            <w:tcW w:w="2240" w:type="dxa"/>
            <w:vAlign w:val="bottom"/>
            <w:gridSpan w:val="3"/>
          </w:tcPr>
          <w:p>
            <w:pPr>
              <w:spacing w:after="0"/>
              <w:rPr>
                <w:sz w:val="24"/>
                <w:szCs w:val="24"/>
                <w:color w:val="auto"/>
              </w:rPr>
            </w:pP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3</w:t>
            </w: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0000EE"/>
                <w:w w:val="89"/>
              </w:rPr>
              <w:t>Consolidated Statements of Operations</w:t>
            </w:r>
          </w:p>
        </w:tc>
        <w:tc>
          <w:tcPr>
            <w:tcW w:w="3360" w:type="dxa"/>
            <w:vAlign w:val="bottom"/>
            <w:gridSpan w:val="6"/>
          </w:tcPr>
          <w:p>
            <w:pPr>
              <w:spacing w:after="0"/>
              <w:rPr>
                <w:sz w:val="24"/>
                <w:szCs w:val="24"/>
                <w:color w:val="auto"/>
              </w:rPr>
            </w:pP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4</w:t>
            </w: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3520" w:type="dxa"/>
            <w:vAlign w:val="bottom"/>
            <w:gridSpan w:val="10"/>
          </w:tcPr>
          <w:p>
            <w:pPr>
              <w:spacing w:after="0"/>
              <w:rPr>
                <w:sz w:val="20"/>
                <w:szCs w:val="20"/>
                <w:color w:val="auto"/>
              </w:rPr>
            </w:pPr>
            <w:r>
              <w:rPr>
                <w:rFonts w:ascii="Arial" w:cs="Arial" w:eastAsia="Arial" w:hAnsi="Arial"/>
                <w:sz w:val="18"/>
                <w:szCs w:val="18"/>
                <w:color w:val="0000EE"/>
                <w:w w:val="88"/>
              </w:rPr>
              <w:t>Consolidated Statements of Comprehensive Loss</w:t>
            </w:r>
          </w:p>
        </w:tc>
        <w:tc>
          <w:tcPr>
            <w:tcW w:w="2660" w:type="dxa"/>
            <w:vAlign w:val="bottom"/>
            <w:gridSpan w:val="4"/>
          </w:tcPr>
          <w:p>
            <w:pPr>
              <w:spacing w:after="0"/>
              <w:rPr>
                <w:sz w:val="24"/>
                <w:szCs w:val="24"/>
                <w:color w:val="auto"/>
              </w:rPr>
            </w:pP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5</w:t>
            </w: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3520" w:type="dxa"/>
            <w:vAlign w:val="bottom"/>
            <w:gridSpan w:val="10"/>
          </w:tcPr>
          <w:p>
            <w:pPr>
              <w:spacing w:after="0"/>
              <w:rPr>
                <w:sz w:val="20"/>
                <w:szCs w:val="20"/>
                <w:color w:val="auto"/>
              </w:rPr>
            </w:pPr>
            <w:r>
              <w:rPr>
                <w:rFonts w:ascii="Arial" w:cs="Arial" w:eastAsia="Arial" w:hAnsi="Arial"/>
                <w:sz w:val="18"/>
                <w:szCs w:val="18"/>
                <w:color w:val="0000EE"/>
                <w:w w:val="89"/>
              </w:rPr>
              <w:t>Consolidated Statements of Stockholders' Equity</w:t>
            </w:r>
          </w:p>
        </w:tc>
        <w:tc>
          <w:tcPr>
            <w:tcW w:w="2660" w:type="dxa"/>
            <w:vAlign w:val="bottom"/>
            <w:gridSpan w:val="4"/>
          </w:tcPr>
          <w:p>
            <w:pPr>
              <w:spacing w:after="0"/>
              <w:rPr>
                <w:sz w:val="24"/>
                <w:szCs w:val="24"/>
                <w:color w:val="auto"/>
              </w:rPr>
            </w:pP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6</w:t>
            </w: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3520" w:type="dxa"/>
            <w:vAlign w:val="bottom"/>
            <w:gridSpan w:val="10"/>
          </w:tcPr>
          <w:p>
            <w:pPr>
              <w:spacing w:after="0"/>
              <w:rPr>
                <w:sz w:val="20"/>
                <w:szCs w:val="20"/>
                <w:color w:val="auto"/>
              </w:rPr>
            </w:pPr>
            <w:r>
              <w:rPr>
                <w:rFonts w:ascii="Arial" w:cs="Arial" w:eastAsia="Arial" w:hAnsi="Arial"/>
                <w:sz w:val="18"/>
                <w:szCs w:val="18"/>
                <w:color w:val="0000EE"/>
              </w:rPr>
              <w:t>Consolidated Statements of Cash Flows</w:t>
            </w:r>
          </w:p>
        </w:tc>
        <w:tc>
          <w:tcPr>
            <w:tcW w:w="2660" w:type="dxa"/>
            <w:vAlign w:val="bottom"/>
            <w:gridSpan w:val="4"/>
          </w:tcPr>
          <w:p>
            <w:pPr>
              <w:spacing w:after="0"/>
              <w:rPr>
                <w:sz w:val="24"/>
                <w:szCs w:val="24"/>
                <w:color w:val="auto"/>
              </w:rPr>
            </w:pP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7</w:t>
            </w: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6180" w:type="dxa"/>
            <w:vAlign w:val="bottom"/>
            <w:gridSpan w:val="14"/>
          </w:tcPr>
          <w:p>
            <w:pPr>
              <w:spacing w:after="0"/>
              <w:rPr>
                <w:sz w:val="20"/>
                <w:szCs w:val="20"/>
                <w:color w:val="auto"/>
              </w:rPr>
            </w:pPr>
            <w:r>
              <w:rPr>
                <w:rFonts w:ascii="Arial" w:cs="Arial" w:eastAsia="Arial" w:hAnsi="Arial"/>
                <w:sz w:val="18"/>
                <w:szCs w:val="18"/>
                <w:color w:val="0000EE"/>
              </w:rPr>
              <w:t>Notes to Unaudited Consolidated Financial Statements</w:t>
            </w:r>
          </w:p>
        </w:tc>
        <w:tc>
          <w:tcPr>
            <w:tcW w:w="4000" w:type="dxa"/>
            <w:vAlign w:val="bottom"/>
            <w:gridSpan w:val="2"/>
          </w:tcPr>
          <w:p>
            <w:pPr>
              <w:jc w:val="center"/>
              <w:ind w:left="3830"/>
              <w:spacing w:after="0"/>
              <w:rPr>
                <w:sz w:val="20"/>
                <w:szCs w:val="20"/>
                <w:color w:val="auto"/>
              </w:rPr>
            </w:pPr>
            <w:r>
              <w:rPr>
                <w:rFonts w:ascii="Arial" w:cs="Arial" w:eastAsia="Arial" w:hAnsi="Arial"/>
                <w:sz w:val="18"/>
                <w:szCs w:val="18"/>
                <w:color w:val="0000EE"/>
                <w:w w:val="79"/>
              </w:rPr>
              <w:t>8</w:t>
            </w: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7000" w:type="dxa"/>
            <w:vAlign w:val="bottom"/>
            <w:gridSpan w:val="15"/>
          </w:tcPr>
          <w:p>
            <w:pPr>
              <w:spacing w:after="0"/>
              <w:rPr>
                <w:sz w:val="20"/>
                <w:szCs w:val="20"/>
                <w:color w:val="auto"/>
              </w:rPr>
            </w:pPr>
            <w:r>
              <w:rPr>
                <w:rFonts w:ascii="Arial" w:cs="Arial" w:eastAsia="Arial" w:hAnsi="Arial"/>
                <w:sz w:val="18"/>
                <w:szCs w:val="18"/>
                <w:color w:val="0000EE"/>
                <w:w w:val="90"/>
              </w:rPr>
              <w:t>Item 2. Management’s Discussion and Analysis of Financial Condition and Results of Operations</w:t>
            </w: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19</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4880" w:type="dxa"/>
            <w:vAlign w:val="bottom"/>
            <w:gridSpan w:val="13"/>
          </w:tcPr>
          <w:p>
            <w:pPr>
              <w:spacing w:after="0"/>
              <w:rPr>
                <w:sz w:val="20"/>
                <w:szCs w:val="20"/>
                <w:color w:val="auto"/>
              </w:rPr>
            </w:pPr>
            <w:r>
              <w:rPr>
                <w:rFonts w:ascii="Arial" w:cs="Arial" w:eastAsia="Arial" w:hAnsi="Arial"/>
                <w:sz w:val="18"/>
                <w:szCs w:val="18"/>
                <w:color w:val="0000EE"/>
                <w:w w:val="91"/>
              </w:rPr>
              <w:t>Item 3. Quantitative and Qualitative Disclosures about Market Risk</w:t>
            </w:r>
          </w:p>
        </w:tc>
        <w:tc>
          <w:tcPr>
            <w:tcW w:w="2120" w:type="dxa"/>
            <w:vAlign w:val="bottom"/>
            <w:gridSpan w:val="2"/>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25</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340" w:type="dxa"/>
            <w:vAlign w:val="bottom"/>
            <w:gridSpan w:val="6"/>
          </w:tcPr>
          <w:p>
            <w:pPr>
              <w:spacing w:after="0"/>
              <w:rPr>
                <w:sz w:val="20"/>
                <w:szCs w:val="20"/>
                <w:color w:val="auto"/>
              </w:rPr>
            </w:pPr>
            <w:r>
              <w:rPr>
                <w:rFonts w:ascii="Arial" w:cs="Arial" w:eastAsia="Arial" w:hAnsi="Arial"/>
                <w:sz w:val="18"/>
                <w:szCs w:val="18"/>
                <w:color w:val="0000EE"/>
                <w:w w:val="89"/>
              </w:rPr>
              <w:t>Item 4. Controls and Procedures</w:t>
            </w:r>
          </w:p>
        </w:tc>
        <w:tc>
          <w:tcPr>
            <w:tcW w:w="2540" w:type="dxa"/>
            <w:vAlign w:val="bottom"/>
            <w:gridSpan w:val="7"/>
          </w:tcPr>
          <w:p>
            <w:pPr>
              <w:spacing w:after="0"/>
              <w:rPr>
                <w:sz w:val="24"/>
                <w:szCs w:val="24"/>
                <w:color w:val="auto"/>
              </w:rPr>
            </w:pPr>
          </w:p>
        </w:tc>
        <w:tc>
          <w:tcPr>
            <w:tcW w:w="2120" w:type="dxa"/>
            <w:vAlign w:val="bottom"/>
            <w:gridSpan w:val="2"/>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25</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640" w:type="dxa"/>
            <w:vAlign w:val="bottom"/>
            <w:gridSpan w:val="7"/>
          </w:tcPr>
          <w:p>
            <w:pPr>
              <w:spacing w:after="0"/>
              <w:rPr>
                <w:sz w:val="20"/>
                <w:szCs w:val="20"/>
                <w:color w:val="auto"/>
              </w:rPr>
            </w:pPr>
            <w:r>
              <w:rPr>
                <w:rFonts w:ascii="Arial" w:cs="Arial" w:eastAsia="Arial" w:hAnsi="Arial"/>
                <w:sz w:val="18"/>
                <w:szCs w:val="18"/>
                <w:color w:val="0000EE"/>
                <w:w w:val="95"/>
              </w:rPr>
              <w:t>PART II - OTHER INFORMATION</w:t>
            </w:r>
          </w:p>
        </w:tc>
        <w:tc>
          <w:tcPr>
            <w:tcW w:w="4360" w:type="dxa"/>
            <w:vAlign w:val="bottom"/>
            <w:gridSpan w:val="8"/>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1880" w:type="dxa"/>
            <w:vAlign w:val="bottom"/>
            <w:gridSpan w:val="5"/>
          </w:tcPr>
          <w:p>
            <w:pPr>
              <w:spacing w:after="0"/>
              <w:rPr>
                <w:sz w:val="20"/>
                <w:szCs w:val="20"/>
                <w:color w:val="auto"/>
              </w:rPr>
            </w:pPr>
            <w:r>
              <w:rPr>
                <w:rFonts w:ascii="Arial" w:cs="Arial" w:eastAsia="Arial" w:hAnsi="Arial"/>
                <w:sz w:val="18"/>
                <w:szCs w:val="18"/>
                <w:color w:val="0000EE"/>
                <w:w w:val="87"/>
              </w:rPr>
              <w:t>Item 1. Legal Proceedings</w:t>
            </w:r>
          </w:p>
        </w:tc>
        <w:tc>
          <w:tcPr>
            <w:tcW w:w="760" w:type="dxa"/>
            <w:vAlign w:val="bottom"/>
            <w:gridSpan w:val="2"/>
          </w:tcPr>
          <w:p>
            <w:pPr>
              <w:spacing w:after="0"/>
              <w:rPr>
                <w:sz w:val="24"/>
                <w:szCs w:val="24"/>
                <w:color w:val="auto"/>
              </w:rPr>
            </w:pPr>
          </w:p>
        </w:tc>
        <w:tc>
          <w:tcPr>
            <w:tcW w:w="4360" w:type="dxa"/>
            <w:vAlign w:val="bottom"/>
            <w:gridSpan w:val="8"/>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1560" w:type="dxa"/>
            <w:vAlign w:val="bottom"/>
            <w:gridSpan w:val="4"/>
          </w:tcPr>
          <w:p>
            <w:pPr>
              <w:spacing w:after="0"/>
              <w:rPr>
                <w:sz w:val="20"/>
                <w:szCs w:val="20"/>
                <w:color w:val="auto"/>
              </w:rPr>
            </w:pPr>
            <w:r>
              <w:rPr>
                <w:rFonts w:ascii="Arial" w:cs="Arial" w:eastAsia="Arial" w:hAnsi="Arial"/>
                <w:sz w:val="18"/>
                <w:szCs w:val="18"/>
                <w:color w:val="0000EE"/>
                <w:w w:val="92"/>
              </w:rPr>
              <w:t>Item1A. Risk Factors</w:t>
            </w:r>
          </w:p>
        </w:tc>
        <w:tc>
          <w:tcPr>
            <w:tcW w:w="320" w:type="dxa"/>
            <w:vAlign w:val="bottom"/>
          </w:tcPr>
          <w:p>
            <w:pPr>
              <w:spacing w:after="0"/>
              <w:rPr>
                <w:sz w:val="24"/>
                <w:szCs w:val="24"/>
                <w:color w:val="auto"/>
              </w:rPr>
            </w:pPr>
          </w:p>
        </w:tc>
        <w:tc>
          <w:tcPr>
            <w:tcW w:w="5120" w:type="dxa"/>
            <w:vAlign w:val="bottom"/>
            <w:gridSpan w:val="10"/>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4960" w:type="dxa"/>
            <w:vAlign w:val="bottom"/>
            <w:gridSpan w:val="14"/>
          </w:tcPr>
          <w:p>
            <w:pPr>
              <w:spacing w:after="0"/>
              <w:rPr>
                <w:sz w:val="20"/>
                <w:szCs w:val="20"/>
                <w:color w:val="auto"/>
              </w:rPr>
            </w:pPr>
            <w:r>
              <w:rPr>
                <w:rFonts w:ascii="Arial" w:cs="Arial" w:eastAsia="Arial" w:hAnsi="Arial"/>
                <w:sz w:val="18"/>
                <w:szCs w:val="18"/>
                <w:color w:val="0000EE"/>
                <w:w w:val="89"/>
              </w:rPr>
              <w:t>Item 2. Unregistered Sales of Equity Securities and Use of Proceeds.</w:t>
            </w:r>
          </w:p>
        </w:tc>
        <w:tc>
          <w:tcPr>
            <w:tcW w:w="2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8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4960" w:type="dxa"/>
            <w:vAlign w:val="bottom"/>
            <w:gridSpan w:val="14"/>
          </w:tcPr>
          <w:p>
            <w:pPr>
              <w:spacing w:after="0"/>
              <w:rPr>
                <w:sz w:val="20"/>
                <w:szCs w:val="20"/>
                <w:color w:val="auto"/>
              </w:rPr>
            </w:pPr>
            <w:r>
              <w:rPr>
                <w:rFonts w:ascii="Arial" w:cs="Arial" w:eastAsia="Arial" w:hAnsi="Arial"/>
                <w:sz w:val="18"/>
                <w:szCs w:val="18"/>
                <w:color w:val="0000EE"/>
              </w:rPr>
              <w:t>Item 3. Defaults Upon Senior Securities</w:t>
            </w:r>
          </w:p>
        </w:tc>
        <w:tc>
          <w:tcPr>
            <w:tcW w:w="2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8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340" w:type="dxa"/>
            <w:vAlign w:val="bottom"/>
            <w:gridSpan w:val="6"/>
          </w:tcPr>
          <w:p>
            <w:pPr>
              <w:spacing w:after="0"/>
              <w:rPr>
                <w:sz w:val="20"/>
                <w:szCs w:val="20"/>
                <w:color w:val="auto"/>
              </w:rPr>
            </w:pPr>
            <w:r>
              <w:rPr>
                <w:rFonts w:ascii="Arial" w:cs="Arial" w:eastAsia="Arial" w:hAnsi="Arial"/>
                <w:sz w:val="18"/>
                <w:szCs w:val="18"/>
                <w:color w:val="0000EE"/>
                <w:w w:val="91"/>
              </w:rPr>
              <w:t>Item 4. Mine Safety Disclosures</w:t>
            </w:r>
          </w:p>
        </w:tc>
        <w:tc>
          <w:tcPr>
            <w:tcW w:w="540" w:type="dxa"/>
            <w:vAlign w:val="bottom"/>
            <w:gridSpan w:val="2"/>
          </w:tcPr>
          <w:p>
            <w:pPr>
              <w:spacing w:after="0"/>
              <w:rPr>
                <w:sz w:val="24"/>
                <w:szCs w:val="24"/>
                <w:color w:val="auto"/>
              </w:rPr>
            </w:pPr>
          </w:p>
        </w:tc>
        <w:tc>
          <w:tcPr>
            <w:tcW w:w="4120" w:type="dxa"/>
            <w:vAlign w:val="bottom"/>
            <w:gridSpan w:val="7"/>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1880" w:type="dxa"/>
            <w:vAlign w:val="bottom"/>
            <w:gridSpan w:val="5"/>
          </w:tcPr>
          <w:p>
            <w:pPr>
              <w:spacing w:after="0"/>
              <w:rPr>
                <w:sz w:val="20"/>
                <w:szCs w:val="20"/>
                <w:color w:val="auto"/>
              </w:rPr>
            </w:pPr>
            <w:r>
              <w:rPr>
                <w:rFonts w:ascii="Arial" w:cs="Arial" w:eastAsia="Arial" w:hAnsi="Arial"/>
                <w:sz w:val="18"/>
                <w:szCs w:val="18"/>
                <w:color w:val="0000EE"/>
                <w:w w:val="91"/>
              </w:rPr>
              <w:t>Item 5. Other Information</w:t>
            </w:r>
          </w:p>
        </w:tc>
        <w:tc>
          <w:tcPr>
            <w:tcW w:w="460" w:type="dxa"/>
            <w:vAlign w:val="bottom"/>
          </w:tcPr>
          <w:p>
            <w:pPr>
              <w:spacing w:after="0"/>
              <w:rPr>
                <w:sz w:val="24"/>
                <w:szCs w:val="24"/>
                <w:color w:val="auto"/>
              </w:rPr>
            </w:pPr>
          </w:p>
        </w:tc>
        <w:tc>
          <w:tcPr>
            <w:tcW w:w="4660" w:type="dxa"/>
            <w:vAlign w:val="bottom"/>
            <w:gridSpan w:val="9"/>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1880" w:type="dxa"/>
            <w:vAlign w:val="bottom"/>
            <w:gridSpan w:val="5"/>
          </w:tcPr>
          <w:p>
            <w:pPr>
              <w:spacing w:after="0"/>
              <w:rPr>
                <w:sz w:val="20"/>
                <w:szCs w:val="20"/>
                <w:color w:val="auto"/>
              </w:rPr>
            </w:pPr>
            <w:r>
              <w:rPr>
                <w:rFonts w:ascii="Arial" w:cs="Arial" w:eastAsia="Arial" w:hAnsi="Arial"/>
                <w:sz w:val="18"/>
                <w:szCs w:val="18"/>
                <w:color w:val="0000EE"/>
              </w:rPr>
              <w:t>Item 6. Exhibits</w:t>
            </w:r>
          </w:p>
        </w:tc>
        <w:tc>
          <w:tcPr>
            <w:tcW w:w="5120" w:type="dxa"/>
            <w:vAlign w:val="bottom"/>
            <w:gridSpan w:val="10"/>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26</w:t>
            </w:r>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5840" w:type="dxa"/>
            <w:vAlign w:val="bottom"/>
            <w:gridSpan w:val="13"/>
          </w:tcPr>
          <w:p>
            <w:pPr>
              <w:spacing w:after="0" w:line="20" w:lineRule="exact"/>
              <w:rPr>
                <w:sz w:val="1"/>
                <w:szCs w:val="1"/>
                <w:color w:val="auto"/>
              </w:rPr>
            </w:pPr>
          </w:p>
        </w:tc>
        <w:tc>
          <w:tcPr>
            <w:tcW w:w="3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0000EE"/>
                <w:w w:val="95"/>
              </w:rPr>
              <w:t>SIGNATURES</w:t>
            </w:r>
          </w:p>
        </w:tc>
        <w:tc>
          <w:tcPr>
            <w:tcW w:w="5840" w:type="dxa"/>
            <w:vAlign w:val="bottom"/>
            <w:gridSpan w:val="13"/>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gridSpan w:val="2"/>
          </w:tcPr>
          <w:p>
            <w:pPr>
              <w:jc w:val="center"/>
              <w:ind w:right="200"/>
              <w:spacing w:after="0"/>
              <w:rPr>
                <w:sz w:val="20"/>
                <w:szCs w:val="20"/>
                <w:color w:val="auto"/>
              </w:rPr>
            </w:pPr>
            <w:r>
              <w:rPr>
                <w:rFonts w:ascii="Arial" w:cs="Arial" w:eastAsia="Arial" w:hAnsi="Arial"/>
                <w:sz w:val="15"/>
                <w:szCs w:val="15"/>
                <w:color w:val="0000EE"/>
                <w:w w:val="71"/>
              </w:rPr>
              <w:t>27</w:t>
            </w:r>
          </w:p>
        </w:tc>
      </w:tr>
      <w:tr>
        <w:trPr>
          <w:trHeight w:val="669"/>
        </w:trPr>
        <w:tc>
          <w:tcPr>
            <w:tcW w:w="1160" w:type="dxa"/>
            <w:vAlign w:val="bottom"/>
            <w:tcBorders>
              <w:top w:val="single" w:sz="8" w:color="0000EE"/>
            </w:tcBorders>
            <w:gridSpan w:val="2"/>
          </w:tcPr>
          <w:p>
            <w:pPr>
              <w:spacing w:after="0"/>
              <w:rPr>
                <w:sz w:val="24"/>
                <w:szCs w:val="24"/>
                <w:color w:val="auto"/>
              </w:rPr>
            </w:pPr>
          </w:p>
        </w:tc>
        <w:tc>
          <w:tcPr>
            <w:tcW w:w="5840" w:type="dxa"/>
            <w:vAlign w:val="bottom"/>
            <w:gridSpan w:val="13"/>
          </w:tcPr>
          <w:p>
            <w:pPr>
              <w:jc w:val="center"/>
              <w:ind w:left="2990"/>
              <w:spacing w:after="0"/>
              <w:rPr>
                <w:sz w:val="20"/>
                <w:szCs w:val="20"/>
                <w:color w:val="auto"/>
              </w:rPr>
            </w:pPr>
            <w:r>
              <w:rPr>
                <w:rFonts w:ascii="Arial" w:cs="Arial" w:eastAsia="Arial" w:hAnsi="Arial"/>
                <w:sz w:val="18"/>
                <w:szCs w:val="18"/>
                <w:color w:val="auto"/>
                <w:w w:val="79"/>
              </w:rPr>
              <w:t>2</w:t>
            </w:r>
          </w:p>
        </w:tc>
        <w:tc>
          <w:tcPr>
            <w:tcW w:w="39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June 30, 2023</w:t>
            </w:r>
          </w:p>
        </w:tc>
        <w:tc>
          <w:tcPr>
            <w:tcW w:w="1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4"/>
              </w:rPr>
              <w:t>December 31, 2022</w:t>
            </w:r>
          </w:p>
        </w:tc>
      </w:tr>
      <w:tr>
        <w:trPr>
          <w:trHeight w:val="189"/>
        </w:trPr>
        <w:tc>
          <w:tcPr>
            <w:tcW w:w="4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Assets</w:t>
            </w:r>
          </w:p>
        </w:tc>
        <w:tc>
          <w:tcPr>
            <w:tcW w:w="730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4,324</w:t>
            </w:r>
          </w:p>
        </w:tc>
        <w:tc>
          <w:tcPr>
            <w:tcW w:w="5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4,508</w:t>
            </w:r>
          </w:p>
        </w:tc>
      </w:tr>
      <w:tr>
        <w:trPr>
          <w:trHeight w:val="216"/>
        </w:trPr>
        <w:tc>
          <w:tcPr>
            <w:tcW w:w="77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16,903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16,705</w:t>
            </w:r>
          </w:p>
        </w:tc>
      </w:tr>
      <w:tr>
        <w:trPr>
          <w:trHeight w:val="216"/>
        </w:trPr>
        <w:tc>
          <w:tcPr>
            <w:tcW w:w="7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26,439</w:t>
            </w:r>
          </w:p>
        </w:tc>
      </w:tr>
      <w:tr>
        <w:trPr>
          <w:trHeight w:val="216"/>
        </w:trPr>
        <w:tc>
          <w:tcPr>
            <w:tcW w:w="778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5,301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3,472</w:t>
            </w:r>
          </w:p>
        </w:tc>
      </w:tr>
      <w:tr>
        <w:trPr>
          <w:trHeight w:val="210"/>
        </w:trPr>
        <w:tc>
          <w:tcPr>
            <w:tcW w:w="7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51,124</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3,366</w:t>
            </w:r>
          </w:p>
        </w:tc>
      </w:tr>
      <w:tr>
        <w:trPr>
          <w:trHeight w:val="216"/>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5,816</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56,771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56,260</w:t>
            </w:r>
          </w:p>
        </w:tc>
      </w:tr>
      <w:tr>
        <w:trPr>
          <w:trHeight w:val="216"/>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21,014</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6,411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7,780</w:t>
            </w:r>
          </w:p>
        </w:tc>
      </w:tr>
      <w:tr>
        <w:trPr>
          <w:trHeight w:val="249"/>
        </w:trPr>
        <w:tc>
          <w:tcPr>
            <w:tcW w:w="7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142,899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145,360</w:t>
            </w:r>
          </w:p>
        </w:tc>
      </w:tr>
      <w:tr>
        <w:trPr>
          <w:trHeight w:val="156"/>
        </w:trPr>
        <w:tc>
          <w:tcPr>
            <w:tcW w:w="7780" w:type="dxa"/>
            <w:vAlign w:val="bottom"/>
            <w:gridSpan w:val="3"/>
          </w:tcPr>
          <w:p>
            <w:pPr>
              <w:spacing w:after="0" w:line="15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3,220</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3,811</w:t>
            </w:r>
          </w:p>
        </w:tc>
      </w:tr>
      <w:tr>
        <w:trPr>
          <w:trHeight w:val="216"/>
        </w:trPr>
        <w:tc>
          <w:tcPr>
            <w:tcW w:w="7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2,135</w:t>
            </w:r>
          </w:p>
        </w:tc>
      </w:tr>
      <w:tr>
        <w:trPr>
          <w:trHeight w:val="216"/>
        </w:trPr>
        <w:tc>
          <w:tcPr>
            <w:tcW w:w="77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6,447</w:t>
            </w:r>
          </w:p>
        </w:tc>
      </w:tr>
      <w:tr>
        <w:trPr>
          <w:trHeight w:val="216"/>
        </w:trPr>
        <w:tc>
          <w:tcPr>
            <w:tcW w:w="7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3,370</w:t>
            </w:r>
          </w:p>
        </w:tc>
      </w:tr>
      <w:tr>
        <w:trPr>
          <w:trHeight w:val="216"/>
        </w:trPr>
        <w:tc>
          <w:tcPr>
            <w:tcW w:w="77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9,046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7,486</w:t>
            </w:r>
          </w:p>
        </w:tc>
      </w:tr>
      <w:tr>
        <w:trPr>
          <w:trHeight w:val="210"/>
        </w:trPr>
        <w:tc>
          <w:tcPr>
            <w:tcW w:w="7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23,249</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38,203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43,013</w:t>
            </w:r>
          </w:p>
        </w:tc>
      </w:tr>
      <w:tr>
        <w:trPr>
          <w:trHeight w:val="216"/>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5,282</w:t>
            </w:r>
          </w:p>
        </w:tc>
      </w:tr>
      <w:tr>
        <w:trPr>
          <w:trHeight w:val="216"/>
        </w:trPr>
        <w:tc>
          <w:tcPr>
            <w:tcW w:w="7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1,006</w:t>
            </w:r>
          </w:p>
        </w:tc>
      </w:tr>
      <w:tr>
        <w:trPr>
          <w:trHeight w:val="209"/>
        </w:trPr>
        <w:tc>
          <w:tcPr>
            <w:tcW w:w="778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67,511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73,140</w:t>
            </w:r>
          </w:p>
        </w:tc>
      </w:tr>
      <w:tr>
        <w:trPr>
          <w:trHeight w:val="210"/>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 Note 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7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0"/>
              </w:rPr>
              <w:t>Common stock, par value $0.01 per share, 80,000,000 shares authorized: 42,688,246 shares issued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7780" w:type="dxa"/>
            <w:vAlign w:val="bottom"/>
            <w:gridSpan w:val="3"/>
          </w:tcPr>
          <w:p>
            <w:pPr>
              <w:ind w:left="340"/>
              <w:spacing w:after="0"/>
              <w:rPr>
                <w:sz w:val="20"/>
                <w:szCs w:val="20"/>
                <w:color w:val="auto"/>
              </w:rPr>
            </w:pPr>
            <w:r>
              <w:rPr>
                <w:rFonts w:ascii="Arial" w:cs="Arial" w:eastAsia="Arial" w:hAnsi="Arial"/>
                <w:sz w:val="18"/>
                <w:szCs w:val="18"/>
                <w:color w:val="auto"/>
                <w:w w:val="97"/>
              </w:rPr>
              <w:t>outstanding at June 30, 2023; 42,081,707 shares issued and outstanding at December 31, 2022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w:t>
            </w:r>
          </w:p>
        </w:tc>
      </w:tr>
      <w:tr>
        <w:trPr>
          <w:trHeight w:val="216"/>
        </w:trPr>
        <w:tc>
          <w:tcPr>
            <w:tcW w:w="7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231,533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229,008</w:t>
            </w:r>
          </w:p>
        </w:tc>
      </w:tr>
      <w:tr>
        <w:trPr>
          <w:trHeight w:val="216"/>
        </w:trPr>
        <w:tc>
          <w:tcPr>
            <w:tcW w:w="778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(142,190)</w:t>
            </w:r>
          </w:p>
        </w:tc>
      </w:tr>
      <w:tr>
        <w:trPr>
          <w:trHeight w:val="216"/>
        </w:trPr>
        <w:tc>
          <w:tcPr>
            <w:tcW w:w="7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r>
      <w:tr>
        <w:trPr>
          <w:trHeight w:val="210"/>
        </w:trPr>
        <w:tc>
          <w:tcPr>
            <w:tcW w:w="7780" w:type="dxa"/>
            <w:vAlign w:val="bottom"/>
            <w:gridSpan w:val="3"/>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75,388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72,220</w:t>
            </w:r>
          </w:p>
        </w:tc>
      </w:tr>
      <w:tr>
        <w:trPr>
          <w:trHeight w:val="249"/>
        </w:trPr>
        <w:tc>
          <w:tcPr>
            <w:tcW w:w="7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142,899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145,360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7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9"/>
              </w:rPr>
              <w:t>HARVARD BIOSCIENCE, INC.</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60" w:type="dxa"/>
            <w:vAlign w:val="bottom"/>
            <w:gridSpan w:val="6"/>
          </w:tcPr>
          <w:p>
            <w:pPr>
              <w:jc w:val="center"/>
              <w:ind w:right="69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10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w w:val="94"/>
              </w:rPr>
              <w:t>(Unaudited, in thousands, except per share data)</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1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09"/>
        </w:trPr>
        <w:tc>
          <w:tcPr>
            <w:tcW w:w="1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28,759</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58,734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57,986</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12,086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12,571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25,172</w:t>
            </w:r>
          </w:p>
        </w:tc>
      </w:tr>
      <w:tr>
        <w:trPr>
          <w:trHeight w:val="210"/>
        </w:trPr>
        <w:tc>
          <w:tcPr>
            <w:tcW w:w="3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16,673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32,814</w:t>
            </w:r>
          </w:p>
        </w:tc>
      </w:tr>
      <w:tr>
        <w:trPr>
          <w:trHeight w:val="209"/>
        </w:trPr>
        <w:tc>
          <w:tcPr>
            <w:tcW w:w="1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13,274</w:t>
            </w: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12,306</w:t>
            </w: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6,717</w:t>
            </w: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2,920</w:t>
            </w:r>
          </w:p>
        </w:tc>
      </w:tr>
      <w:tr>
        <w:trPr>
          <w:trHeight w:val="216"/>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Litigation settlement - Note 14</w:t>
            </w:r>
          </w:p>
        </w:tc>
        <w:tc>
          <w:tcPr>
            <w:tcW w:w="2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r>
      <w:tr>
        <w:trPr>
          <w:trHeight w:val="210"/>
        </w:trPr>
        <w:tc>
          <w:tcPr>
            <w:tcW w:w="3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15,877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12,639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32,474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35,528</w:t>
            </w:r>
          </w:p>
        </w:tc>
      </w:tr>
      <w:tr>
        <w:trPr>
          <w:trHeight w:val="209"/>
        </w:trPr>
        <w:tc>
          <w:tcPr>
            <w:tcW w:w="12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r>
      <w:tr>
        <w:trPr>
          <w:trHeight w:val="210"/>
        </w:trPr>
        <w:tc>
          <w:tcPr>
            <w:tcW w:w="12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Unrealized loss on equity securities - Note 14</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16"/>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10"/>
        </w:trPr>
        <w:tc>
          <w:tcPr>
            <w:tcW w:w="348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09"/>
        </w:trPr>
        <w:tc>
          <w:tcPr>
            <w:tcW w:w="12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(3,597)</w:t>
            </w:r>
          </w:p>
        </w:tc>
      </w:tr>
      <w:tr>
        <w:trPr>
          <w:trHeight w:val="216"/>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r>
      <w:tr>
        <w:trPr>
          <w:trHeight w:val="210"/>
        </w:trPr>
        <w:tc>
          <w:tcPr>
            <w:tcW w:w="34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(980)</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(4,445)</w:t>
            </w:r>
          </w:p>
        </w:tc>
      </w:tr>
      <w:tr>
        <w:trPr>
          <w:trHeight w:val="20"/>
        </w:trPr>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(Loss) income per share: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(loss) income per share</w:t>
            </w:r>
          </w:p>
        </w:tc>
        <w:tc>
          <w:tcPr>
            <w:tcW w:w="2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197"/>
        </w:trPr>
        <w:tc>
          <w:tcPr>
            <w:tcW w:w="128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248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50"/>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(loss) income per share</w:t>
            </w:r>
          </w:p>
        </w:tc>
        <w:tc>
          <w:tcPr>
            <w:tcW w:w="2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196"/>
        </w:trPr>
        <w:tc>
          <w:tcPr>
            <w:tcW w:w="1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42,354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41,304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41,256</w:t>
            </w:r>
          </w:p>
        </w:tc>
      </w:tr>
      <w:tr>
        <w:trPr>
          <w:trHeight w:val="20"/>
        </w:trPr>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34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42,354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41,256</w:t>
            </w:r>
          </w:p>
        </w:tc>
      </w:tr>
      <w:tr>
        <w:trPr>
          <w:trHeight w:val="20"/>
        </w:trPr>
        <w:tc>
          <w:tcPr>
            <w:tcW w:w="128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260" w:type="dxa"/>
            <w:vAlign w:val="bottom"/>
            <w:gridSpan w:val="7"/>
          </w:tcPr>
          <w:p>
            <w:pPr>
              <w:jc w:val="center"/>
              <w:ind w:left="133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80" w:type="dxa"/>
            <w:vAlign w:val="bottom"/>
          </w:tcPr>
          <w:p>
            <w:pPr>
              <w:jc w:val="center"/>
              <w:ind w:left="1710"/>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338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9"/>
              </w:rPr>
              <w:t>HARVARD BIOSCIENCE,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60" w:type="dxa"/>
            <w:vAlign w:val="bottom"/>
            <w:gridSpan w:val="8"/>
          </w:tcPr>
          <w:p>
            <w:pPr>
              <w:jc w:val="center"/>
              <w:ind w:left="135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9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(Unaudited, in thousands)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2"/>
              </w:rPr>
              <w:t>Three Months Ended June 30,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09"/>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90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Derivatives qualifying as hedges, net of tax</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2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290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(379)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(7,661)</w:t>
            </w:r>
          </w:p>
        </w:tc>
      </w:tr>
      <w:tr>
        <w:trPr>
          <w:trHeight w:val="20"/>
        </w:trPr>
        <w:tc>
          <w:tcPr>
            <w:tcW w:w="1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gridSpan w:val="7"/>
          </w:tcPr>
          <w:p>
            <w:pPr>
              <w:jc w:val="center"/>
              <w:ind w:left="850"/>
              <w:spacing w:after="0"/>
              <w:rPr>
                <w:sz w:val="20"/>
                <w:szCs w:val="20"/>
                <w:color w:val="auto"/>
              </w:rPr>
            </w:pPr>
            <w:r>
              <w:rPr>
                <w:rFonts w:ascii="Arial" w:cs="Arial" w:eastAsia="Arial" w:hAnsi="Arial"/>
                <w:sz w:val="18"/>
                <w:szCs w:val="18"/>
                <w:b w:val="1"/>
                <w:bCs w:val="1"/>
                <w:color w:val="auto"/>
                <w:w w:val="99"/>
              </w:rPr>
              <w:t>HARVARD BIOSCIENCE,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gridSpan w:val="11"/>
          </w:tcPr>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0"/>
              </w:rPr>
              <w:t>(Unaudited, 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8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June 30, 2023</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Accumulated</w:t>
            </w: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Comprehensive</w:t>
            </w:r>
          </w:p>
        </w:tc>
        <w:tc>
          <w:tcPr>
            <w:tcW w:w="10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230,108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74,340</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405</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1,102</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601</w:t>
            </w:r>
          </w:p>
        </w:tc>
      </w:tr>
      <w:tr>
        <w:trPr>
          <w:trHeight w:val="249"/>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2023</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75,388</w:t>
            </w:r>
          </w:p>
        </w:tc>
      </w:tr>
      <w:tr>
        <w:trPr>
          <w:trHeight w:val="39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8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June 30, 2022</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Accumulated</w:t>
            </w: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Comprehensive</w:t>
            </w:r>
          </w:p>
        </w:tc>
        <w:tc>
          <w:tcPr>
            <w:tcW w:w="10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76,375</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1,239</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2,435</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50"/>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77,504</w:t>
            </w:r>
          </w:p>
        </w:tc>
      </w:tr>
      <w:tr>
        <w:trPr>
          <w:trHeight w:val="39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8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0"/>
              </w:rPr>
              <w:t>Six Months Ended</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June 30, 2023</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Accumulated</w:t>
            </w: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Comprehensive</w:t>
            </w:r>
          </w:p>
        </w:tc>
        <w:tc>
          <w:tcPr>
            <w:tcW w:w="10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72,220</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509</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2,255</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998</w:t>
            </w:r>
          </w:p>
        </w:tc>
      </w:tr>
      <w:tr>
        <w:trPr>
          <w:trHeight w:val="250"/>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2023</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75,388</w:t>
            </w:r>
          </w:p>
        </w:tc>
      </w:tr>
      <w:tr>
        <w:trPr>
          <w:trHeight w:val="39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8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0"/>
              </w:rPr>
              <w:t>Six Months Ended</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June 30, 2022</w:t>
            </w:r>
          </w:p>
        </w:tc>
        <w:tc>
          <w:tcPr>
            <w:tcW w:w="3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Accumulated</w:t>
            </w: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Comprehensive</w:t>
            </w:r>
          </w:p>
        </w:tc>
        <w:tc>
          <w:tcPr>
            <w:tcW w:w="10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225,650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83,401</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2,262</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(3,216)</w:t>
            </w:r>
          </w:p>
        </w:tc>
      </w:tr>
      <w:tr>
        <w:trPr>
          <w:trHeight w:val="250"/>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77,504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8"/>
                <w:szCs w:val="18"/>
                <w:color w:val="auto"/>
              </w:rPr>
            </w:pPr>
          </w:p>
        </w:tc>
      </w:tr>
      <w:tr>
        <w:trPr>
          <w:trHeight w:val="209"/>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(4,445)</w:t>
            </w:r>
          </w:p>
        </w:tc>
      </w:tr>
      <w:tr>
        <w:trPr>
          <w:trHeight w:val="216"/>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758</w:t>
            </w:r>
          </w:p>
        </w:tc>
      </w:tr>
      <w:tr>
        <w:trPr>
          <w:trHeight w:val="21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140</w:t>
            </w:r>
          </w:p>
        </w:tc>
      </w:tr>
      <w:tr>
        <w:trPr>
          <w:trHeight w:val="21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income taxes and other</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1,040</w:t>
            </w:r>
          </w:p>
        </w:tc>
      </w:tr>
      <w:tr>
        <w:trPr>
          <w:trHeight w:val="21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on equity securities - Note 14</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Convertible Preferred Stock received in Biostage Settlement - Note 14</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(3,900)</w:t>
            </w:r>
          </w:p>
        </w:tc>
      </w:tr>
      <w:tr>
        <w:trPr>
          <w:trHeight w:val="21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product line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0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(2,667)</w:t>
            </w:r>
          </w:p>
        </w:tc>
      </w:tr>
      <w:tr>
        <w:trPr>
          <w:trHeight w:val="216"/>
        </w:trPr>
        <w:tc>
          <w:tcPr>
            <w:tcW w:w="80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80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10"/>
        </w:trPr>
        <w:tc>
          <w:tcPr>
            <w:tcW w:w="8000" w:type="dxa"/>
            <w:vAlign w:val="bottom"/>
            <w:tcBorders>
              <w:bottom w:val="single" w:sz="8" w:color="CCEEFF"/>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5,364</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(2,176)</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Acquisition of intangible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product line</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10"/>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Borrowing from revolving line of credit</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5,300</w:t>
            </w:r>
          </w:p>
        </w:tc>
      </w:tr>
      <w:tr>
        <w:trPr>
          <w:trHeight w:val="21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 of revolving line of credit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(5,450)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Repayment of term debt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(2,591)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(1,686)</w:t>
            </w:r>
          </w:p>
        </w:tc>
      </w:tr>
      <w:tr>
        <w:trPr>
          <w:trHeight w:val="21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r>
      <w:tr>
        <w:trPr>
          <w:trHeight w:val="210"/>
        </w:trPr>
        <w:tc>
          <w:tcPr>
            <w:tcW w:w="8000" w:type="dxa"/>
            <w:vAlign w:val="bottom"/>
            <w:tcBorders>
              <w:bottom w:val="single" w:sz="8" w:color="CCEEFF"/>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(5,268)</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09"/>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(3,562)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7,821</w:t>
            </w:r>
          </w:p>
        </w:tc>
      </w:tr>
      <w:tr>
        <w:trPr>
          <w:trHeight w:val="250"/>
        </w:trPr>
        <w:tc>
          <w:tcPr>
            <w:tcW w:w="80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4,259</w:t>
            </w: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6"/>
        </w:trPr>
        <w:tc>
          <w:tcPr>
            <w:tcW w:w="8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w:t>
            </w:r>
          </w:p>
        </w:tc>
        <w:tc>
          <w:tcPr>
            <w:tcW w:w="108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Cash paid for income taxes, net of refunds</w:t>
            </w: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115</w:t>
            </w:r>
          </w:p>
        </w:tc>
        <w:tc>
          <w:tcPr>
            <w:tcW w:w="1080" w:type="dxa"/>
            <w:vAlign w:val="bottom"/>
            <w:gridSpan w:val="2"/>
          </w:tcPr>
          <w:p>
            <w:pPr>
              <w:jc w:val="right"/>
              <w:ind w:right="807"/>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352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and Risks and Uncertainties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225" w:lineRule="exact"/>
        <w:rPr>
          <w:sz w:val="20"/>
          <w:szCs w:val="20"/>
          <w:color w:val="auto"/>
        </w:rPr>
      </w:pPr>
    </w:p>
    <w:p>
      <w:pPr>
        <w:jc w:val="both"/>
        <w:ind w:firstLine="540"/>
        <w:spacing w:after="0" w:line="271" w:lineRule="auto"/>
        <w:rPr>
          <w:sz w:val="20"/>
          <w:szCs w:val="20"/>
          <w:color w:val="auto"/>
        </w:rPr>
      </w:pPr>
      <w:r>
        <w:rPr>
          <w:rFonts w:ascii="Arial" w:cs="Arial" w:eastAsia="Arial" w:hAnsi="Arial"/>
          <w:sz w:val="17"/>
          <w:szCs w:val="17"/>
          <w:color w:val="auto"/>
        </w:rPr>
        <w:t>The unaudited consolidated financial statements of Harvard Bioscience, Inc. and its wholly-owned subsidiaries (collectively, the “Company”) as of June 30, 2023 and for the three and six months ended June 30, 2023 and 2022,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2022,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2022.</w:t>
      </w:r>
    </w:p>
    <w:p>
      <w:pPr>
        <w:spacing w:after="0" w:line="17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June 30, 2023, results of operations and comprehensive income (loss) and cash flows for the three and six months ended June 30, 2023 and 2022, as applicable, have been made. The results of operations for the three and six months ended June 30, 2023, are not necessarily indicative of the operating results for the full fiscal year or any future periods.</w:t>
      </w:r>
    </w:p>
    <w:p>
      <w:pPr>
        <w:spacing w:after="0" w:line="187" w:lineRule="exact"/>
        <w:rPr>
          <w:sz w:val="20"/>
          <w:szCs w:val="20"/>
          <w:color w:val="auto"/>
        </w:rPr>
      </w:pPr>
    </w:p>
    <w:p>
      <w:pPr>
        <w:jc w:val="both"/>
        <w:ind w:firstLine="540"/>
        <w:spacing w:after="0" w:line="286" w:lineRule="auto"/>
        <w:rPr>
          <w:sz w:val="20"/>
          <w:szCs w:val="20"/>
          <w:color w:val="auto"/>
        </w:rPr>
      </w:pPr>
      <w:r>
        <w:rPr>
          <w:rFonts w:ascii="Arial" w:cs="Arial" w:eastAsia="Arial" w:hAnsi="Arial"/>
          <w:sz w:val="17"/>
          <w:szCs w:val="17"/>
          <w:color w:val="auto"/>
        </w:rPr>
        <w:t>The accounting policies underlying the accompanying unaudited consolidated financial statements are set forth in Note 2 to the consolidated financial statements included in the Company’s Annual Report on Form 10-K for the year ended December 31, 2022. Except as described below, there have been no material changes in the Company’s significant accounting policies during the three and six months ended June 30, 2023.</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Marketable Equity Securities</w:t>
      </w:r>
    </w:p>
    <w:p>
      <w:pPr>
        <w:spacing w:after="0" w:line="225"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Equity securities traded in active markets are marked to market at each balance sheet date based on their prices as quoted on the relevant stock exchange. Fair value mark-to-market adjustments are recorded as non-operating gains (losses) in the consolidated statement of operations. The Company’s investments in marketable equity securities are classified in the consolidated balance sheet based on the nature of the securities and their availability for use in current operations.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8"/>
          <w:szCs w:val="18"/>
          <w:color w:val="auto"/>
        </w:rPr>
        <w:t>The global supply chain has experienced significant disruptions over the last few years due to electronic component and labor shortages and other macroeconomic factors which have emerged since the onset of COVID-19. This has led to increased cost of freight, purchased materials, and manufacturing labor costs, while also delaying customer shipments. Additionally, the global economy has recently experienced increasing economic uncertainty, including inflationary pressure, rising interest rates, and significant fluctuations in exchange rates. These conditions have negatively impacted the Company’s past business, results of operations, and cash flow. The Company believes that these global economic uncertainties will continue through 2023. If these factors are prolonged or are more severe than anticipated, the Company’s business, results of operations, and cash flow may be materially impacted.</w:t>
      </w:r>
    </w:p>
    <w:p>
      <w:pPr>
        <w:spacing w:after="0" w:line="200" w:lineRule="exact"/>
        <w:rPr>
          <w:sz w:val="20"/>
          <w:szCs w:val="20"/>
          <w:color w:val="auto"/>
        </w:rPr>
      </w:pP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540"/>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(“FASB”) issued Accounting Standards Update (“ASU”)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and Other (Topic 350): Simplifying the Test for Goodwill Impairment </w:t>
      </w:r>
      <w:r>
        <w:rPr>
          <w:rFonts w:ascii="Arial" w:cs="Arial" w:eastAsia="Arial" w:hAnsi="Arial"/>
          <w:sz w:val="17"/>
          <w:szCs w:val="17"/>
          <w:color w:val="auto"/>
        </w:rPr>
        <w:t>(“ASU 2017-04”), which eliminates the performance of Step 2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The Company adopted ASU 2016-13 effective January 1, 2023 with no impact to the consolidated financial statements. The Company will perform future goodwill impairment test according to ASU 2017-04.</w:t>
      </w:r>
    </w:p>
    <w:p>
      <w:pPr>
        <w:spacing w:after="0" w:line="177"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8"/>
          <w:szCs w:val="18"/>
          <w:color w:val="auto"/>
        </w:rPr>
        <w:t xml:space="preserve">In September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amends the impairment model by requiring entities to use a forward-looking approach based on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The Company adopted ASU 2016-13 effective January 1, 2023, which resulted in an immaterial impact to the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change in the carrying amount of goodwill for the six months ended June 30, 2023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 thousands)</w:t>
            </w: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December 31, 2022</w:t>
            </w:r>
          </w:p>
        </w:tc>
        <w:tc>
          <w:tcPr>
            <w:tcW w:w="17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Effect of change in currency translation</w:t>
            </w:r>
          </w:p>
        </w:tc>
        <w:tc>
          <w:tcPr>
            <w:tcW w:w="1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49"/>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at June 30, 2023</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56,771</w:t>
            </w: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Identifiable intangible assets at June 30, 2023 and December 31, 2022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December 31, 2022</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spacing w:after="0" w:line="195" w:lineRule="exact"/>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Life*</w:t>
            </w: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w w:val="95"/>
              </w:rPr>
              <w:t>Gross</w:t>
            </w:r>
          </w:p>
        </w:tc>
        <w:tc>
          <w:tcPr>
            <w:tcW w:w="1200" w:type="dxa"/>
            <w:vAlign w:val="bottom"/>
            <w:gridSpan w:val="3"/>
          </w:tcPr>
          <w:p>
            <w:pPr>
              <w:ind w:left="12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w w:val="95"/>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3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Distribution agreements/customer</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relationships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16,185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Existing technology and software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development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37,512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37,549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patents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61,236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(43,082)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18,154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61,196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(40,406)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life in years as of June 30, 2023</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Intangible asset amortization expense was $1.4 million and $1.5 million for the three months ended June 30, 2023 and 2022, respectively, and $2.8 million and $2.9 million for the six months ended June 30, 2023 and 2022, respectively. Estimated amortization expense of existing amortizable intangible assets for each of the five succeeding years and thereafter as of June 30, 2023,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18,154</w:t>
            </w: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details of selected balance sheet items as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June 30, 2023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3,776</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26,089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26,439</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June 30, 2023</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Customer credits</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The Company has noncancelable operating leases for offices, manufacturing facilities, warehouse space, automobiles and equipment expiring at various dates through 2030.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lease expense for the three and six months ended June 30,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4"/>
              </w:rPr>
              <w:t>Three Months Ended June 30,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9"/>
        </w:trPr>
        <w:tc>
          <w:tcPr>
            <w:tcW w:w="2900" w:type="dxa"/>
            <w:vAlign w:val="bottom"/>
          </w:tcPr>
          <w:p>
            <w:pPr>
              <w:spacing w:after="0"/>
              <w:rPr>
                <w:sz w:val="20"/>
                <w:szCs w:val="20"/>
                <w:color w:val="auto"/>
              </w:rPr>
            </w:pPr>
            <w:r>
              <w:rPr>
                <w:rFonts w:ascii="Arial" w:cs="Arial" w:eastAsia="Arial" w:hAnsi="Arial"/>
                <w:sz w:val="18"/>
                <w:szCs w:val="18"/>
                <w:color w:val="auto"/>
              </w:rPr>
              <w:t>Total lease cost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1,106</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0"/>
        </w:trPr>
        <w:tc>
          <w:tcPr>
            <w:tcW w:w="2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Supplemental cash flow information related to the Company's operating leases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w:t>
            </w: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Supplemental balance sheet information related to the Company’s operating leases are as follows: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63740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11" w:lineRule="exact"/>
        <w:rPr>
          <w:sz w:val="20"/>
          <w:szCs w:val="20"/>
          <w:color w:val="auto"/>
        </w:rPr>
      </w:pPr>
    </w:p>
    <w:p>
      <w:pPr>
        <w:ind w:right="700"/>
        <w:spacing w:after="0" w:line="316" w:lineRule="auto"/>
        <w:rPr>
          <w:sz w:val="20"/>
          <w:szCs w:val="20"/>
          <w:color w:val="auto"/>
        </w:rPr>
      </w:pPr>
      <w:r>
        <w:rPr>
          <w:rFonts w:ascii="Arial" w:cs="Arial" w:eastAsia="Arial" w:hAnsi="Arial"/>
          <w:sz w:val="16"/>
          <w:szCs w:val="16"/>
          <w:color w:val="auto"/>
        </w:rPr>
        <w:t>Current portion, operating lease liabilities 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463740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463740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7405"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operating lease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63740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June 30, 2023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4"/>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5,253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5,816</w:t>
            </w:r>
          </w:p>
        </w:tc>
      </w:tr>
      <w:tr>
        <w:trPr>
          <w:trHeight w:val="40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2,125</w:t>
            </w: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2,135</w:t>
            </w:r>
          </w:p>
        </w:tc>
      </w:tr>
      <w:tr>
        <w:trPr>
          <w:trHeight w:val="230"/>
        </w:trPr>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4,653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5,282</w:t>
            </w:r>
          </w:p>
        </w:tc>
      </w:tr>
      <w:tr>
        <w:trPr>
          <w:trHeight w:val="209"/>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7,417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98"/>
        </w:trPr>
        <w:tc>
          <w:tcPr>
            <w:tcW w:w="10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6.2</w:t>
            </w:r>
          </w:p>
        </w:tc>
      </w:tr>
      <w:tr>
        <w:trPr>
          <w:trHeight w:val="230"/>
        </w:trPr>
        <w:tc>
          <w:tcPr>
            <w:tcW w:w="1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32"/>
        </w:trPr>
        <w:tc>
          <w:tcPr>
            <w:tcW w:w="10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68580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20" w:space="720"/>
            <w:col w:w="6800"/>
          </w:cols>
          <w:pgMar w:left="320" w:top="10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for operating leases, with initial terms in excess of one year at June 30, 2023,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r>
      <w:tr>
        <w:trPr>
          <w:trHeight w:val="24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w:t>
            </w: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June 30, 2023 and December 31, 2022, the Company’s borrowings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2820"/>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63740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spacing w:after="0" w:line="26" w:lineRule="exact"/>
        <w:rPr>
          <w:sz w:val="20"/>
          <w:szCs w:val="20"/>
          <w:color w:val="auto"/>
        </w:rPr>
      </w:pPr>
    </w:p>
    <w:p>
      <w:pPr>
        <w:jc w:val="center"/>
        <w:ind w:right="2680"/>
        <w:spacing w:after="0"/>
        <w:rPr>
          <w:sz w:val="20"/>
          <w:szCs w:val="20"/>
          <w:color w:val="auto"/>
        </w:rPr>
      </w:pPr>
      <w:r>
        <w:rPr>
          <w:rFonts w:ascii="Arial" w:cs="Arial" w:eastAsia="Arial" w:hAnsi="Arial"/>
          <w:sz w:val="16"/>
          <w:szCs w:val="16"/>
          <w:color w:val="auto"/>
        </w:rPr>
        <w:t>Long-term debt:</w:t>
      </w:r>
    </w:p>
    <w:p>
      <w:pPr>
        <w:spacing w:after="0" w:line="32"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63740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Revolving line</w:t>
      </w:r>
    </w:p>
    <w:p>
      <w:pPr>
        <w:spacing w:after="0" w:line="9" w:lineRule="exact"/>
        <w:rPr>
          <w:sz w:val="20"/>
          <w:szCs w:val="20"/>
          <w:color w:val="auto"/>
        </w:rPr>
      </w:pPr>
    </w:p>
    <w:p>
      <w:pPr>
        <w:ind w:right="600" w:firstLine="162"/>
        <w:spacing w:after="0" w:line="258" w:lineRule="auto"/>
        <w:rPr>
          <w:sz w:val="20"/>
          <w:szCs w:val="20"/>
          <w:color w:val="auto"/>
        </w:rPr>
      </w:pPr>
      <w:r>
        <w:rPr>
          <w:rFonts w:ascii="Arial" w:cs="Arial" w:eastAsia="Arial" w:hAnsi="Arial"/>
          <w:sz w:val="18"/>
          <w:szCs w:val="18"/>
          <w:color w:val="auto"/>
        </w:rPr>
        <w:t>Less: unamortized deferred financing costs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463740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ind w:left="180" w:right="420"/>
        <w:spacing w:after="0" w:line="307" w:lineRule="auto"/>
        <w:rPr>
          <w:sz w:val="20"/>
          <w:szCs w:val="20"/>
          <w:color w:val="auto"/>
        </w:rPr>
      </w:pPr>
      <w:r>
        <w:rPr>
          <w:rFonts w:ascii="Arial" w:cs="Arial" w:eastAsia="Arial" w:hAnsi="Arial"/>
          <w:sz w:val="16"/>
          <w:szCs w:val="16"/>
          <w:color w:val="auto"/>
        </w:rPr>
        <w:t>Less: current portion of long-term debt Current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463740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740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June 30, 2023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32,223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34,814</w:t>
            </w:r>
          </w:p>
        </w:tc>
      </w:tr>
      <w:tr>
        <w:trPr>
          <w:trHeight w:val="216"/>
        </w:trPr>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12,850</w:t>
            </w:r>
          </w:p>
        </w:tc>
      </w:tr>
      <w:tr>
        <w:trPr>
          <w:trHeight w:val="230"/>
        </w:trPr>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r>
      <w:tr>
        <w:trPr>
          <w:trHeight w:val="195"/>
        </w:trPr>
        <w:tc>
          <w:tcPr>
            <w:tcW w:w="10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41,423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46,824</w:t>
            </w:r>
          </w:p>
        </w:tc>
      </w:tr>
      <w:tr>
        <w:trPr>
          <w:trHeight w:val="216"/>
        </w:trPr>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(4,091)</w:t>
            </w:r>
          </w:p>
        </w:tc>
      </w:tr>
      <w:tr>
        <w:trPr>
          <w:trHeight w:val="230"/>
        </w:trPr>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860" w:space="720"/>
            <w:col w:w="6660"/>
          </w:cols>
          <w:pgMar w:left="320" w:top="125" w:right="339" w:bottom="1440" w:gutter="0" w:footer="0" w:header="0"/>
          <w:type w:val="continuous"/>
        </w:sectPr>
      </w:pPr>
    </w:p>
    <w:p>
      <w:pPr>
        <w:spacing w:after="0" w:line="2"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16"/>
          <w:szCs w:val="16"/>
          <w:color w:val="auto"/>
        </w:rPr>
        <w:t>In December, 2020, the Company entered into a Credit Agreement (the “Credit Agreement”) with Citizens Bank, N.A., Wells Fargo Bank, National Association, and Silicon Valley Bank (together, the “Lenders”). All commitments and obligations under the Credit Agreement previously held by Silicon Valley Bank have now been assumed by First-Citizens Bank &amp; Trust Company.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$12.4 million as of June 30, 2023 based on the Credit Agreement, as amended. Total revolver borrowing capacity is limited by the consolidated net leverage ratio as defined under the amended Credit Agreement.</w:t>
      </w:r>
    </w:p>
    <w:p>
      <w:pPr>
        <w:spacing w:after="0" w:line="172" w:lineRule="exact"/>
        <w:rPr>
          <w:sz w:val="20"/>
          <w:szCs w:val="20"/>
          <w:color w:val="auto"/>
        </w:rPr>
      </w:pPr>
    </w:p>
    <w:p>
      <w:pPr>
        <w:jc w:val="both"/>
        <w:ind w:firstLine="540"/>
        <w:spacing w:after="0" w:line="288" w:lineRule="auto"/>
        <w:rPr>
          <w:sz w:val="20"/>
          <w:szCs w:val="20"/>
          <w:color w:val="auto"/>
        </w:rPr>
      </w:pPr>
      <w:r>
        <w:rPr>
          <w:rFonts w:ascii="Arial" w:cs="Arial" w:eastAsia="Arial" w:hAnsi="Arial"/>
          <w:sz w:val="16"/>
          <w:szCs w:val="16"/>
          <w:color w:val="auto"/>
        </w:rPr>
        <w:t>Borrowings under the amended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as amended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SOFR Loans, and from 1.5% per annum to 3.0% per annum for ABR Loans, in each case depending on the Company’s consolidated leverage ratio and is determined in accordance with a pricing grid set forth in the Credit Agreement. Interest on SOFR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SOFR Loan breakage and redeployment costs in certain circumstances.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The effective interest rate on the Company borrowings for the three months ended June 30, 2023 and 2022, was 8.3% and 4.0%, respectively, and for the six months ended June 30, 2023 and 2022, was 8.1% and 3.6%, respectively. The weighted average interest rate as of June 30, 2023, inclusive of the effect of the Company’s interest rate swaps, was 8.1%. The carrying value of the debt approximates fair value because the interest rate under the obligation approximates market rates of interest available to the Company for similar instruments.</w:t>
      </w:r>
    </w:p>
    <w:p>
      <w:pPr>
        <w:spacing w:after="0" w:line="187" w:lineRule="exact"/>
        <w:rPr>
          <w:sz w:val="20"/>
          <w:szCs w:val="20"/>
          <w:color w:val="auto"/>
        </w:rPr>
      </w:pPr>
    </w:p>
    <w:p>
      <w:pPr>
        <w:jc w:val="both"/>
        <w:ind w:firstLine="540"/>
        <w:spacing w:after="0" w:line="272" w:lineRule="auto"/>
        <w:rPr>
          <w:sz w:val="20"/>
          <w:szCs w:val="20"/>
          <w:color w:val="auto"/>
        </w:rPr>
      </w:pPr>
      <w:r>
        <w:rPr>
          <w:rFonts w:ascii="Arial" w:cs="Arial" w:eastAsia="Arial" w:hAnsi="Arial"/>
          <w:sz w:val="17"/>
          <w:szCs w:val="17"/>
          <w:color w:val="auto"/>
        </w:rPr>
        <w:t>The term loan amortizes in quarterly installments of $0.75 million per quarter for each of the next two quarters and $1.0 million per quarter during the next seven quarters thereafter, with a balloon payment at maturity. Furthermore, within ninety days after the end of the Company’s fiscal year, the term loan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As of December 31, 2022, the current portion of long-term debt included an excess cash flow sweep of $1.1 million which was paid during the quarter ended March 31, 2023. Amounts outstanding under the revolving credit facility can be repaid at any time but are due in full at maturity.</w:t>
      </w:r>
    </w:p>
    <w:p>
      <w:pPr>
        <w:spacing w:after="0" w:line="177"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The Credit Agreement, as amended,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as amended, also includes customary events of default.</w:t>
      </w:r>
    </w:p>
    <w:p>
      <w:pPr>
        <w:spacing w:after="0" w:line="187"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8"/>
          <w:szCs w:val="18"/>
          <w:color w:val="auto"/>
        </w:rPr>
        <w:t>On April 28, 2022, the Company entered into an amendment to the Credit Agreement (the “April 2022 Amendment”) pursuant to which the Lenders and administrative agent, among other things, modified the financial covenant relating to the consolidated net leverage ratio, and consented to the Biostage Settlement (as defined below), including without limitation the receipt by the Company of convertible preferred stock in Biostage, Inc. (“Biostage”) and the securities issuable upon conversion thereof, as partial payment for Biostage’s indemnification obligations in connection with the Biostage Settlement. See Note 13 for information regarding the Biostage Settlement. In consideration for the April 2022 Amendment, the Company paid fees of $0.2 million to the Lenders and administrative agent.</w:t>
      </w:r>
    </w:p>
    <w:p>
      <w:pPr>
        <w:spacing w:after="0" w:line="192" w:lineRule="exact"/>
        <w:rPr>
          <w:sz w:val="20"/>
          <w:szCs w:val="20"/>
          <w:color w:val="auto"/>
        </w:rPr>
      </w:pPr>
    </w:p>
    <w:p>
      <w:pPr>
        <w:jc w:val="both"/>
        <w:ind w:firstLine="540"/>
        <w:spacing w:after="0" w:line="296" w:lineRule="auto"/>
        <w:rPr>
          <w:sz w:val="20"/>
          <w:szCs w:val="20"/>
          <w:color w:val="auto"/>
        </w:rPr>
      </w:pPr>
      <w:r>
        <w:rPr>
          <w:rFonts w:ascii="Arial" w:cs="Arial" w:eastAsia="Arial" w:hAnsi="Arial"/>
          <w:sz w:val="16"/>
          <w:szCs w:val="16"/>
          <w:color w:val="auto"/>
        </w:rPr>
        <w:t>On November 8, 2022, the Company entered into a subsequent amendment to the Credit Agreement (the “November 2022 Amendment”) pursuant to which, among other things the Lenders and administrative agent modified the financial covenant relating to the consolidated net leverage ratio, and the definition of Consolidated EBITDA used in the calculation of certain financial covenants, including to exclude non-cash inventory charges related to the Company’s decision to discontinue non-strategic products. In consideration for the November 2022 Amendment, the Company paid fees of $0.2 million to the Lenders and administrative agent. The Company was in compliance with the covenants of the Credit Agreement, as amended, as of June 30, 2023.</w:t>
      </w:r>
    </w:p>
    <w:p>
      <w:pPr>
        <w:spacing w:after="0" w:line="40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The Company monitors interest rate risk attributable to both its outstanding and forecasted debt obligations by the use of cash flow sensitivity analysis, which estimates the expected impact of changes in interest rates on the Company’s future cash. The Company uses interest-rate-related derivative instruments to manage its exposure related to changes in interest rates on its variable-rate debt instruments. The Company does not enter into derivative instruments for any purpose other than cash flow hedging.</w:t>
      </w:r>
    </w:p>
    <w:p>
      <w:pPr>
        <w:spacing w:after="0" w:line="187" w:lineRule="exact"/>
        <w:rPr>
          <w:sz w:val="20"/>
          <w:szCs w:val="20"/>
          <w:color w:val="auto"/>
        </w:rPr>
      </w:pPr>
    </w:p>
    <w:p>
      <w:pPr>
        <w:jc w:val="both"/>
        <w:ind w:firstLine="540"/>
        <w:spacing w:after="0" w:line="296" w:lineRule="auto"/>
        <w:rPr>
          <w:sz w:val="20"/>
          <w:szCs w:val="20"/>
          <w:color w:val="auto"/>
        </w:rPr>
      </w:pPr>
      <w:r>
        <w:rPr>
          <w:rFonts w:ascii="Arial" w:cs="Arial" w:eastAsia="Arial" w:hAnsi="Arial"/>
          <w:sz w:val="16"/>
          <w:szCs w:val="16"/>
          <w:color w:val="auto"/>
        </w:rPr>
        <w:t>By using derivative financial instruments to hedge exposure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6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 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40"/>
        <w:spacing w:after="0" w:line="271" w:lineRule="auto"/>
        <w:rPr>
          <w:sz w:val="20"/>
          <w:szCs w:val="20"/>
          <w:color w:val="auto"/>
        </w:rPr>
      </w:pPr>
      <w:r>
        <w:rPr>
          <w:rFonts w:ascii="Arial" w:cs="Arial" w:eastAsia="Arial" w:hAnsi="Arial"/>
          <w:sz w:val="17"/>
          <w:szCs w:val="17"/>
          <w:color w:val="auto"/>
        </w:rPr>
        <w:t>On February 28, 2023, the Company entered into an interest rate swap contract to improve the predictability of cash flows from interest payments related to its variable, SOFR-based debt. The swap contract has a notional amount of $30.3 million as of June 30, 2023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6, Long-Term Debt. The interest rate swap is considered an effective cash flow hedge, and as a result, the net gains or losses on such instrument are reported as a component of other comprehensive income (loss) (“OCI”) in the consolidated financial statements and are reclassified as net income when the underlying hedged interest impacts earnings. A qualitative and quantitative assessment over the hedge effectiveness is performed on a quarterly basis unless facts and circumstances indicate that the hedge may no longer be highly effective.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the notional amount and fair value of the Company’s derivative instrument as of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color w:val="auto"/>
              </w:rPr>
              <w:t>(in thousands)</w:t>
            </w:r>
          </w:p>
        </w:tc>
        <w:tc>
          <w:tcPr>
            <w:tcW w:w="234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2023</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w w:val="96"/>
              </w:rPr>
              <w:t>Derivatives instruments</w:t>
            </w:r>
          </w:p>
        </w:tc>
        <w:tc>
          <w:tcPr>
            <w:tcW w:w="2340" w:type="dxa"/>
            <w:vAlign w:val="bottom"/>
            <w:gridSpan w:val="3"/>
          </w:tcPr>
          <w:p>
            <w:pPr>
              <w:ind w:left="180"/>
              <w:spacing w:after="0"/>
              <w:rPr>
                <w:sz w:val="20"/>
                <w:szCs w:val="20"/>
                <w:color w:val="auto"/>
              </w:rPr>
            </w:pPr>
            <w:r>
              <w:rPr>
                <w:rFonts w:ascii="Arial" w:cs="Arial" w:eastAsia="Arial" w:hAnsi="Arial"/>
                <w:sz w:val="18"/>
                <w:szCs w:val="18"/>
                <w:b w:val="1"/>
                <w:bCs w:val="1"/>
                <w:color w:val="auto"/>
              </w:rPr>
              <w:t>classification</w:t>
            </w:r>
          </w:p>
        </w:tc>
        <w:tc>
          <w:tcPr>
            <w:tcW w:w="260" w:type="dxa"/>
            <w:vAlign w:val="bottom"/>
          </w:tcPr>
          <w:p>
            <w:pPr>
              <w:spacing w:after="0"/>
              <w:rPr>
                <w:sz w:val="20"/>
                <w:szCs w:val="20"/>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Notional Amount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Fair Value (a)</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 term assets</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w:t>
            </w: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See Note 8 for the fair value measurements related to this financial instrument.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effect of derivatives designated as cash flow hedging instruments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Derivatives in Hedging Relationships </w:t>
            </w: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June 30, 2023</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Amount of gain recognized in OCI on derivatives (effective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Amounts reclassifed from accumulated other comprehensive loss to interest expense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9"/>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Fair Value as of June 30, 2023</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 thousands)</w:t>
            </w:r>
          </w:p>
        </w:tc>
        <w:tc>
          <w:tcPr>
            <w:tcW w:w="1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common stock</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2,579</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1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r>
    </w:tbl>
    <w:p>
      <w:pPr>
        <w:spacing w:after="0" w:line="187" w:lineRule="exact"/>
        <w:rPr>
          <w:sz w:val="20"/>
          <w:szCs w:val="20"/>
          <w:color w:val="auto"/>
        </w:rPr>
      </w:pPr>
    </w:p>
    <w:p>
      <w:pPr>
        <w:jc w:val="both"/>
        <w:ind w:firstLine="540"/>
        <w:spacing w:after="0" w:line="301" w:lineRule="auto"/>
        <w:rPr>
          <w:sz w:val="20"/>
          <w:szCs w:val="20"/>
          <w:color w:val="auto"/>
        </w:rPr>
      </w:pPr>
      <w:r>
        <w:rPr>
          <w:rFonts w:ascii="Arial" w:cs="Arial" w:eastAsia="Arial" w:hAnsi="Arial"/>
          <w:sz w:val="16"/>
          <w:szCs w:val="16"/>
          <w:color w:val="auto"/>
        </w:rPr>
        <w:t>The Company uses the market approach technique to value its financial assets and liabilities. The Company’s financial assets and liabilities carried at fair value include, when applicable, investments in common stock and derivative instruments used to hedge the Company’s interest rate risks. The fair value of the Company’s investment in common stock of Biostage was based on the closing price as quoted on the OTCQB Marketplace at the reporting date. The fair value of the Company’s interest rate swap agreements was based on SOFR yield curves at the reporting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40" w:right="7220" w:hanging="532"/>
        <w:spacing w:after="0" w:line="566" w:lineRule="auto"/>
        <w:tabs>
          <w:tab w:leader="none" w:pos="48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and Stock-Based Compensation </w:t>
      </w:r>
      <w:r>
        <w:rPr>
          <w:rFonts w:ascii="Arial" w:cs="Arial" w:eastAsia="Arial" w:hAnsi="Arial"/>
          <w:sz w:val="16"/>
          <w:szCs w:val="16"/>
          <w:i w:val="1"/>
          <w:iCs w:val="1"/>
          <w:color w:val="auto"/>
        </w:rPr>
        <w:t>Stock-Based Payment Awards</w:t>
      </w:r>
    </w:p>
    <w:p>
      <w:pPr>
        <w:ind w:left="540"/>
        <w:spacing w:after="0"/>
        <w:rPr>
          <w:sz w:val="20"/>
          <w:szCs w:val="20"/>
          <w:color w:val="auto"/>
        </w:rPr>
      </w:pPr>
      <w:r>
        <w:rPr>
          <w:rFonts w:ascii="Arial" w:cs="Arial" w:eastAsia="Arial" w:hAnsi="Arial"/>
          <w:sz w:val="16"/>
          <w:szCs w:val="16"/>
          <w:color w:val="auto"/>
        </w:rPr>
        <w:t>Stock-based awards consist of stock options, time-based restricted stock units, market condition restricted stock units, and shares issued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employee stock purchase plan. Activity under the Company’s equity incentive plans for the six months ended June 30, 2023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Condition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Grant Date</w:t>
            </w:r>
          </w:p>
        </w:tc>
        <w:tc>
          <w:tcPr>
            <w:tcW w:w="1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2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Stock Units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1,238,776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1,093,801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1,296,379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558,958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2.61</w:t>
            </w: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Vested (RSUs)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(295,531)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(115,976)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2.98</w:t>
            </w:r>
          </w:p>
        </w:tc>
      </w:tr>
      <w:tr>
        <w:trPr>
          <w:trHeight w:val="216"/>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Cancelled/Forfeited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r>
      <w:tr>
        <w:trPr>
          <w:trHeight w:val="209"/>
        </w:trPr>
        <w:tc>
          <w:tcPr>
            <w:tcW w:w="3260" w:type="dxa"/>
            <w:vAlign w:val="bottom"/>
          </w:tcPr>
          <w:p>
            <w:pPr>
              <w:spacing w:after="0"/>
              <w:rPr>
                <w:sz w:val="20"/>
                <w:szCs w:val="20"/>
                <w:color w:val="auto"/>
              </w:rPr>
            </w:pPr>
            <w:r>
              <w:rPr>
                <w:rFonts w:ascii="Arial" w:cs="Arial" w:eastAsia="Arial" w:hAnsi="Arial"/>
                <w:sz w:val="18"/>
                <w:szCs w:val="18"/>
                <w:color w:val="auto"/>
              </w:rPr>
              <w:t>Outstanding at June 30, 2023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925,649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2,040,253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1,002,079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3.62</w:t>
            </w:r>
          </w:p>
        </w:tc>
      </w:tr>
      <w:tr>
        <w:trPr>
          <w:trHeight w:val="20"/>
        </w:trPr>
        <w:tc>
          <w:tcPr>
            <w:tcW w:w="3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Stock-based compensation expense for the three and six months ended June 30, 2023 and 2022 is allocated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(in thousands)</w:t>
            </w:r>
          </w:p>
        </w:tc>
        <w:tc>
          <w:tcPr>
            <w:tcW w:w="1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r>
      <w:tr>
        <w:trPr>
          <w:trHeight w:val="249"/>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r>
    </w:tbl>
    <w:p>
      <w:pPr>
        <w:spacing w:after="0" w:line="202" w:lineRule="exact"/>
        <w:rPr>
          <w:sz w:val="20"/>
          <w:szCs w:val="20"/>
          <w:color w:val="auto"/>
        </w:rPr>
      </w:pPr>
    </w:p>
    <w:p>
      <w:pPr>
        <w:jc w:val="both"/>
        <w:ind w:firstLine="540"/>
        <w:spacing w:after="0" w:line="308" w:lineRule="auto"/>
        <w:rPr>
          <w:sz w:val="20"/>
          <w:szCs w:val="20"/>
          <w:color w:val="auto"/>
        </w:rPr>
      </w:pPr>
      <w:r>
        <w:rPr>
          <w:rFonts w:ascii="Arial" w:cs="Arial" w:eastAsia="Arial" w:hAnsi="Arial"/>
          <w:sz w:val="17"/>
          <w:szCs w:val="17"/>
          <w:color w:val="auto"/>
        </w:rPr>
        <w:t>As of June 30, 2023, the total compensation costs related to unvested awards not yet recognized is $7.4 million and the weighted average period over which it is expected to be recognized is approximately 1.9 years. The Company did not capitalize any stock-based compensation.</w:t>
      </w:r>
    </w:p>
    <w:p>
      <w:pPr>
        <w:spacing w:after="0" w:line="146"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The weighted average estimated fair value of the market condition restricted stock awards that were granted during the six months ended June 30, 2023 was $2.61 per unit. The estimate of the fair value was determined using a Monte-Carlo valuation simulation, which included the following assumptions: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50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160" w:type="dxa"/>
            <w:vAlign w:val="bottom"/>
          </w:tcPr>
          <w:p>
            <w:pPr>
              <w:jc w:val="right"/>
              <w:spacing w:after="0"/>
              <w:rPr>
                <w:sz w:val="20"/>
                <w:szCs w:val="20"/>
                <w:color w:val="auto"/>
              </w:rPr>
            </w:pPr>
            <w:r>
              <w:rPr>
                <w:rFonts w:ascii="Arial" w:cs="Arial" w:eastAsia="Arial" w:hAnsi="Arial"/>
                <w:sz w:val="18"/>
                <w:szCs w:val="18"/>
                <w:color w:val="auto"/>
              </w:rPr>
              <w:t>4.6%</w:t>
            </w:r>
          </w:p>
        </w:tc>
        <w:tc>
          <w:tcPr>
            <w:tcW w:w="45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50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Dividend yield</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0"/>
                <w:szCs w:val="20"/>
                <w:color w:val="auto"/>
              </w:rPr>
            </w:pPr>
          </w:p>
        </w:tc>
      </w:tr>
      <w:tr>
        <w:trPr>
          <w:trHeight w:val="418"/>
        </w:trPr>
        <w:tc>
          <w:tcPr>
            <w:tcW w:w="3580" w:type="dxa"/>
            <w:vAlign w:val="bottom"/>
          </w:tcPr>
          <w:p>
            <w:pPr>
              <w:spacing w:after="0"/>
              <w:rPr>
                <w:sz w:val="24"/>
                <w:szCs w:val="24"/>
                <w:color w:val="auto"/>
              </w:rPr>
            </w:pPr>
          </w:p>
        </w:tc>
        <w:tc>
          <w:tcPr>
            <w:tcW w:w="3160" w:type="dxa"/>
            <w:vAlign w:val="bottom"/>
          </w:tcPr>
          <w:p>
            <w:pPr>
              <w:jc w:val="right"/>
              <w:ind w:right="930"/>
              <w:spacing w:after="0"/>
              <w:rPr>
                <w:sz w:val="20"/>
                <w:szCs w:val="20"/>
                <w:color w:val="auto"/>
              </w:rPr>
            </w:pPr>
            <w:r>
              <w:rPr>
                <w:rFonts w:ascii="Arial" w:cs="Arial" w:eastAsia="Arial" w:hAnsi="Arial"/>
                <w:sz w:val="18"/>
                <w:szCs w:val="18"/>
                <w:color w:val="auto"/>
              </w:rPr>
              <w:t>14</w:t>
            </w:r>
          </w:p>
        </w:tc>
        <w:tc>
          <w:tcPr>
            <w:tcW w:w="4500" w:type="dxa"/>
            <w:vAlign w:val="bottom"/>
          </w:tcPr>
          <w:p>
            <w:pPr>
              <w:spacing w:after="0"/>
              <w:rPr>
                <w:sz w:val="24"/>
                <w:szCs w:val="24"/>
                <w:color w:val="auto"/>
              </w:rPr>
            </w:pPr>
          </w:p>
        </w:tc>
      </w:tr>
      <w:tr>
        <w:trPr>
          <w:trHeight w:val="115"/>
        </w:trPr>
        <w:tc>
          <w:tcPr>
            <w:tcW w:w="358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540"/>
        <w:spacing w:after="0" w:line="311" w:lineRule="auto"/>
        <w:rPr>
          <w:sz w:val="20"/>
          <w:szCs w:val="20"/>
          <w:color w:val="auto"/>
        </w:rPr>
      </w:pPr>
      <w:r>
        <w:rPr>
          <w:rFonts w:ascii="Arial" w:cs="Arial" w:eastAsia="Arial" w:hAnsi="Arial"/>
          <w:sz w:val="16"/>
          <w:szCs w:val="16"/>
          <w:color w:val="auto"/>
        </w:rPr>
        <w:t>Basic earnings (loss) per share (EPS) is calculated by dividing net income (loss) by the number of weighted average shares of common stock outstanding during the period. The calculation of diluted earnings per share assumes conversion of stock options and restricted stock units into common stock using the treasury method. The weighted average number of shares used to compute basic and diluted EPS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2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(loss) income available to common stockholders</w:t>
            </w:r>
          </w:p>
        </w:tc>
        <w:tc>
          <w:tcPr>
            <w:tcW w:w="2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197"/>
        </w:trPr>
        <w:tc>
          <w:tcPr>
            <w:tcW w:w="388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42,354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41,304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42,204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of equity awards</w:t>
            </w:r>
          </w:p>
        </w:tc>
        <w:tc>
          <w:tcPr>
            <w:tcW w:w="2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42,354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earnings per share</w:t>
            </w:r>
          </w:p>
        </w:tc>
        <w:tc>
          <w:tcPr>
            <w:tcW w:w="2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7"/>
        </w:trPr>
        <w:tc>
          <w:tcPr>
            <w:tcW w:w="3880" w:type="dxa"/>
            <w:vAlign w:val="bottom"/>
          </w:tcPr>
          <w:p>
            <w:pPr>
              <w:spacing w:after="0" w:line="196" w:lineRule="exact"/>
              <w:rPr>
                <w:sz w:val="20"/>
                <w:szCs w:val="20"/>
                <w:color w:val="auto"/>
              </w:rPr>
            </w:pPr>
            <w:r>
              <w:rPr>
                <w:rFonts w:ascii="Arial" w:cs="Arial" w:eastAsia="Arial" w:hAnsi="Arial"/>
                <w:sz w:val="18"/>
                <w:szCs w:val="18"/>
                <w:color w:val="auto"/>
              </w:rPr>
              <w:t>Diluted (loss) earnings per share</w:t>
            </w:r>
          </w:p>
        </w:tc>
        <w:tc>
          <w:tcPr>
            <w:tcW w:w="23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67"/>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0.06</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Shares excluded from diluted (loss) income per share</w:t>
            </w:r>
          </w:p>
        </w:tc>
        <w:tc>
          <w:tcPr>
            <w:tcW w:w="208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due to their anti-dilutive</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effect</w:t>
            </w:r>
          </w:p>
        </w:tc>
        <w:tc>
          <w:tcPr>
            <w:tcW w:w="2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represent a disaggregation of revenue from contracts with customers for the three and six months ended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4760" w:type="dxa"/>
            <w:vAlign w:val="bottom"/>
          </w:tcPr>
          <w:p>
            <w:pPr>
              <w:spacing w:after="0"/>
              <w:rPr>
                <w:sz w:val="20"/>
                <w:szCs w:val="20"/>
                <w:color w:val="auto"/>
              </w:rPr>
            </w:pPr>
            <w:r>
              <w:rPr>
                <w:rFonts w:ascii="Arial" w:cs="Arial" w:eastAsia="Arial" w:hAnsi="Arial"/>
                <w:sz w:val="18"/>
                <w:szCs w:val="18"/>
                <w:color w:val="auto"/>
              </w:rPr>
              <w:t>(in thousands)</w:t>
            </w: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55,303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2,683</w:t>
            </w:r>
          </w:p>
        </w:tc>
      </w:tr>
      <w:tr>
        <w:trPr>
          <w:trHeight w:val="25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57,986</w:t>
            </w: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represent a disaggregation of revenue by geographic destination for the three and six months ended June 30,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(in thousands)</w:t>
            </w: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26,314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Europe</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15,017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Greater China</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Rest of the world</w:t>
            </w: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9,528</w:t>
            </w:r>
          </w:p>
        </w:tc>
      </w:tr>
      <w:tr>
        <w:trPr>
          <w:trHeight w:val="25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57,986</w:t>
            </w: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No customer accounts for more than 10% of revenues for the three and six months ended June 30, 2023 and 2022. At June 30, 2023 and December 21, 2022, no customer accounts for more than 10% of net accounts receivable.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details of deferred revenue as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June 30, 2023</w:t>
            </w:r>
          </w:p>
        </w:tc>
        <w:tc>
          <w:tcPr>
            <w:tcW w:w="8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1"/>
              </w:rPr>
              <w:t>December 31, 2022</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Customer advances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1,508</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1,840</w:t>
            </w:r>
          </w:p>
        </w:tc>
      </w:tr>
      <w:tr>
        <w:trPr>
          <w:trHeight w:val="24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3,370</w:t>
            </w:r>
          </w:p>
        </w:tc>
      </w:tr>
    </w:tbl>
    <w:p>
      <w:pPr>
        <w:spacing w:after="0" w:line="202"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During each of the three months ended June 30, 2023 and 2022, the Company recognized revenue of $0.6 million from deferred revenue existing at December 31, 2022 and 2021, respectively. During the six months ended June 30, 2023 and 2022, the Company recognized revenue of $1.6 million and $1.3 million from deferred revenue existing at December 31, 2022 and 2021, respectively.</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Allowance for Expected Credit Losses on Receivables</w:t>
      </w:r>
    </w:p>
    <w:p>
      <w:pPr>
        <w:spacing w:after="0" w:line="225"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8"/>
          <w:szCs w:val="18"/>
          <w:color w:val="auto"/>
        </w:rPr>
        <w:t>The allowance for expected credit losses on receivables is used to present accounts receivable, net at an amount that represents the Company’s estimate of the related transaction price recognized as revenue. The allowance represents an estimate of expected credit losses over the lifetime of the receivables, even if the loss is considered remote, and reflects expected recoveries of amounts previously written-off. The Company estimates the allowance on the basis of specifically identified receivables that are evaluated individually for impairment and an analysis of the remaining receivables determined by reference to past default experience. The Company considers the need to adjust historical information to reflect the extent to which current conditions and reasonable forecasts are expected to differ from the conditions that existed for the historical period considered. Losses on receivables have not historically been significant.</w:t>
      </w:r>
    </w:p>
    <w:p>
      <w:pPr>
        <w:spacing w:after="0" w:line="19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Management judgments are used to determine when to charge off uncollectible trade accounts receivable. The Company bases these judgments on the age of the receivable, credit quality of the customer, current economic conditions, and other factors that may affect a customer’s ability and intent to pay. Customers are generally not required to provide collateral for purchases.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Activity in the allowance for expected losses on receivables is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Balance, beginning of period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bad debts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Charge-offs and other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period</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195"/>
        </w:trPr>
        <w:tc>
          <w:tcPr>
            <w:tcW w:w="2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191</w:t>
            </w:r>
          </w:p>
        </w:tc>
        <w:tc>
          <w:tcPr>
            <w:tcW w:w="80" w:type="dxa"/>
            <w:vAlign w:val="bottom"/>
          </w:tcPr>
          <w:p>
            <w:pPr>
              <w:spacing w:after="0"/>
              <w:rPr>
                <w:sz w:val="16"/>
                <w:szCs w:val="16"/>
                <w:color w:val="auto"/>
              </w:rPr>
            </w:pP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9"/>
        </w:trPr>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-582295</wp:posOffset>
            </wp:positionV>
            <wp:extent cx="49891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-307975</wp:posOffset>
            </wp:positionV>
            <wp:extent cx="498919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847" w:lineRule="exact"/>
        <w:rPr>
          <w:sz w:val="20"/>
          <w:szCs w:val="20"/>
          <w:color w:val="auto"/>
        </w:rPr>
      </w:pPr>
    </w:p>
    <w:p>
      <w:pPr>
        <w:sectPr>
          <w:pgSz w:w="11900" w:h="16838" w:orient="portrait"/>
          <w:cols w:equalWidth="0" w:num="2">
            <w:col w:w="4220" w:space="720"/>
            <w:col w:w="6300"/>
          </w:cols>
          <w:pgMar w:left="320" w:top="125" w:right="339" w:bottom="1440" w:gutter="0" w:footer="0" w:header="0"/>
          <w:type w:val="continuous"/>
        </w:sectPr>
      </w:pPr>
    </w:p>
    <w:p>
      <w:pPr>
        <w:spacing w:after="0" w:line="29" w:lineRule="exact"/>
        <w:rPr>
          <w:sz w:val="20"/>
          <w:szCs w:val="20"/>
          <w:color w:val="auto"/>
        </w:rPr>
      </w:pPr>
    </w:p>
    <w:p>
      <w:pPr>
        <w:jc w:val="both"/>
        <w:ind w:firstLine="540"/>
        <w:spacing w:after="0" w:line="279" w:lineRule="auto"/>
        <w:rPr>
          <w:sz w:val="20"/>
          <w:szCs w:val="20"/>
          <w:color w:val="auto"/>
        </w:rPr>
      </w:pPr>
      <w:r>
        <w:rPr>
          <w:rFonts w:ascii="Arial" w:cs="Arial" w:eastAsia="Arial" w:hAnsi="Arial"/>
          <w:sz w:val="17"/>
          <w:szCs w:val="17"/>
          <w:color w:val="auto"/>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spacing w:after="0" w:line="17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Income tax (benefit) expense is $(1.1) million and $1.0 million for the three months ended June 30, 2023 and 2022, respectively, and is $(0.5) million and $0.8 million for the six months ended June 30, 2023 and 2022, respectively. The effective tax rates for the three months ended June 30, 2023 and 2022, are 53.3% and 28.8%, respectively. The effective tax rates for the six months ended June 30, 2023 and 2022, are 59.8% and (23.6)%, respectively.</w:t>
      </w:r>
    </w:p>
    <w:p>
      <w:pPr>
        <w:spacing w:after="0" w:line="187"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The difference between the Company’s effective tax rates in 2023 and 2022 compared to the U.S. statutory tax rate of 21% is primarily due to a Global Intangible Low-Taxed Income (“GILTI”) inclusion to taxable income and changes in valuation allowances associated with the Company’s assessment of the likelihood of the recoverability of deferred tax assets. The Company has valuation allowances against substantially all of its net operating loss carryforwards and tax credit carryforwards.</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On April 27, 2022, the Company and Biostage executed a settlement with the plaintiffs in the Biostage Litigation (as defined below) which resolved all claims relating to the litigation as described in Note 13 – Litigation Settlement.</w:t>
      </w:r>
    </w:p>
    <w:p>
      <w:pPr>
        <w:spacing w:after="0" w:line="170" w:lineRule="exact"/>
        <w:rPr>
          <w:sz w:val="20"/>
          <w:szCs w:val="20"/>
          <w:color w:val="auto"/>
        </w:rPr>
      </w:pPr>
    </w:p>
    <w:p>
      <w:pPr>
        <w:jc w:val="both"/>
        <w:ind w:firstLine="540"/>
        <w:spacing w:after="0" w:line="296" w:lineRule="auto"/>
        <w:rPr>
          <w:sz w:val="20"/>
          <w:szCs w:val="20"/>
          <w:color w:val="auto"/>
        </w:rPr>
      </w:pPr>
      <w:r>
        <w:rPr>
          <w:rFonts w:ascii="Arial" w:cs="Arial" w:eastAsia="Arial" w:hAnsi="Arial"/>
          <w:sz w:val="16"/>
          <w:szCs w:val="16"/>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6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In addition, the Company has entered into indemnification agreements with its directors.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June 30,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40"/>
        <w:spacing w:after="0" w:line="301" w:lineRule="auto"/>
        <w:rPr>
          <w:sz w:val="20"/>
          <w:szCs w:val="20"/>
          <w:color w:val="auto"/>
        </w:rPr>
      </w:pPr>
      <w:r>
        <w:rPr>
          <w:rFonts w:ascii="Arial" w:cs="Arial" w:eastAsia="Arial" w:hAnsi="Arial"/>
          <w:sz w:val="16"/>
          <w:szCs w:val="16"/>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is currently undergoing unclaimed property audits conducted in various states. Based on the current stage of the audits, the Company has not accrued any loss contingencies related to these audits as of June 30, 2023.</w:t>
      </w:r>
    </w:p>
    <w:p>
      <w:pPr>
        <w:spacing w:after="0" w:line="39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Settlement</w:t>
      </w:r>
    </w:p>
    <w:p>
      <w:pPr>
        <w:spacing w:after="0" w:line="229" w:lineRule="exact"/>
        <w:rPr>
          <w:sz w:val="20"/>
          <w:szCs w:val="20"/>
          <w:color w:val="auto"/>
        </w:rPr>
      </w:pPr>
    </w:p>
    <w:p>
      <w:pPr>
        <w:jc w:val="both"/>
        <w:ind w:firstLine="540"/>
        <w:spacing w:after="0" w:line="275" w:lineRule="auto"/>
        <w:rPr>
          <w:sz w:val="20"/>
          <w:szCs w:val="20"/>
          <w:color w:val="auto"/>
        </w:rPr>
      </w:pPr>
      <w:r>
        <w:rPr>
          <w:rFonts w:ascii="Arial" w:cs="Arial" w:eastAsia="Arial" w:hAnsi="Arial"/>
          <w:sz w:val="17"/>
          <w:szCs w:val="17"/>
          <w:color w:val="auto"/>
        </w:rPr>
        <w:t>On April 14, 2017, representatives for the estate of an individual plaintiff filed a wrongful death complaint with the Suffolk Superior Court, in the County of Suffolk, Massachusetts, against the Company and other defendants, including Biostage, a former subsidiary of the Company that was spun off in 2013, as well as another third party (the “Biostage Litigation”). The complaint sought payment for an unspecified amount of damages and alleged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76"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8"/>
          <w:szCs w:val="18"/>
          <w:color w:val="auto"/>
        </w:rPr>
        <w:t>On April 27, 2022, the Company and Biostage executed a settlement with the plaintiffs of the Biostage Litigation and Biostage’s products liability insurance carriers (the “Biostage Settlement”), which resolved all claims by and between the parties and Biostage’s product liability insurance carriers and resulted in the dismissal with prejudice of the wrongful death claim and all claims between the Company, Biostage and the insurance carriers. The Biostage Settlement was entered into solely by way of compromise and settlement and is not in any way an admission of liability or fault by the Company or Biostage. Biostage has indemnified the Company for all losses and expenses, including legal expenses that the Company incurred in connection with the Biostage Litigation and the Biostage Settlement.</w:t>
      </w:r>
    </w:p>
    <w:p>
      <w:pPr>
        <w:spacing w:after="0" w:line="192"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During the three months ended March 31, 2022, the Company accrued $5.2 million of costs related to legal fees and the Biostage Settlement. Due to the financial condition of Biostage, the Company determined that it was uncertain as to whether Biostage would be able to meet its indemnification obligation and had fully reserved any receivable from Biostage.</w:t>
      </w:r>
    </w:p>
    <w:p>
      <w:pPr>
        <w:spacing w:after="0" w:line="184" w:lineRule="exact"/>
        <w:rPr>
          <w:sz w:val="20"/>
          <w:szCs w:val="20"/>
          <w:color w:val="auto"/>
        </w:rPr>
      </w:pPr>
    </w:p>
    <w:p>
      <w:pPr>
        <w:jc w:val="both"/>
        <w:ind w:firstLine="540"/>
        <w:spacing w:after="0" w:line="293" w:lineRule="auto"/>
        <w:rPr>
          <w:sz w:val="20"/>
          <w:szCs w:val="20"/>
          <w:color w:val="auto"/>
        </w:rPr>
      </w:pPr>
      <w:r>
        <w:rPr>
          <w:rFonts w:ascii="Arial" w:cs="Arial" w:eastAsia="Arial" w:hAnsi="Arial"/>
          <w:sz w:val="16"/>
          <w:szCs w:val="16"/>
          <w:color w:val="auto"/>
        </w:rPr>
        <w:t>During the three months ended June 30, 2022, the Company recorded credits of $4.9 million to the reserve against the indemnification receivable from Biostage. These adjustments reflected: i) the issuance by Biostage of 4,000 shares of its Series E Convertible Preferred Stock (the “Series E Preferred Stock”) to the Company on June 10, 2022, in satisfaction of $4.0 million of Biostage’s total indemnification obligation, ii) the payment by Biostage of the legal fees associated with the Biostage Settlement, and iii) other accrual adjustments. The Series E Preferred Stock accrued dividends at a rate of 8% per annum that are payable in additional shares of Series E Preferred Stock. The Series E Preferred Stock was initially recorded at an estimated fair value of $3.9 million using a Monte Carlo valuation simulation incorporating information from selected guideline companies.</w:t>
      </w:r>
    </w:p>
    <w:p>
      <w:pPr>
        <w:spacing w:after="0" w:line="164" w:lineRule="exact"/>
        <w:rPr>
          <w:sz w:val="20"/>
          <w:szCs w:val="20"/>
          <w:color w:val="auto"/>
        </w:rPr>
      </w:pPr>
    </w:p>
    <w:p>
      <w:pPr>
        <w:jc w:val="both"/>
        <w:ind w:firstLine="540"/>
        <w:spacing w:after="0" w:line="296" w:lineRule="auto"/>
        <w:rPr>
          <w:sz w:val="20"/>
          <w:szCs w:val="20"/>
          <w:color w:val="auto"/>
        </w:rPr>
      </w:pPr>
      <w:r>
        <w:rPr>
          <w:rFonts w:ascii="Arial" w:cs="Arial" w:eastAsia="Arial" w:hAnsi="Arial"/>
          <w:sz w:val="16"/>
          <w:szCs w:val="16"/>
          <w:color w:val="auto"/>
        </w:rPr>
        <w:t xml:space="preserve">As of December 31, 2022, the book value of the shares of Series E Preferred Stock, inclusive of accrued dividends, was $4.0 million and was included in the consolidated balance sheet as a component of Other long-term assets. The Company elected the provisions within ASC 321,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to subsequently measure the Series E Preferred Stock at its original cost minus impairment, if any, plus or minus changes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observable price changes in orderly transactions for the identical or a similar investment of Biostage. As of December 31, 2022, there were no observable price changes or indicators of impairment and therefore, there was no measurement adjustments to the carrying value of the Series E Preferred Stock.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On January 18, 2023, the Company voluntarily converted 200 shares of its Series E Preferred Stock into 31,933 shares of Biostage common stock.</w:t>
      </w:r>
    </w:p>
    <w:p>
      <w:pPr>
        <w:spacing w:after="0" w:line="248"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8"/>
          <w:szCs w:val="18"/>
          <w:color w:val="auto"/>
        </w:rPr>
        <w:t>On April 6, 2023, Biostage disclosed that it had completed a private placement of its common stock for an aggregate offering amount of approximately $6.0 million at a purchase price of $6.00 per share. As the proceeds of the private placements were in excess of $4.0 million, the transaction triggered a mandatory conversion of the Company’s remaining Series E Preferred Stock into shares of Biostage common stock at the offering price of $6.00 per share. As of June 30, 2023, the Company held 707,626 shares of Biostage common stock with an estimated fair value of $2.6 million, which has been included in the consolidated balance sheet as a component of Other long-term assets due to the limited trading volumes of Biostage’s common stock on the OTCQB Marketplace.</w:t>
      </w:r>
    </w:p>
    <w:p>
      <w:pPr>
        <w:spacing w:after="0" w:line="192"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8"/>
          <w:szCs w:val="18"/>
          <w:color w:val="auto"/>
        </w:rPr>
        <w:t>The Company determines the fair value of its shares of Biostage common stock at each reporting period using prices as quoted on the OTCQB Marketplace. Due to Biostage’s limited operating history, its overall financial condition and the limited trading volumes and liquidity of its common stock, the value of the Company’s investment in Biostage’s common stock could fluctuate considerably or become worthless. During the three months ended June 30, 2023, the Company recorded unrealized losses related to its investment in Biostage common stock of $1.6 million, which was recorded in the Other expense section in the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Product Line Disposition</w:t>
      </w:r>
    </w:p>
    <w:p>
      <w:pPr>
        <w:spacing w:after="0" w:line="229" w:lineRule="exact"/>
        <w:rPr>
          <w:sz w:val="20"/>
          <w:szCs w:val="20"/>
          <w:color w:val="auto"/>
        </w:rPr>
      </w:pPr>
    </w:p>
    <w:p>
      <w:pPr>
        <w:jc w:val="both"/>
        <w:ind w:firstLine="540"/>
        <w:spacing w:after="0" w:line="301" w:lineRule="auto"/>
        <w:rPr>
          <w:sz w:val="20"/>
          <w:szCs w:val="20"/>
          <w:color w:val="auto"/>
        </w:rPr>
      </w:pPr>
      <w:r>
        <w:rPr>
          <w:rFonts w:ascii="Arial" w:cs="Arial" w:eastAsia="Arial" w:hAnsi="Arial"/>
          <w:sz w:val="16"/>
          <w:szCs w:val="16"/>
          <w:color w:val="auto"/>
        </w:rPr>
        <w:t>On February 17, 2023, the Company completed the disposition of its Hoefer product line for cash consideration of $0.5 million. The carrying value of assets sold was $0.1 million resulting in a gain on disposition of $0.4 million which is recorded in Other income, net in the consolidated statement of operations for the six months ended June 30, 2023. Revenue and gross profit of this disposed product line included in the condensed consolidated statement of operations for the six months ended June 30, 2023, and for the three and six months ended June 30, 2022,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xml:space="preserve">). The forward-looking statements are principally, but not exclusively, contained in </w:t>
      </w:r>
      <w:r>
        <w:rPr>
          <w:rFonts w:ascii="Arial" w:cs="Arial" w:eastAsia="Arial" w:hAnsi="Arial"/>
          <w:sz w:val="16"/>
          <w:szCs w:val="16"/>
          <w:color w:val="auto"/>
        </w:rPr>
        <w:t>“</w:t>
      </w:r>
      <w:r>
        <w:rPr>
          <w:rFonts w:ascii="Arial" w:cs="Arial" w:eastAsia="Arial" w:hAnsi="Arial"/>
          <w:sz w:val="16"/>
          <w:szCs w:val="16"/>
          <w:i w:val="1"/>
          <w:iCs w:val="1"/>
          <w:color w:val="auto"/>
        </w:rPr>
        <w:t>Item 2: 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6"/>
          <w:szCs w:val="16"/>
          <w:color w:val="auto"/>
        </w:rPr>
        <w:t>’</w:t>
      </w:r>
      <w:r>
        <w:rPr>
          <w:rFonts w:ascii="Arial" w:cs="Arial" w:eastAsia="Arial" w:hAnsi="Arial"/>
          <w:sz w:val="16"/>
          <w:szCs w:val="16"/>
          <w:i w:val="1"/>
          <w:iCs w:val="1"/>
          <w:color w:val="auto"/>
        </w:rPr>
        <w:t xml:space="preserve">s confidence or expectations, and our plans, objectives, expectations, and intentions that are not historical facts. In some cases, you can identify forward-looking statements by terms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expects,</w:t>
      </w:r>
      <w:r>
        <w:rPr>
          <w:rFonts w:ascii="Arial" w:cs="Arial" w:eastAsia="Arial" w:hAnsi="Arial"/>
          <w:sz w:val="16"/>
          <w:szCs w:val="16"/>
          <w:color w:val="auto"/>
        </w:rPr>
        <w:t>” “</w:t>
      </w:r>
      <w:r>
        <w:rPr>
          <w:rFonts w:ascii="Arial" w:cs="Arial" w:eastAsia="Arial" w:hAnsi="Arial"/>
          <w:sz w:val="16"/>
          <w:szCs w:val="16"/>
          <w:i w:val="1"/>
          <w:iCs w:val="1"/>
          <w:color w:val="auto"/>
        </w:rPr>
        <w:t>plans,</w:t>
      </w:r>
      <w:r>
        <w:rPr>
          <w:rFonts w:ascii="Arial" w:cs="Arial" w:eastAsia="Arial" w:hAnsi="Arial"/>
          <w:sz w:val="16"/>
          <w:szCs w:val="16"/>
          <w:color w:val="auto"/>
        </w:rPr>
        <w:t>” “</w:t>
      </w:r>
      <w:r>
        <w:rPr>
          <w:rFonts w:ascii="Arial" w:cs="Arial" w:eastAsia="Arial" w:hAnsi="Arial"/>
          <w:sz w:val="16"/>
          <w:szCs w:val="16"/>
          <w:i w:val="1"/>
          <w:iCs w:val="1"/>
          <w:color w:val="auto"/>
        </w:rPr>
        <w:t>aim,</w:t>
      </w:r>
      <w:r>
        <w:rPr>
          <w:rFonts w:ascii="Arial" w:cs="Arial" w:eastAsia="Arial" w:hAnsi="Arial"/>
          <w:sz w:val="16"/>
          <w:szCs w:val="16"/>
          <w:color w:val="auto"/>
        </w:rPr>
        <w:t>” “</w:t>
      </w:r>
      <w:r>
        <w:rPr>
          <w:rFonts w:ascii="Arial" w:cs="Arial" w:eastAsia="Arial" w:hAnsi="Arial"/>
          <w:sz w:val="16"/>
          <w:szCs w:val="16"/>
          <w:i w:val="1"/>
          <w:iCs w:val="1"/>
          <w:color w:val="auto"/>
        </w:rPr>
        <w:t>anticipates,</w:t>
      </w:r>
      <w:r>
        <w:rPr>
          <w:rFonts w:ascii="Arial" w:cs="Arial" w:eastAsia="Arial" w:hAnsi="Arial"/>
          <w:sz w:val="16"/>
          <w:szCs w:val="16"/>
          <w:color w:val="auto"/>
        </w:rPr>
        <w:t>” “</w:t>
      </w:r>
      <w:r>
        <w:rPr>
          <w:rFonts w:ascii="Arial" w:cs="Arial" w:eastAsia="Arial" w:hAnsi="Arial"/>
          <w:sz w:val="16"/>
          <w:szCs w:val="16"/>
          <w:i w:val="1"/>
          <w:iCs w:val="1"/>
          <w:color w:val="auto"/>
        </w:rPr>
        <w:t>believes,</w:t>
      </w:r>
      <w:r>
        <w:rPr>
          <w:rFonts w:ascii="Arial" w:cs="Arial" w:eastAsia="Arial" w:hAnsi="Arial"/>
          <w:sz w:val="16"/>
          <w:szCs w:val="16"/>
          <w:color w:val="auto"/>
        </w:rPr>
        <w:t>” “</w:t>
      </w:r>
      <w:r>
        <w:rPr>
          <w:rFonts w:ascii="Arial" w:cs="Arial" w:eastAsia="Arial" w:hAnsi="Arial"/>
          <w:sz w:val="16"/>
          <w:szCs w:val="16"/>
          <w:i w:val="1"/>
          <w:iCs w:val="1"/>
          <w:color w:val="auto"/>
        </w:rPr>
        <w:t>estimates,</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predicts,</w:t>
      </w:r>
      <w:r>
        <w:rPr>
          <w:rFonts w:ascii="Arial" w:cs="Arial" w:eastAsia="Arial" w:hAnsi="Arial"/>
          <w:sz w:val="16"/>
          <w:szCs w:val="16"/>
          <w:color w:val="auto"/>
        </w:rPr>
        <w:t>” “</w:t>
      </w:r>
      <w:r>
        <w:rPr>
          <w:rFonts w:ascii="Arial" w:cs="Arial" w:eastAsia="Arial" w:hAnsi="Arial"/>
          <w:sz w:val="16"/>
          <w:szCs w:val="16"/>
          <w:i w:val="1"/>
          <w:iCs w:val="1"/>
          <w:color w:val="auto"/>
        </w:rPr>
        <w:t>intends,</w:t>
      </w:r>
      <w:r>
        <w:rPr>
          <w:rFonts w:ascii="Arial" w:cs="Arial" w:eastAsia="Arial" w:hAnsi="Arial"/>
          <w:sz w:val="16"/>
          <w:szCs w:val="16"/>
          <w:color w:val="auto"/>
        </w:rPr>
        <w:t>” “</w:t>
      </w:r>
      <w:r>
        <w:rPr>
          <w:rFonts w:ascii="Arial" w:cs="Arial" w:eastAsia="Arial" w:hAnsi="Arial"/>
          <w:sz w:val="16"/>
          <w:szCs w:val="16"/>
          <w:i w:val="1"/>
          <w:iCs w:val="1"/>
          <w:color w:val="auto"/>
        </w:rPr>
        <w:t>think,</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objectives,</w:t>
      </w:r>
      <w:r>
        <w:rPr>
          <w:rFonts w:ascii="Arial" w:cs="Arial" w:eastAsia="Arial" w:hAnsi="Arial"/>
          <w:sz w:val="16"/>
          <w:szCs w:val="16"/>
          <w:color w:val="auto"/>
        </w:rPr>
        <w:t>” “</w:t>
      </w:r>
      <w:r>
        <w:rPr>
          <w:rFonts w:ascii="Arial" w:cs="Arial" w:eastAsia="Arial" w:hAnsi="Arial"/>
          <w:sz w:val="16"/>
          <w:szCs w:val="16"/>
          <w:i w:val="1"/>
          <w:iCs w:val="1"/>
          <w:color w:val="auto"/>
        </w:rPr>
        <w:t>optimistic,</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goals,</w:t>
      </w:r>
      <w:r>
        <w:rPr>
          <w:rFonts w:ascii="Arial" w:cs="Arial" w:eastAsia="Arial" w:hAnsi="Arial"/>
          <w:sz w:val="16"/>
          <w:szCs w:val="16"/>
          <w:color w:val="auto"/>
        </w:rPr>
        <w:t>” “</w:t>
      </w:r>
      <w:r>
        <w:rPr>
          <w:rFonts w:ascii="Arial" w:cs="Arial" w:eastAsia="Arial" w:hAnsi="Arial"/>
          <w:sz w:val="16"/>
          <w:szCs w:val="16"/>
          <w:i w:val="1"/>
          <w:iCs w:val="1"/>
          <w:color w:val="auto"/>
        </w:rPr>
        <w:t>sees,</w:t>
      </w:r>
      <w:r>
        <w:rPr>
          <w:rFonts w:ascii="Arial" w:cs="Arial" w:eastAsia="Arial" w:hAnsi="Arial"/>
          <w:sz w:val="16"/>
          <w:szCs w:val="16"/>
          <w:color w:val="auto"/>
        </w:rPr>
        <w:t>” “</w:t>
      </w:r>
      <w:r>
        <w:rPr>
          <w:rFonts w:ascii="Arial" w:cs="Arial" w:eastAsia="Arial" w:hAnsi="Arial"/>
          <w:sz w:val="16"/>
          <w:szCs w:val="16"/>
          <w:i w:val="1"/>
          <w:iCs w:val="1"/>
          <w:color w:val="auto"/>
        </w:rPr>
        <w:t>new,</w:t>
      </w:r>
      <w:r>
        <w:rPr>
          <w:rFonts w:ascii="Arial" w:cs="Arial" w:eastAsia="Arial" w:hAnsi="Arial"/>
          <w:sz w:val="16"/>
          <w:szCs w:val="16"/>
          <w:color w:val="auto"/>
        </w:rPr>
        <w:t>” “</w:t>
      </w:r>
      <w:r>
        <w:rPr>
          <w:rFonts w:ascii="Arial" w:cs="Arial" w:eastAsia="Arial" w:hAnsi="Arial"/>
          <w:sz w:val="16"/>
          <w:szCs w:val="16"/>
          <w:i w:val="1"/>
          <w:iCs w:val="1"/>
          <w:color w:val="auto"/>
        </w:rPr>
        <w:t>guidance,</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drive,</w:t>
      </w:r>
      <w:r>
        <w:rPr>
          <w:rFonts w:ascii="Arial" w:cs="Arial" w:eastAsia="Arial" w:hAnsi="Arial"/>
          <w:sz w:val="16"/>
          <w:szCs w:val="16"/>
          <w:color w:val="auto"/>
        </w:rPr>
        <w:t>” “</w:t>
      </w:r>
      <w:r>
        <w:rPr>
          <w:rFonts w:ascii="Arial" w:cs="Arial" w:eastAsia="Arial" w:hAnsi="Arial"/>
          <w:sz w:val="16"/>
          <w:szCs w:val="16"/>
          <w:i w:val="1"/>
          <w:iCs w:val="1"/>
          <w:color w:val="auto"/>
        </w:rPr>
        <w:t>growth,</w:t>
      </w:r>
      <w:r>
        <w:rPr>
          <w:rFonts w:ascii="Arial" w:cs="Arial" w:eastAsia="Arial" w:hAnsi="Arial"/>
          <w:sz w:val="16"/>
          <w:szCs w:val="16"/>
          <w:color w:val="auto"/>
        </w:rPr>
        <w:t>” “</w:t>
      </w:r>
      <w:r>
        <w:rPr>
          <w:rFonts w:ascii="Arial" w:cs="Arial" w:eastAsia="Arial" w:hAnsi="Arial"/>
          <w:sz w:val="16"/>
          <w:szCs w:val="16"/>
          <w:i w:val="1"/>
          <w:iCs w:val="1"/>
          <w:color w:val="auto"/>
        </w:rPr>
        <w:t>long-term,</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develop,</w:t>
      </w:r>
      <w:r>
        <w:rPr>
          <w:rFonts w:ascii="Arial" w:cs="Arial" w:eastAsia="Arial" w:hAnsi="Arial"/>
          <w:sz w:val="16"/>
          <w:szCs w:val="16"/>
          <w:color w:val="auto"/>
        </w:rPr>
        <w:t>” “</w:t>
      </w:r>
      <w:r>
        <w:rPr>
          <w:rFonts w:ascii="Arial" w:cs="Arial" w:eastAsia="Arial" w:hAnsi="Arial"/>
          <w:sz w:val="16"/>
          <w:szCs w:val="16"/>
          <w:i w:val="1"/>
          <w:iCs w:val="1"/>
          <w:color w:val="auto"/>
        </w:rPr>
        <w:t>possible,</w:t>
      </w:r>
      <w:r>
        <w:rPr>
          <w:rFonts w:ascii="Arial" w:cs="Arial" w:eastAsia="Arial" w:hAnsi="Arial"/>
          <w:sz w:val="16"/>
          <w:szCs w:val="16"/>
          <w:color w:val="auto"/>
        </w:rPr>
        <w:t>” “</w:t>
      </w:r>
      <w:r>
        <w:rPr>
          <w:rFonts w:ascii="Arial" w:cs="Arial" w:eastAsia="Arial" w:hAnsi="Arial"/>
          <w:sz w:val="16"/>
          <w:szCs w:val="16"/>
          <w:i w:val="1"/>
          <w:iCs w:val="1"/>
          <w:color w:val="auto"/>
        </w:rPr>
        <w:t>emerging,</w:t>
      </w:r>
      <w:r>
        <w:rPr>
          <w:rFonts w:ascii="Arial" w:cs="Arial" w:eastAsia="Arial" w:hAnsi="Arial"/>
          <w:sz w:val="16"/>
          <w:szCs w:val="16"/>
          <w:color w:val="auto"/>
        </w:rPr>
        <w:t>” “</w:t>
      </w:r>
      <w:r>
        <w:rPr>
          <w:rFonts w:ascii="Arial" w:cs="Arial" w:eastAsia="Arial" w:hAnsi="Arial"/>
          <w:sz w:val="16"/>
          <w:szCs w:val="16"/>
          <w:i w:val="1"/>
          <w:iCs w:val="1"/>
          <w:color w:val="auto"/>
        </w:rPr>
        <w:t>opportunity,</w:t>
      </w:r>
      <w:r>
        <w:rPr>
          <w:rFonts w:ascii="Arial" w:cs="Arial" w:eastAsia="Arial" w:hAnsi="Arial"/>
          <w:sz w:val="16"/>
          <w:szCs w:val="16"/>
          <w:color w:val="auto"/>
        </w:rPr>
        <w:t>” “</w:t>
      </w:r>
      <w:r>
        <w:rPr>
          <w:rFonts w:ascii="Arial" w:cs="Arial" w:eastAsia="Arial" w:hAnsi="Arial"/>
          <w:sz w:val="16"/>
          <w:szCs w:val="16"/>
          <w:i w:val="1"/>
          <w:iCs w:val="1"/>
          <w:color w:val="auto"/>
        </w:rPr>
        <w:t>pursue</w:t>
      </w:r>
      <w:r>
        <w:rPr>
          <w:rFonts w:ascii="Arial" w:cs="Arial" w:eastAsia="Arial" w:hAnsi="Arial"/>
          <w:sz w:val="16"/>
          <w:szCs w:val="16"/>
          <w:color w:val="auto"/>
        </w:rPr>
        <w:t xml:space="preserve">” </w:t>
      </w:r>
      <w:r>
        <w:rPr>
          <w:rFonts w:ascii="Arial" w:cs="Arial" w:eastAsia="Arial" w:hAnsi="Arial"/>
          <w:sz w:val="16"/>
          <w:szCs w:val="16"/>
          <w:i w:val="1"/>
          <w:iCs w:val="1"/>
          <w:color w:val="auto"/>
        </w:rPr>
        <w:t>and similar expressions intended to identify forward-looking statements. These statements reflect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2022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the Company.</w:t>
      </w:r>
      <w:r>
        <w:rPr>
          <w:rFonts w:ascii="Arial" w:cs="Arial" w:eastAsia="Arial" w:hAnsi="Arial"/>
          <w:sz w:val="16"/>
          <w:szCs w:val="16"/>
          <w:color w:val="auto"/>
        </w:rPr>
        <w: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Global Supply Chain and Economic Environment</w:t>
      </w:r>
    </w:p>
    <w:p>
      <w:pPr>
        <w:spacing w:after="0" w:line="22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8"/>
          <w:szCs w:val="18"/>
          <w:color w:val="auto"/>
        </w:rPr>
        <w:t>The global supply chain has experienced significant disruptions over the last few years due to electronic component and labor shortages and other macroeconomic factors which have emerged since the onset of COVID-19. This has led to increased cost of freight, purchased materials, and manufacturing labor costs, while also delaying customer shipments. Additionally, the global economy has recently experienced increasing economic uncertainty, including inflationary pressure, rising interest rates, and significant fluctuations in exchange rates. These conditions have negatively impacted our past business, results of operations, and cash flow.</w:t>
      </w:r>
    </w:p>
    <w:p>
      <w:pPr>
        <w:spacing w:after="0" w:line="188"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We believe that these global economic uncertainties will continue through 2023. If these factors are prolonged or are more severe than anticipated, our business, results of operations, and cash flow may be materially impacted.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5"/>
              </w:rPr>
              <w:t>Three Months Ended June 30,</w:t>
            </w:r>
          </w:p>
        </w:tc>
        <w:tc>
          <w:tcPr>
            <w:tcW w:w="1320" w:type="dxa"/>
            <w:vAlign w:val="bottom"/>
            <w:tcBorders>
              <w:bottom w:val="single" w:sz="8" w:color="auto"/>
            </w:tcBorders>
          </w:tcPr>
          <w:p>
            <w:pPr>
              <w:spacing w:after="0"/>
              <w:rPr>
                <w:sz w:val="20"/>
                <w:szCs w:val="20"/>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19"/>
                <w:szCs w:val="19"/>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60" w:type="dxa"/>
            <w:vAlign w:val="bottom"/>
            <w:gridSpan w:val="3"/>
          </w:tcPr>
          <w:p>
            <w:pPr>
              <w:jc w:val="right"/>
              <w:ind w:right="467"/>
              <w:spacing w:after="0"/>
              <w:rPr>
                <w:sz w:val="20"/>
                <w:szCs w:val="20"/>
                <w:color w:val="auto"/>
              </w:rPr>
            </w:pPr>
            <w:r>
              <w:rPr>
                <w:rFonts w:ascii="Arial" w:cs="Arial" w:eastAsia="Arial" w:hAnsi="Arial"/>
                <w:sz w:val="18"/>
                <w:szCs w:val="18"/>
                <w:b w:val="1"/>
                <w:bCs w:val="1"/>
                <w:color w:val="auto"/>
                <w:w w:val="98"/>
              </w:rPr>
              <w:t>% of revenue</w:t>
            </w: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 of revenue</w:t>
            </w: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28,759</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29,208</w:t>
            </w:r>
          </w:p>
        </w:tc>
        <w:tc>
          <w:tcPr>
            <w:tcW w:w="1320" w:type="dxa"/>
            <w:vAlign w:val="bottom"/>
            <w:tcBorders>
              <w:top w:val="single" w:sz="8" w:color="auto"/>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16,673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16,637</w:t>
            </w:r>
          </w:p>
        </w:tc>
        <w:tc>
          <w:tcPr>
            <w:tcW w:w="132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6,178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6,587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5,353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5,981</w:t>
            </w: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3,497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1,389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1,454</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Unrealized loss on equity securities</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1,581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986</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Revenue decreased $0.4 million, or 1.5%, to $28.8 million for the three months ended June 30, 2023, compared to $29.2 million for the three months ended June 30, 2022. This decline included a decrease of $1.6 million in revenue from the discontinuation of non-strategic cellular and molecular products in the second half of 2022, partially offset by revenue growth in preclinical products.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540"/>
        <w:spacing w:after="0" w:line="275" w:lineRule="auto"/>
        <w:rPr>
          <w:sz w:val="20"/>
          <w:szCs w:val="20"/>
          <w:color w:val="auto"/>
        </w:rPr>
      </w:pPr>
      <w:r>
        <w:rPr>
          <w:rFonts w:ascii="Arial" w:cs="Arial" w:eastAsia="Arial" w:hAnsi="Arial"/>
          <w:sz w:val="17"/>
          <w:szCs w:val="17"/>
          <w:color w:val="auto"/>
        </w:rPr>
        <w:t>Gross profit was $16.7 million for three months ended June 30, 2023, compared with $16.6 million for the three months ended June 30, 2022. Gross margin increased to 58.0% for the three months ended June 30, 2023, compared with 57.0% for the three months ended June 30, 2022. The increase in gross margin was due primarily to a higher mix of preclinical products which generally have higher gross margin than our other product lines, and reduced revenue from lower margin products discontinued during the second half of 2022. Additionally, during the three months ended June 30, 2023, we aligned our global inventory costing process, which had an unfavorable impact to gross margin.</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Sales and marketing expenses decreased $0.4 million, or 6.2%, to $6.2 million for the three months ended June 30, 2023, compared to $6.6 million for the three months ended June 30, 2022. The decrease was primarily due to reduced salaries and travel expenses.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General and administrative expenses decreased $0.6 million, or 10.5%, to $5.4 million for the three months ended June 30, 2023, compared with $6.0 million for the three months ended June 30, 2022. This decrease was primarily due to reduced consulting costs partially offset by increases in salaries and variable compensation.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Research and development expenses decreased $0.5 million, or 15.4%, to $3.0 million for the three months ended June 30, 2023, compared with $3.5 million for the three months ended June 30, 2022. The decrease was primarily due to reduced salaries and consulting costs partially offset by increases in variable compensation.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jc w:val="both"/>
        <w:ind w:firstLine="540"/>
        <w:spacing w:after="0" w:line="308" w:lineRule="auto"/>
        <w:rPr>
          <w:sz w:val="20"/>
          <w:szCs w:val="20"/>
          <w:color w:val="auto"/>
        </w:rPr>
      </w:pPr>
      <w:r>
        <w:rPr>
          <w:rFonts w:ascii="Arial" w:cs="Arial" w:eastAsia="Arial" w:hAnsi="Arial"/>
          <w:sz w:val="17"/>
          <w:szCs w:val="17"/>
          <w:color w:val="auto"/>
        </w:rPr>
        <w:t>Amortization of intangible asset expenses were $1.4 million for the three months ended June 30, 2023, compared with $1.5 million for the three months ended June 30, 2022. Amortization expense decreased as we completed the amortization of certain intangible assets during 2022.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 settlement (2022)</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During the three months ended March 31, 2022, we accrued $5.2 million of costs related to legal fees in connection with the Biostage Litigation and the Biostage Settlement. Due to the financial condition of Biostage, we determined that it was uncertain as to whether Biostage would be able to meet its indemnification obligation and had fully reserved any receivable from Biostage.</w:t>
      </w:r>
    </w:p>
    <w:p>
      <w:pPr>
        <w:spacing w:after="0" w:line="184"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8"/>
          <w:szCs w:val="18"/>
          <w:color w:val="auto"/>
        </w:rPr>
        <w:t>During the three months ended June 30, 2022, we recorded a credit of $4.9 million consisting of adjustments to the reserve against an indemnification receivable from Biostage to reflect: i) the issuance by Biostage of Series E Preferred Stock to us on June 10, 2022, in satisfaction of $4.0 million of Biostage’s total indemnification obligations, ii) the payment by Biostage of legal fees associated with the Biostage Settlement, and iii) other accrual adjustments. The Series E Preferred Stock was initially recorded at an estimated fair value of $3.9 million using a Monte Carlo valuation simulation incorporating information from selected guideline companies.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Unrealized loss on equity securities</w:t>
      </w:r>
    </w:p>
    <w:p>
      <w:pPr>
        <w:spacing w:after="0" w:line="225" w:lineRule="exact"/>
        <w:rPr>
          <w:sz w:val="20"/>
          <w:szCs w:val="20"/>
          <w:color w:val="auto"/>
        </w:rPr>
      </w:pPr>
    </w:p>
    <w:p>
      <w:pPr>
        <w:jc w:val="both"/>
        <w:ind w:firstLine="540"/>
        <w:spacing w:after="0" w:line="279" w:lineRule="auto"/>
        <w:rPr>
          <w:sz w:val="20"/>
          <w:szCs w:val="20"/>
          <w:color w:val="auto"/>
        </w:rPr>
      </w:pPr>
      <w:r>
        <w:rPr>
          <w:rFonts w:ascii="Arial" w:cs="Arial" w:eastAsia="Arial" w:hAnsi="Arial"/>
          <w:sz w:val="17"/>
          <w:szCs w:val="17"/>
          <w:color w:val="auto"/>
        </w:rPr>
        <w:t>On April 6, 2023, Biostage disclosed that it had completed a private placement of its common stock for an aggregate offering amount of approximately $6.0 million at a purchase price of $6.00 per share. As the proceeds of the private placements were in excess of $4.0 million, the transaction triggered a mandatory conversion of our Series E Preferred Stock into shares of Biostage common stock at the offering price of $6.00 per share. As of June 30, 2023, we held 707,626 shares of Biostage common stock with an estimated fair value of $2.6 million.</w:t>
      </w:r>
    </w:p>
    <w:p>
      <w:pPr>
        <w:spacing w:after="0" w:line="17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We determine the fair value of our shares of Biostage common stock at each reporting period using prices as quoted on the OTCQB Marketplace. During the three months ended June 30, 2023, we recorded unrealized losses related to our investment in Biostage common stock of $1.6 million. Due to Biostage’s limited operating history, its overall financial condition and the limited trading volumes and liquidity of its common stock, the value of our investment in Biostage’s common stock could fluctuate considerably or become worthless.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Interest expense increased $0.4 million, or 82.7%, to $0.9 million for the three months ended June 30, 2023, compared with $0.5 million for the three months ended June 30, 2022. The increase was the result of higher interest costs in a rising rate environment, which was partially offset by lower average borrowings during the period.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8"/>
          <w:szCs w:val="18"/>
          <w:color w:val="auto"/>
        </w:rPr>
        <w:t>Income tax (benefit) expense for the three months ended June 30, 2023 was $(1.1) million and for the three months ended June 30, 2022 was $1.0 million. The effective tax rates for the three months ended June 30, 2023 and 2022 were 53.3% and 28.8%, respectively. The difference between our effective tax rates for the three months ended June 30, 2023 and 2022, compared to the U.S. statutory tax rate of 21% is primarily due to a Global Intangible Low-Taxed Income (“GILTI”) inclusion to taxable income and changes in valuation allowances associated with our assessment of the likelihood of the recoverability of our deferred tax assets. We have valuation allowances against substantially all of our net operating loss carryforwards and tax credit carryforwards.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3"/>
        </w:trPr>
        <w:tc>
          <w:tcPr>
            <w:tcW w:w="7200" w:type="dxa"/>
            <w:vAlign w:val="bottom"/>
            <w:gridSpan w:val="4"/>
          </w:tcPr>
          <w:p>
            <w:pPr>
              <w:ind w:left="540"/>
              <w:spacing w:after="0"/>
              <w:rPr>
                <w:sz w:val="20"/>
                <w:szCs w:val="20"/>
                <w:color w:val="auto"/>
              </w:rPr>
            </w:pPr>
            <w:r>
              <w:rPr>
                <w:rFonts w:ascii="Arial" w:cs="Arial" w:eastAsia="Arial" w:hAnsi="Arial"/>
                <w:sz w:val="18"/>
                <w:szCs w:val="18"/>
                <w:b w:val="1"/>
                <w:bCs w:val="1"/>
                <w:i w:val="1"/>
                <w:iCs w:val="1"/>
                <w:color w:val="auto"/>
                <w:w w:val="98"/>
              </w:rPr>
              <w:t>Six months ended June 30, 2023 compared to six months ended June 30, 2022.</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Six Months Ended June 30,</w:t>
            </w:r>
          </w:p>
        </w:tc>
        <w:tc>
          <w:tcPr>
            <w:tcW w:w="1360" w:type="dxa"/>
            <w:vAlign w:val="bottom"/>
            <w:tcBorders>
              <w:bottom w:val="single" w:sz="8" w:color="auto"/>
            </w:tcBorders>
          </w:tcPr>
          <w:p>
            <w:pPr>
              <w:spacing w:after="0"/>
              <w:rPr>
                <w:sz w:val="24"/>
                <w:szCs w:val="24"/>
                <w:color w:val="auto"/>
              </w:rPr>
            </w:pPr>
          </w:p>
        </w:tc>
      </w:tr>
      <w:tr>
        <w:trPr>
          <w:trHeight w:val="209"/>
        </w:trPr>
        <w:tc>
          <w:tcPr>
            <w:tcW w:w="59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60" w:type="dxa"/>
            <w:vAlign w:val="bottom"/>
            <w:gridSpan w:val="3"/>
          </w:tcPr>
          <w:p>
            <w:pPr>
              <w:jc w:val="right"/>
              <w:ind w:right="467"/>
              <w:spacing w:after="0"/>
              <w:rPr>
                <w:sz w:val="20"/>
                <w:szCs w:val="20"/>
                <w:color w:val="auto"/>
              </w:rPr>
            </w:pPr>
            <w:r>
              <w:rPr>
                <w:rFonts w:ascii="Arial" w:cs="Arial" w:eastAsia="Arial" w:hAnsi="Arial"/>
                <w:sz w:val="18"/>
                <w:szCs w:val="18"/>
                <w:b w:val="1"/>
                <w:bCs w:val="1"/>
                <w:color w:val="auto"/>
                <w:w w:val="98"/>
              </w:rPr>
              <w:t>% of revenue</w:t>
            </w: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revenue</w:t>
            </w:r>
          </w:p>
        </w:tc>
      </w:tr>
      <w:tr>
        <w:trPr>
          <w:trHeight w:val="209"/>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58,734</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57,986</w:t>
            </w:r>
          </w:p>
        </w:tc>
        <w:tc>
          <w:tcPr>
            <w:tcW w:w="1360" w:type="dxa"/>
            <w:vAlign w:val="bottom"/>
            <w:tcBorders>
              <w:top w:val="single" w:sz="8" w:color="auto"/>
            </w:tcBorders>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35,019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32,814</w:t>
            </w:r>
          </w:p>
        </w:tc>
        <w:tc>
          <w:tcPr>
            <w:tcW w:w="13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12,156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13,274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11,687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12,306</w:t>
            </w: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5,854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2,777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2,920</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Unrealized loss on equity securities</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1,581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1,915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848</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Revenue increased $0.7 million, or 1.3%, to $58.7 million for the six months ended June 30, 2023, compared to $58.0 million for the six months ended June 30, 2022. The increase in revenue was primarily due to revenue growth in preclinical products, which was partially offset by decreases from the discontinuation of non-strategic cellular and molecular products of $2.8M.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540"/>
        <w:spacing w:after="0" w:line="279" w:lineRule="auto"/>
        <w:rPr>
          <w:sz w:val="20"/>
          <w:szCs w:val="20"/>
          <w:color w:val="auto"/>
        </w:rPr>
      </w:pPr>
      <w:r>
        <w:rPr>
          <w:rFonts w:ascii="Arial" w:cs="Arial" w:eastAsia="Arial" w:hAnsi="Arial"/>
          <w:sz w:val="17"/>
          <w:szCs w:val="17"/>
          <w:color w:val="auto"/>
        </w:rPr>
        <w:t>Gross profit was $35.0 million for six months ended June 30, 2023 compared with $32.8 million for the six months ended June 30, 2022. Gross margin increased to 59.6% for the six months ended June 30, 2023, compared with 56.6% for the six months ended June 30, 2022. The increase in gross margin was due primarily to the increase in revenue, a higher mix of preclinical products which generally have higher gross margin than our other product lines, and reduced revenue from lower margin products discontinued during the second half of 2022.</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Sales and marketing expenses decreased $1.1 million, or 8.4%, to $12.2 million for the six months ended June 30, 2023, compared to $13.3 million for the six months ended June 30, 2022. The decrease was primarily due to reduced salaries and travel expenses partially offset by increases in variable compensation.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General and administrative expenses decreased $0.6 million, or 5.0%, to $11.7 million for the six months ended June 30, 2023, compared with $12.3 million for the six months ended June 30, 2022. The decrease was primarily due to reduced consulting costs partially offset by increases in salaries and variable compensation.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left="160" w:firstLine="396"/>
        <w:spacing w:after="0" w:line="263" w:lineRule="auto"/>
        <w:rPr>
          <w:sz w:val="20"/>
          <w:szCs w:val="20"/>
          <w:color w:val="auto"/>
        </w:rPr>
      </w:pPr>
      <w:r>
        <w:rPr>
          <w:rFonts w:ascii="Arial" w:cs="Arial" w:eastAsia="Arial" w:hAnsi="Arial"/>
          <w:sz w:val="18"/>
          <w:szCs w:val="18"/>
          <w:color w:val="auto"/>
        </w:rPr>
        <w:t>Research and development expenses decreased $0.9 million, or 12.8%, to $5.9 million for the six months ended June 30, 2023, compared with $6.7 million for the six months ended June 30, 2022. The decrease was primarily due to reduced salaries and consulting costs partially offset by increases in variable compensation.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firstLine="540"/>
        <w:spacing w:after="0" w:line="308" w:lineRule="auto"/>
        <w:rPr>
          <w:sz w:val="20"/>
          <w:szCs w:val="20"/>
          <w:color w:val="auto"/>
        </w:rPr>
      </w:pPr>
      <w:r>
        <w:rPr>
          <w:rFonts w:ascii="Arial" w:cs="Arial" w:eastAsia="Arial" w:hAnsi="Arial"/>
          <w:sz w:val="17"/>
          <w:szCs w:val="17"/>
          <w:color w:val="auto"/>
        </w:rPr>
        <w:t>Amortization of intangible asset expenses were $2.8 million for the six months ended June 30, 2023, compared with $2.9 million for the six months ended June 30, 2022. Amortization expense decreased as we completed the amortization of certain intangible assets during 2022.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 settlement (2022)</w:t>
      </w:r>
    </w:p>
    <w:p>
      <w:pPr>
        <w:spacing w:after="0" w:line="225" w:lineRule="exact"/>
        <w:rPr>
          <w:sz w:val="20"/>
          <w:szCs w:val="20"/>
          <w:color w:val="auto"/>
        </w:rPr>
      </w:pPr>
    </w:p>
    <w:p>
      <w:pPr>
        <w:jc w:val="both"/>
        <w:ind w:firstLine="540"/>
        <w:spacing w:after="0" w:line="286" w:lineRule="auto"/>
        <w:rPr>
          <w:sz w:val="20"/>
          <w:szCs w:val="20"/>
          <w:color w:val="auto"/>
        </w:rPr>
      </w:pPr>
      <w:r>
        <w:rPr>
          <w:rFonts w:ascii="Arial" w:cs="Arial" w:eastAsia="Arial" w:hAnsi="Arial"/>
          <w:sz w:val="17"/>
          <w:szCs w:val="17"/>
          <w:color w:val="auto"/>
        </w:rPr>
        <w:t>During the six months ended June 30, 2022, we incurred a net expense of $0.3 million related to the Biostage Settlement consisting of $5.2 million in settlement and legal expenses accrued during the three months ended March 31, 2022 offset by a credit of $4.9 million recorded during the three months ended June 30, 2022 as discussed above, related to adjustments to the reserves against the indemnification receivable from Biostage.</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Unrealized loss on equity securities</w:t>
      </w:r>
    </w:p>
    <w:p>
      <w:pPr>
        <w:spacing w:after="0" w:line="225" w:lineRule="exact"/>
        <w:rPr>
          <w:sz w:val="20"/>
          <w:szCs w:val="20"/>
          <w:color w:val="auto"/>
        </w:rPr>
      </w:pPr>
    </w:p>
    <w:p>
      <w:pPr>
        <w:jc w:val="both"/>
        <w:ind w:firstLine="540"/>
        <w:spacing w:after="0" w:line="279" w:lineRule="auto"/>
        <w:rPr>
          <w:sz w:val="20"/>
          <w:szCs w:val="20"/>
          <w:color w:val="auto"/>
        </w:rPr>
      </w:pPr>
      <w:r>
        <w:rPr>
          <w:rFonts w:ascii="Arial" w:cs="Arial" w:eastAsia="Arial" w:hAnsi="Arial"/>
          <w:sz w:val="17"/>
          <w:szCs w:val="17"/>
          <w:color w:val="auto"/>
        </w:rPr>
        <w:t>On April 6, 2023, Biostage disclosed that it had completed a private placement of its common stock for an aggregate offering amount of approximately $6.0 million at a purchase price of $6.00 per share. As the proceeds of the private placements were in excess of $4.0 million, the transaction triggered a mandatory conversion of our Series E Preferred Stock into shares of Biostage common stock at the offering price of $6.00 per share. As of June 30, 2023, we held 707,626 shares of Biostage common stock with an estimated fair value of $2.6 million.</w:t>
      </w:r>
    </w:p>
    <w:p>
      <w:pPr>
        <w:spacing w:after="0" w:line="17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We determine the fair value of our shares of Biostage common stock at each reporting period using prices as quoted on the OTCQB Marketplace. During the six months ended June 30, 2023, we recorded unrealized losses related to our investment in Biostage common stock of $1.6 million. Due to Biostage’s limited operating history, its overall financial condition and the limited trading volumes and liquidity of its common stock, the value of our investment in Biostage’s common stock could fluctuate considerably or become worthless.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Interest expense increased $1.0 million, or 113.0 %, to $1.9 million for the six months ended June 30, 2023, compared with $0.9 million for the six months ended June 30, 2022. The increase was the result of higher interest costs in a rising rate environment which was partially offset by lower average borrowings during the period.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540"/>
        <w:spacing w:after="0" w:line="275" w:lineRule="auto"/>
        <w:rPr>
          <w:sz w:val="20"/>
          <w:szCs w:val="20"/>
          <w:color w:val="auto"/>
        </w:rPr>
      </w:pPr>
      <w:r>
        <w:rPr>
          <w:rFonts w:ascii="Arial" w:cs="Arial" w:eastAsia="Arial" w:hAnsi="Arial"/>
          <w:sz w:val="17"/>
          <w:szCs w:val="17"/>
          <w:color w:val="auto"/>
        </w:rPr>
        <w:t>Income tax (benefit) expense for the six months ended June 30, 2023 was $(0.5) million and for the six months ended June 30, 2022 was $0.8 million. The effective tax rates for the six months ended June 30, 2023 and 2022 were 59.8% and (23.6)%, respectively. The difference between our effective tax rates for the six months ended June 30, 2023 and 2022, compared to the U.S. statutory tax rate of 21% is primarily due to a GILTI inclusion to taxable income and changes in valuation allowances associated with our assessment of the likelihood of the recoverability of our deferred tax assets. We have valuation allowances against substantially all of our net operating loss carryforwards and tax credit carryforwards.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540"/>
        <w:spacing w:after="0" w:line="342" w:lineRule="auto"/>
        <w:rPr>
          <w:sz w:val="20"/>
          <w:szCs w:val="20"/>
          <w:color w:val="auto"/>
        </w:rPr>
      </w:pPr>
      <w:r>
        <w:rPr>
          <w:rFonts w:ascii="Arial" w:cs="Arial" w:eastAsia="Arial" w:hAnsi="Arial"/>
          <w:sz w:val="16"/>
          <w:szCs w:val="16"/>
          <w:color w:val="auto"/>
        </w:rPr>
        <w:t>Our primary sources of liquidity are cash and cash equivalents, internally generated cash flow from operations and our revolving credit facility. Our expected cash outlays relate primarily to cash payments due under our Credit Agreement described below, salaries as well as capital expenditures.</w:t>
      </w:r>
    </w:p>
    <w:p>
      <w:pPr>
        <w:spacing w:after="0" w:line="124"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As of June 30, 2023, we held cash and cash equivalents of $4.3 million, compared with $4.5 million at December 31, 2022. Borrowings outstanding were $42.1 million and $47.7 million as of June 30, 2023 and December 31, 2022, respectively.</w:t>
      </w:r>
    </w:p>
    <w:p>
      <w:pPr>
        <w:spacing w:after="0" w:line="170"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8"/>
          <w:szCs w:val="18"/>
          <w:color w:val="auto"/>
        </w:rPr>
        <w:t>On December 22, 2020, we entered into a Credit Agreement which provides for a term loan of $40.0 million and a $25.0 million senior revolving credit facility both maturing on December 22, 2025. As of June 30, 2023, the weighted average interest rate on our borrowings, inclusive of the effect of the interest rate swaps, was 8.1%, and the available and unused borrowing capacity was $12.4 million. Total revolver borrowing capacity is limited by our consolidated net leverage ratio as defined under the Credit Agreement, as amended. As of June 30, 2023, we were in compliance with the covenants of the Credit Agreement, as amended.</w:t>
      </w:r>
    </w:p>
    <w:p>
      <w:pPr>
        <w:spacing w:after="0" w:line="18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8"/>
          <w:szCs w:val="18"/>
          <w:color w:val="auto"/>
        </w:rPr>
        <w:t>Based on our current operating plans, we expect that our available cash, cash generated from current operations and debt capacity will be sufficient to finance current operations, and capital expenditures for at least the next 12 months. This assessment includes consideration of our best estimates of the impact of macroeconomic conditions and the COVID-19 pandemic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CASH FLOW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(used in)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92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used in 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14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195"/>
        </w:trPr>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5,364</w:t>
            </w:r>
          </w:p>
        </w:tc>
        <w:tc>
          <w:tcPr>
            <w:tcW w:w="100" w:type="dxa"/>
            <w:vAlign w:val="bottom"/>
          </w:tcPr>
          <w:p>
            <w:pPr>
              <w:spacing w:after="0"/>
              <w:rPr>
                <w:sz w:val="16"/>
                <w:szCs w:val="16"/>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(2,176)</w:t>
            </w:r>
          </w:p>
        </w:tc>
      </w:tr>
      <w:tr>
        <w:trPr>
          <w:trHeight w:val="216"/>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16"/>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40" w:space="720"/>
            <w:col w:w="5580"/>
          </w:cols>
          <w:pgMar w:left="320" w:top="125" w:right="339" w:bottom="1440" w:gutter="0" w:footer="0" w:header="0"/>
          <w:type w:val="continuous"/>
        </w:sectPr>
      </w:pPr>
    </w:p>
    <w:p>
      <w:pPr>
        <w:spacing w:after="0" w:line="2" w:lineRule="exact"/>
        <w:rPr>
          <w:sz w:val="20"/>
          <w:szCs w:val="20"/>
          <w:color w:val="auto"/>
        </w:rPr>
      </w:pPr>
    </w:p>
    <w:p>
      <w:pPr>
        <w:jc w:val="both"/>
        <w:ind w:firstLine="540"/>
        <w:spacing w:after="0" w:line="311" w:lineRule="auto"/>
        <w:rPr>
          <w:sz w:val="20"/>
          <w:szCs w:val="20"/>
          <w:color w:val="auto"/>
        </w:rPr>
      </w:pPr>
      <w:r>
        <w:rPr>
          <w:rFonts w:ascii="Arial" w:cs="Arial" w:eastAsia="Arial" w:hAnsi="Arial"/>
          <w:sz w:val="16"/>
          <w:szCs w:val="16"/>
          <w:color w:val="auto"/>
        </w:rPr>
        <w:t>Cash provided by (used in) operating activities was $5.4 million and $(2.2) million for the six months ended June 30, 2023 and 2022, respectively. Cash flow from operations for the six months ended June 30, 2023, was greater than the comparable period in the prior year reflecting improved operating results. Also, during the six months ended June 30, 2022, we paid approximately $4.0 million in connection with the Biostage Settlement.</w:t>
      </w:r>
    </w:p>
    <w:p>
      <w:pPr>
        <w:spacing w:after="0" w:line="14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Cash used in investing activities was $0.3 million for the six months ended June 30, 2023, and primarily consisted of $0.8 million of capital expenditures in manufacturing, information technology infrastructure, and intangible asset acquisitions, offset by $0.5 million from proceeds of the sale our Hoefer product line. Cash used in investing activities was $0.9 million for the six months ended June 30, 2022, and primarily consisted of capital expenditures in manufacturing and information technology infrastructure.</w:t>
      </w:r>
    </w:p>
    <w:p>
      <w:pPr>
        <w:spacing w:after="0" w:line="187"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7"/>
          <w:szCs w:val="17"/>
          <w:color w:val="auto"/>
        </w:rPr>
        <w:t>Cash used in financing activities was $5.3 million and $0.5 million for the six months ended June 30, 2023 and 2022, respectively. During the six months ended June 30, 2023, debt outstanding under our credit facility decreased by $5.5 million, consisting of net payments against our revolving line of credit of $2.9 million, and payments of $2.6 million against the term loan. We also received proceeds of $0.7 million from the exercise of stock options and employee stock purchases and paid $0.5 million for taxes related to net share settlement of equity awards. During the six months ended June 30, 2022, we made payments of $1.7 million against our term loan, which were offset by net drawings against our revolving credit facility of $1.7 million. We also paid $0.8 million for taxes related to net share settlement of equity awards.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ind w:left="160" w:firstLine="396"/>
        <w:spacing w:after="0" w:line="277" w:lineRule="auto"/>
        <w:rPr>
          <w:sz w:val="20"/>
          <w:szCs w:val="20"/>
          <w:color w:val="auto"/>
        </w:rPr>
      </w:pPr>
      <w:r>
        <w:rPr>
          <w:rFonts w:ascii="Arial" w:cs="Arial" w:eastAsia="Arial" w:hAnsi="Arial"/>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British pound.</w:t>
      </w:r>
    </w:p>
    <w:p>
      <w:pPr>
        <w:spacing w:after="0" w:line="170" w:lineRule="exact"/>
        <w:rPr>
          <w:sz w:val="20"/>
          <w:szCs w:val="20"/>
          <w:color w:val="auto"/>
        </w:rPr>
      </w:pPr>
    </w:p>
    <w:p>
      <w:pPr>
        <w:jc w:val="both"/>
        <w:ind w:firstLine="540"/>
        <w:spacing w:after="0" w:line="286" w:lineRule="auto"/>
        <w:rPr>
          <w:sz w:val="20"/>
          <w:szCs w:val="20"/>
          <w:color w:val="auto"/>
        </w:rPr>
      </w:pPr>
      <w:r>
        <w:rPr>
          <w:rFonts w:ascii="Arial" w:cs="Arial" w:eastAsia="Arial" w:hAnsi="Arial"/>
          <w:sz w:val="17"/>
          <w:szCs w:val="17"/>
          <w:color w:val="auto"/>
        </w:rPr>
        <w:t>During the three months ended June 30, 2023, the impact of foreign currency exchange rates on our consolidated revenues and expense was not significant. During the six months ended June 30, 2023, changes in foreign currency exchange rates resulted in an unfavorable translation effect on our consolidated revenues of approximately $0.4 million and a favorable effect on expense of approximately $0.4 million.</w:t>
      </w:r>
    </w:p>
    <w:p>
      <w:pPr>
        <w:spacing w:after="0" w:line="16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The gain (loss) associated with the translation of foreign equity into U.S. dollars included as a component of comprehensive income was $0.2 million and $(2.5) million for the three months ended June 30, 2023 and June 30, 2022, respectively, and was $1.0 million and $(3.2) million for the six months ended June 30, 2023 and June 30, 2022, respectively.</w:t>
      </w:r>
    </w:p>
    <w:p>
      <w:pPr>
        <w:spacing w:after="0" w:line="184"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color w:val="auto"/>
        </w:rPr>
        <w:t>In addition, currency exchange rate fluctuations included as a component of net income (loss) resulted in currency losses of approximately $0.1 million and $0.2 million for each of the three months ended June 30, 2023 and 2022, respectively, and $0.1 million and $0.2 million for each of the six months ended June 30, 2023 and 2022,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160" w:firstLine="396"/>
        <w:spacing w:after="0" w:line="277" w:lineRule="auto"/>
        <w:rPr>
          <w:sz w:val="20"/>
          <w:szCs w:val="20"/>
          <w:color w:val="auto"/>
        </w:rPr>
      </w:pPr>
      <w:r>
        <w:rPr>
          <w:rFonts w:ascii="Arial" w:cs="Arial" w:eastAsia="Arial" w:hAnsi="Arial"/>
          <w:sz w:val="18"/>
          <w:szCs w:val="18"/>
          <w:color w:val="auto"/>
        </w:rPr>
        <w:t>The critical accounting policies underlying the accompanying unaudited consolidated financial statements are those set forth in Part II, Item 7 included in our Annual Report on Form 10-K for the fiscal year ended December 31, 2022.</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60" w:firstLine="396"/>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“Recently Issued Accounting Pronouncements” included in Note 2 to our Condensed Consolidated Financial Statements included in “Part I, Item 1. Financial Statements” of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8"/>
          <w:szCs w:val="18"/>
          <w:color w:val="auto"/>
        </w:rPr>
        <w:t>As of June 30, 2023,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160" w:firstLine="39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fiscal 2023 that have materially affected, or are reasonably likely to materially affect, our internal control over financial reporting.</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jc w:val="both"/>
        <w:ind w:firstLine="540"/>
        <w:spacing w:after="0" w:line="279" w:lineRule="auto"/>
        <w:rPr>
          <w:sz w:val="20"/>
          <w:szCs w:val="20"/>
          <w:color w:val="auto"/>
        </w:rPr>
      </w:pPr>
      <w:r>
        <w:rPr>
          <w:rFonts w:ascii="Arial" w:cs="Arial" w:eastAsia="Arial" w:hAnsi="Arial"/>
          <w:sz w:val="17"/>
          <w:szCs w:val="17"/>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The information included in Note 13 to the Condensed Consolidated Financial Statements (Unaudited) included in “Part I, Item 1 Financial Statements” of this quarterly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You should carefully consider the risk factors discussed in Part I, “Item 1A. Risk Factors” in our Annual Report on Form 10-K for the fiscal year ended December 31, 2022,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40"/>
          </w:cols>
          <w:pgMar w:left="320" w:top="125" w:right="339" w:bottom="1440" w:gutter="0" w:footer="0" w:header="0"/>
        </w:sectPr>
      </w:pPr>
    </w:p>
    <w:p>
      <w:pPr>
        <w:spacing w:after="0" w:line="337" w:lineRule="exact"/>
        <w:rPr>
          <w:sz w:val="20"/>
          <w:szCs w:val="20"/>
          <w:color w:val="auto"/>
        </w:rPr>
      </w:pPr>
    </w:p>
    <w:p>
      <w:pPr>
        <w:spacing w:after="0"/>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10.1</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58"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Employment Agreement between Jennifer Cote and the Company dated June 19, 2023 (previously filed as an exhibit to the Company’s Current</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Report on Form 8-K on June 20, 2023 and incorporated by reference thereto).</w:t>
        </w:r>
      </w:hyperlink>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u w:val="single" w:color="auto"/>
          <w:color w:val="0000EE"/>
        </w:rPr>
        <w:t>Certification of Chief Financial Officer of Harvard Bioscience, Inc., pursuant to Rules 13a-14(a) and 15d-14(a), as adopted pursuant to Section 302 of the Sarbanes-Oxley Act of 2002.</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u w:val="single" w:color="auto"/>
          <w:color w:val="0000EE"/>
        </w:rPr>
        <w:t>Certification of Chief Executive Officer of Harvard Bioscience, Inc., pursuant to Rules 13a-14(a) and 15d-14(a), as adopted pursuant to Section 302 of the Sarbanes-Oxley Act of 2002.</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u w:val="single" w:color="auto"/>
          <w:color w:val="0000EE"/>
        </w:rPr>
        <w:t>Certification of Chief Financial Officer of Harvard Bioscience, Inc., pursuant to 18 U.S.C. Section 1350, as adopted pursuant to Section 906 of the Sarbanes-Oxley Act of 2002.</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u w:val="single" w:color="auto"/>
          <w:color w:val="0000EE"/>
        </w:rPr>
        <w:t>Certification of Chief Executive Officer of Harvard Bioscience, Inc., pursuant to 18 U.S.C. Section 1350, as adopted pursuant to Section 906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Labels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8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120"/>
            <w:col w:w="104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20" w:right="6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HARVARD BIOSCIENCE,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Date: August 8, 2023</w:t>
            </w:r>
          </w:p>
        </w:tc>
        <w:tc>
          <w:tcPr>
            <w:tcW w:w="3920" w:type="dxa"/>
            <w:vAlign w:val="bottom"/>
            <w:vMerge w:val="restart"/>
          </w:tcPr>
          <w:p>
            <w:pPr>
              <w:jc w:val="center"/>
              <w:spacing w:after="0"/>
              <w:rPr>
                <w:sz w:val="20"/>
                <w:szCs w:val="20"/>
                <w:color w:val="auto"/>
              </w:rPr>
            </w:pPr>
            <w:r>
              <w:rPr>
                <w:rFonts w:ascii="Arial" w:cs="Arial" w:eastAsia="Arial" w:hAnsi="Arial"/>
                <w:sz w:val="18"/>
                <w:szCs w:val="18"/>
                <w:color w:val="auto"/>
                <w:w w:val="92"/>
              </w:rPr>
              <w:t>/s/ JAMES GREEN</w:t>
            </w:r>
          </w:p>
        </w:tc>
        <w:tc>
          <w:tcPr>
            <w:tcW w:w="0" w:type="dxa"/>
            <w:vAlign w:val="bottom"/>
          </w:tcPr>
          <w:p>
            <w:pPr>
              <w:spacing w:after="0"/>
              <w:rPr>
                <w:sz w:val="1"/>
                <w:szCs w:val="1"/>
                <w:color w:val="auto"/>
              </w:rPr>
            </w:pPr>
          </w:p>
        </w:tc>
      </w:tr>
      <w:tr>
        <w:trPr>
          <w:trHeight w:val="222"/>
        </w:trPr>
        <w:tc>
          <w:tcPr>
            <w:tcW w:w="7320" w:type="dxa"/>
            <w:vAlign w:val="bottom"/>
          </w:tcPr>
          <w:p>
            <w:pPr>
              <w:ind w:left="6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3920" w:type="dxa"/>
            <w:vAlign w:val="bottom"/>
          </w:tcPr>
          <w:p>
            <w:pPr>
              <w:jc w:val="center"/>
              <w:spacing w:after="0" w:line="195" w:lineRule="exact"/>
              <w:rPr>
                <w:sz w:val="20"/>
                <w:szCs w:val="20"/>
                <w:color w:val="auto"/>
              </w:rPr>
            </w:pPr>
            <w:r>
              <w:rPr>
                <w:rFonts w:ascii="Arial" w:cs="Arial" w:eastAsia="Arial" w:hAnsi="Arial"/>
                <w:sz w:val="18"/>
                <w:szCs w:val="18"/>
                <w:color w:val="auto"/>
                <w:w w:val="85"/>
              </w:rPr>
              <w:t>James Green</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648"/>
        </w:trPr>
        <w:tc>
          <w:tcPr>
            <w:tcW w:w="7320" w:type="dxa"/>
            <w:vAlign w:val="bottom"/>
          </w:tcPr>
          <w:p>
            <w:pPr>
              <w:ind w:left="6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JENNIFER COTE</w:t>
            </w: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3920" w:type="dxa"/>
            <w:vAlign w:val="bottom"/>
          </w:tcPr>
          <w:p>
            <w:pPr>
              <w:jc w:val="center"/>
              <w:spacing w:after="0" w:line="195" w:lineRule="exact"/>
              <w:rPr>
                <w:sz w:val="20"/>
                <w:szCs w:val="20"/>
                <w:color w:val="auto"/>
              </w:rPr>
            </w:pPr>
            <w:r>
              <w:rPr>
                <w:rFonts w:ascii="Arial" w:cs="Arial" w:eastAsia="Arial" w:hAnsi="Arial"/>
                <w:sz w:val="18"/>
                <w:szCs w:val="18"/>
                <w:color w:val="auto"/>
                <w:w w:val="89"/>
              </w:rPr>
              <w:t>Jennifer Cote</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864"/>
        </w:trPr>
        <w:tc>
          <w:tcPr>
            <w:tcW w:w="7320" w:type="dxa"/>
            <w:vAlign w:val="bottom"/>
          </w:tcPr>
          <w:p>
            <w:pPr>
              <w:jc w:val="right"/>
              <w:ind w:right="1510"/>
              <w:spacing w:after="0"/>
              <w:rPr>
                <w:sz w:val="20"/>
                <w:szCs w:val="20"/>
                <w:color w:val="auto"/>
              </w:rPr>
            </w:pPr>
            <w:r>
              <w:rPr>
                <w:rFonts w:ascii="Arial" w:cs="Arial" w:eastAsia="Arial" w:hAnsi="Arial"/>
                <w:sz w:val="18"/>
                <w:szCs w:val="18"/>
                <w:color w:val="auto"/>
              </w:rPr>
              <w:t>27</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Jennifer Cote, certify that:</w:t>
      </w:r>
    </w:p>
    <w:p>
      <w:pPr>
        <w:spacing w:after="0" w:line="225"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left="240" w:right="40" w:hanging="232"/>
        <w:spacing w:after="0" w:line="342" w:lineRule="auto"/>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500" w:hanging="232"/>
        <w:spacing w:after="0" w:line="308" w:lineRule="auto"/>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40" w:right="100" w:hanging="232"/>
        <w:spacing w:after="0" w:line="263"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460" w:right="60" w:hanging="228"/>
        <w:spacing w:after="0" w:line="263" w:lineRule="auto"/>
        <w:tabs>
          <w:tab w:leader="none" w:pos="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60" w:right="60" w:hanging="228"/>
        <w:spacing w:after="0" w:line="263" w:lineRule="auto"/>
        <w:tabs>
          <w:tab w:leader="none" w:pos="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100" w:hanging="228"/>
        <w:spacing w:after="0" w:line="308" w:lineRule="auto"/>
        <w:tabs>
          <w:tab w:leader="none" w:pos="4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460" w:right="140" w:hanging="228"/>
        <w:spacing w:after="0" w:line="263" w:lineRule="auto"/>
        <w:tabs>
          <w:tab w:leader="none" w:pos="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40" w:right="240" w:hanging="232"/>
        <w:spacing w:after="0" w:line="308" w:lineRule="auto"/>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20" w:hanging="228"/>
        <w:spacing w:after="0" w:line="277" w:lineRule="auto"/>
        <w:tabs>
          <w:tab w:leader="none" w:pos="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80" w:hanging="228"/>
        <w:spacing w:after="0" w:line="277" w:lineRule="auto"/>
        <w:tabs>
          <w:tab w:leader="none" w:pos="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6"/>
          <w:szCs w:val="16"/>
          <w:color w:val="auto"/>
        </w:rPr>
        <w:t>/s/ JENNIFER COTE</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Jennifer Cote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left="240" w:right="40" w:hanging="232"/>
        <w:spacing w:after="0" w:line="342"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500" w:hanging="232"/>
        <w:spacing w:after="0" w:line="308"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40" w:right="100" w:hanging="232"/>
        <w:spacing w:after="0" w:line="263"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460" w:right="60" w:hanging="228"/>
        <w:spacing w:after="0" w:line="263" w:lineRule="auto"/>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60" w:right="60" w:hanging="228"/>
        <w:spacing w:after="0" w:line="263" w:lineRule="auto"/>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100" w:hanging="228"/>
        <w:spacing w:after="0" w:line="308" w:lineRule="auto"/>
        <w:tabs>
          <w:tab w:leader="none" w:pos="4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460" w:right="140" w:hanging="228"/>
        <w:spacing w:after="0" w:line="263" w:lineRule="auto"/>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40" w:right="240" w:hanging="232"/>
        <w:spacing w:after="0" w:line="308"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20" w:hanging="228"/>
        <w:spacing w:after="0" w:line="277" w:lineRule="auto"/>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80" w:hanging="228"/>
        <w:spacing w:after="0" w:line="277" w:lineRule="auto"/>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James Green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her knowledge that the Company’s Quarterly Report on Form 10-Q for the quarterly period ended June 30, 2023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6"/>
          <w:szCs w:val="16"/>
          <w:color w:val="auto"/>
        </w:rPr>
        <w:t>/s/ JENNIFER COTE</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Jennifer Cote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June 30, 2023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James Green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decimal"/>
      <w:start w:val="13"/>
    </w:lvl>
  </w:abstractNum>
  <w:abstractNum w:abstractNumId="15">
    <w:nsid w:val="25E45D32"/>
    <w:multiLevelType w:val="hybridMultilevel"/>
    <w:lvl w:ilvl="0">
      <w:lvlJc w:val="left"/>
      <w:lvlText w:val="%1."/>
      <w:numFmt w:val="decimal"/>
      <w:start w:val="1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3" Type="http://schemas.openxmlformats.org/officeDocument/2006/relationships/hyperlink" Target="http://www.sec.gov/Archives/edgar/data/1123494/000117184323003988/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2023-08-08T16:20:00Z</dcterms:created>
  <dcterms:modified xsi:type="dcterms:W3CDTF">2023-08-08T16:20:00Z</dcterms:modified>
</cp:coreProperties>
</file>