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f8k_081126.htm"/>
      <w:bookmarkStart w:id="1" w:name="ksf8k_081126"/>
      <w:bookmarkEnd w:id="0"/>
      <w:bookmarkEnd w:id="1"/>
      <w:r>
        <w:rPr>
          <w:b/>
          <w:sz w:val="20"/>
        </w:rPr>
        <w:t>UNITED STATES</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center"/>
        <w:rPr>
          <w:sz w:val="20"/>
        </w:rPr>
      </w:pPr>
      <w:r>
        <w:rPr>
          <w:sz w:val="20"/>
        </w:rPr>
        <w:t>_________________</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 xml:space="preserve">FORM </w:t>
      </w:r>
      <w:bookmarkStart w:id="2" w:name="xdx_907_edei--DocumentType_c20260811__20"/>
      <w:bookmarkEnd w:id="2"/>
      <w:r>
        <w:rPr>
          <w:b/>
          <w:sz w:val="20"/>
        </w:rPr>
        <w:t>8-K</w:t>
      </w:r>
    </w:p>
    <w:p>
      <w:pPr>
        <w:pStyle w:val="TextBody"/>
        <w:bidi w:val="0"/>
        <w:spacing w:before="0" w:after="0"/>
        <w:ind w:left="0" w:right="0" w:hanging="0"/>
        <w:jc w:val="center"/>
        <w:rPr>
          <w:sz w:val="20"/>
        </w:rPr>
      </w:pPr>
      <w:r>
        <w:rPr>
          <w:sz w:val="20"/>
        </w:rPr>
        <w:t>_________________</w:t>
      </w:r>
    </w:p>
    <w:p>
      <w:pPr>
        <w:pStyle w:val="TextBody"/>
        <w:bidi w:val="0"/>
        <w:spacing w:before="0" w:after="0"/>
        <w:ind w:left="0" w:right="0" w:hanging="0"/>
        <w:jc w:val="left"/>
        <w:rPr/>
      </w:pPr>
      <w:r>
        <w:rPr/>
        <w:t> </w:t>
      </w:r>
    </w:p>
    <w:p>
      <w:pPr>
        <w:pStyle w:val="TextBody"/>
        <w:bidi w:val="0"/>
        <w:spacing w:before="0" w:after="0"/>
        <w:jc w:val="center"/>
        <w:rPr>
          <w:b/>
          <w:sz w:val="20"/>
        </w:rPr>
      </w:pPr>
      <w:r>
        <w:rPr>
          <w:b/>
          <w:sz w:val="20"/>
        </w:rPr>
        <w:t>CURRENT REPORT</w:t>
      </w:r>
    </w:p>
    <w:p>
      <w:pPr>
        <w:pStyle w:val="TextBody"/>
        <w:bidi w:val="0"/>
        <w:spacing w:before="0" w:after="0"/>
        <w:ind w:left="0" w:right="0" w:hanging="0"/>
        <w:jc w:val="left"/>
        <w:rPr/>
      </w:pPr>
      <w:r>
        <w:rPr/>
        <w:t> </w:t>
      </w:r>
    </w:p>
    <w:p>
      <w:pPr>
        <w:pStyle w:val="TextBody"/>
        <w:bidi w:val="0"/>
        <w:spacing w:before="0" w:after="0"/>
        <w:jc w:val="center"/>
        <w:rPr>
          <w:b/>
          <w:sz w:val="20"/>
        </w:rPr>
      </w:pPr>
      <w:r>
        <w:rPr>
          <w:b/>
          <w:sz w:val="20"/>
        </w:rPr>
        <w:t>Pursuant to Section 13 or 15(d)</w:t>
      </w:r>
    </w:p>
    <w:p>
      <w:pPr>
        <w:pStyle w:val="TextBody"/>
        <w:bidi w:val="0"/>
        <w:spacing w:before="0" w:after="0"/>
        <w:ind w:left="0" w:right="0" w:hanging="0"/>
        <w:jc w:val="center"/>
        <w:rPr>
          <w:b/>
          <w:sz w:val="20"/>
        </w:rPr>
      </w:pPr>
      <w:r>
        <w:rPr>
          <w:b/>
          <w:sz w:val="20"/>
        </w:rPr>
        <w:t>of the Securities Exchange Act of 1934</w:t>
      </w:r>
    </w:p>
    <w:p>
      <w:pPr>
        <w:pStyle w:val="TextBody"/>
        <w:bidi w:val="0"/>
        <w:spacing w:before="0" w:after="0"/>
        <w:jc w:val="center"/>
        <w:rPr/>
      </w:pPr>
      <w:r>
        <w:rPr/>
        <w:t> </w:t>
      </w:r>
    </w:p>
    <w:p>
      <w:pPr>
        <w:pStyle w:val="TextBody"/>
        <w:bidi w:val="0"/>
        <w:spacing w:before="0" w:after="0"/>
        <w:ind w:left="0" w:right="0" w:hanging="0"/>
        <w:jc w:val="center"/>
        <w:rPr>
          <w:b/>
          <w:sz w:val="20"/>
        </w:rPr>
      </w:pPr>
      <w:r>
        <w:rPr>
          <w:b/>
          <w:sz w:val="20"/>
        </w:rPr>
        <w:t xml:space="preserve">Date of Report (Date of earliest event reported): </w:t>
      </w:r>
      <w:bookmarkStart w:id="3" w:name="xdx_90F_edei--DocumentPeriodEndDate_c202"/>
      <w:bookmarkEnd w:id="3"/>
      <w:r>
        <w:rPr>
          <w:b/>
          <w:sz w:val="20"/>
        </w:rPr>
        <w:t>August 11, 2026</w:t>
      </w:r>
    </w:p>
    <w:p>
      <w:pPr>
        <w:pStyle w:val="TextBody"/>
        <w:bidi w:val="0"/>
        <w:spacing w:before="0" w:after="0"/>
        <w:ind w:left="0" w:right="0" w:hanging="0"/>
        <w:jc w:val="center"/>
        <w:rPr>
          <w:sz w:val="20"/>
        </w:rPr>
      </w:pPr>
      <w:r>
        <w:rPr>
          <w:sz w:val="20"/>
        </w:rPr>
        <w:t>_______________________________</w:t>
      </w:r>
    </w:p>
    <w:p>
      <w:pPr>
        <w:pStyle w:val="TextBody"/>
        <w:bidi w:val="0"/>
        <w:spacing w:before="0" w:after="0"/>
        <w:ind w:left="0" w:right="0" w:hanging="0"/>
        <w:jc w:val="left"/>
        <w:rPr/>
      </w:pPr>
      <w:r>
        <w:rPr/>
        <w:t> </w:t>
      </w:r>
    </w:p>
    <w:p>
      <w:pPr>
        <w:pStyle w:val="TextBody"/>
        <w:bidi w:val="0"/>
        <w:spacing w:before="0" w:after="0"/>
        <w:ind w:left="0" w:right="0" w:hanging="0"/>
        <w:jc w:val="center"/>
        <w:rPr>
          <w:color w:val="FF0000"/>
        </w:rPr>
      </w:pPr>
      <w:r>
        <w:rPr>
          <w:color w:val="FF0000"/>
        </w:rPr>
        <w:drawing>
          <wp:inline distT="0" distB="0" distL="0" distR="0">
            <wp:extent cx="2857500" cy="1304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1304925"/>
                    </a:xfrm>
                    <a:prstGeom prst="rect">
                      <a:avLst/>
                    </a:prstGeom>
                  </pic:spPr>
                </pic:pic>
              </a:graphicData>
            </a:graphic>
          </wp:inline>
        </w:drawing>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4" w:name="xdx_904_edei--EntityRegistrantName_c2026"/>
      <w:bookmarkEnd w:id="4"/>
      <w:r>
        <w:rPr>
          <w:b/>
          <w:sz w:val="20"/>
        </w:rPr>
        <w:t>HARVARD BIOSCIENCE, INC.</w:t>
      </w:r>
    </w:p>
    <w:p>
      <w:pPr>
        <w:pStyle w:val="TextBody"/>
        <w:bidi w:val="0"/>
        <w:spacing w:before="0" w:after="0"/>
        <w:ind w:left="0" w:right="0" w:hanging="0"/>
        <w:jc w:val="center"/>
        <w:rPr>
          <w:sz w:val="20"/>
        </w:rPr>
      </w:pPr>
      <w:r>
        <w:rPr>
          <w:sz w:val="20"/>
        </w:rPr>
        <w:t>(Exact name of registrant as specified in its charter)</w:t>
      </w:r>
    </w:p>
    <w:p>
      <w:pPr>
        <w:pStyle w:val="TextBody"/>
        <w:bidi w:val="0"/>
        <w:spacing w:before="0" w:after="0"/>
        <w:jc w:val="center"/>
        <w:rPr>
          <w:sz w:val="20"/>
        </w:rPr>
      </w:pPr>
      <w:r>
        <w:rPr>
          <w:sz w:val="20"/>
        </w:rPr>
        <w:t>______________________________</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189"/>
        <w:gridCol w:w="2594"/>
        <w:gridCol w:w="3422"/>
      </w:tblGrid>
      <w:tr>
        <w:trPr/>
        <w:tc>
          <w:tcPr>
            <w:tcW w:w="4189" w:type="dxa"/>
            <w:tcBorders/>
            <w:vAlign w:val="center"/>
          </w:tcPr>
          <w:p>
            <w:pPr>
              <w:pStyle w:val="TableContents"/>
              <w:bidi w:val="0"/>
              <w:spacing w:before="0" w:after="283"/>
              <w:jc w:val="center"/>
              <w:rPr>
                <w:b/>
              </w:rPr>
            </w:pPr>
            <w:bookmarkStart w:id="5" w:name="xdx_90A_edei--EntityIncorporationStateCo"/>
            <w:bookmarkEnd w:id="5"/>
            <w:r>
              <w:rPr>
                <w:b/>
              </w:rPr>
              <w:t>Delaware</w:t>
            </w:r>
          </w:p>
        </w:tc>
        <w:tc>
          <w:tcPr>
            <w:tcW w:w="2594" w:type="dxa"/>
            <w:tcBorders/>
            <w:vAlign w:val="center"/>
          </w:tcPr>
          <w:p>
            <w:pPr>
              <w:pStyle w:val="TableContents"/>
              <w:bidi w:val="0"/>
              <w:spacing w:before="0" w:after="283"/>
              <w:jc w:val="center"/>
              <w:rPr>
                <w:b/>
              </w:rPr>
            </w:pPr>
            <w:bookmarkStart w:id="6" w:name="xdx_909_edei--EntityFileNumber_c20260811"/>
            <w:bookmarkEnd w:id="6"/>
            <w:r>
              <w:rPr>
                <w:b/>
              </w:rPr>
              <w:t>001-33957</w:t>
            </w:r>
          </w:p>
        </w:tc>
        <w:tc>
          <w:tcPr>
            <w:tcW w:w="3422" w:type="dxa"/>
            <w:tcBorders/>
            <w:vAlign w:val="center"/>
          </w:tcPr>
          <w:p>
            <w:pPr>
              <w:pStyle w:val="TableContents"/>
              <w:bidi w:val="0"/>
              <w:spacing w:before="0" w:after="283"/>
              <w:jc w:val="center"/>
              <w:rPr>
                <w:b/>
              </w:rPr>
            </w:pPr>
            <w:bookmarkStart w:id="7" w:name="xdx_902_edei--EntityTaxIdentificationNum"/>
            <w:bookmarkEnd w:id="7"/>
            <w:r>
              <w:rPr>
                <w:b/>
              </w:rPr>
              <w:t>04-3306140</w:t>
            </w:r>
          </w:p>
        </w:tc>
      </w:tr>
      <w:tr>
        <w:trPr/>
        <w:tc>
          <w:tcPr>
            <w:tcW w:w="4189" w:type="dxa"/>
            <w:tcBorders/>
            <w:vAlign w:val="center"/>
          </w:tcPr>
          <w:p>
            <w:pPr>
              <w:pStyle w:val="TableContents"/>
              <w:bidi w:val="0"/>
              <w:spacing w:before="0" w:after="283"/>
              <w:jc w:val="center"/>
              <w:rPr/>
            </w:pPr>
            <w:r>
              <w:rPr/>
              <w:t>(State or Other Jurisdiction of Incorporation)</w:t>
            </w:r>
          </w:p>
        </w:tc>
        <w:tc>
          <w:tcPr>
            <w:tcW w:w="2594" w:type="dxa"/>
            <w:tcBorders/>
            <w:vAlign w:val="center"/>
          </w:tcPr>
          <w:p>
            <w:pPr>
              <w:pStyle w:val="TableContents"/>
              <w:bidi w:val="0"/>
              <w:spacing w:before="0" w:after="283"/>
              <w:jc w:val="center"/>
              <w:rPr/>
            </w:pPr>
            <w:r>
              <w:rPr/>
              <w:t>(Commission File Number)</w:t>
            </w:r>
          </w:p>
        </w:tc>
        <w:tc>
          <w:tcPr>
            <w:tcW w:w="3422" w:type="dxa"/>
            <w:tcBorders/>
            <w:vAlign w:val="center"/>
          </w:tcPr>
          <w:p>
            <w:pPr>
              <w:pStyle w:val="TableContents"/>
              <w:bidi w:val="0"/>
              <w:spacing w:before="0" w:after="283"/>
              <w:jc w:val="center"/>
              <w:rPr/>
            </w:pPr>
            <w:r>
              <w:rPr/>
              <w:t>(I.R.S. Employer Identification No.)</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8" w:name="xdx_908_edei--EntityAddressAddressLine1_"/>
      <w:bookmarkEnd w:id="8"/>
      <w:r>
        <w:rPr>
          <w:b/>
          <w:sz w:val="20"/>
        </w:rPr>
        <w:t>84 October Hill Road</w:t>
      </w:r>
    </w:p>
    <w:p>
      <w:pPr>
        <w:pStyle w:val="TextBody"/>
        <w:bidi w:val="0"/>
        <w:spacing w:before="0" w:after="0"/>
        <w:ind w:left="0" w:right="0" w:hanging="0"/>
        <w:jc w:val="center"/>
        <w:rPr>
          <w:b/>
          <w:sz w:val="20"/>
        </w:rPr>
      </w:pPr>
      <w:bookmarkStart w:id="9" w:name="xdx_901_edei--EntityAddressCityOrTown_c2"/>
      <w:bookmarkEnd w:id="9"/>
      <w:r>
        <w:rPr>
          <w:b/>
          <w:sz w:val="20"/>
        </w:rPr>
        <w:t xml:space="preserve">Holliston, </w:t>
      </w:r>
      <w:bookmarkStart w:id="10" w:name="xdx_90F_edei--EntityAddressStateOrProvin"/>
      <w:bookmarkEnd w:id="10"/>
      <w:r>
        <w:rPr>
          <w:b/>
          <w:sz w:val="20"/>
        </w:rPr>
        <w:t xml:space="preserve">MA </w:t>
      </w:r>
      <w:bookmarkStart w:id="11" w:name="xdx_902_edei--EntityAddressPostalZipCode"/>
      <w:bookmarkEnd w:id="11"/>
      <w:r>
        <w:rPr>
          <w:b/>
          <w:sz w:val="20"/>
        </w:rPr>
        <w:t>01746</w:t>
      </w:r>
    </w:p>
    <w:p>
      <w:pPr>
        <w:pStyle w:val="TextBody"/>
        <w:bidi w:val="0"/>
        <w:spacing w:before="0" w:after="0"/>
        <w:ind w:left="0" w:right="0" w:hanging="0"/>
        <w:jc w:val="center"/>
        <w:rPr>
          <w:sz w:val="20"/>
        </w:rPr>
      </w:pPr>
      <w:r>
        <w:rPr>
          <w:sz w:val="20"/>
        </w:rPr>
        <w:t>(Address of Principal Executive Offices) (Zip Code)</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2" w:name="xdx_90D_edei--CityAreaCode_c20260811__20"/>
      <w:bookmarkEnd w:id="12"/>
      <w:r>
        <w:rPr>
          <w:b/>
          <w:sz w:val="20"/>
        </w:rPr>
        <w:t xml:space="preserve">(508) </w:t>
      </w:r>
      <w:bookmarkStart w:id="13" w:name="xdx_907_edei--LocalPhoneNumber_c20260811"/>
      <w:bookmarkEnd w:id="13"/>
      <w:r>
        <w:rPr>
          <w:b/>
          <w:sz w:val="20"/>
        </w:rPr>
        <w:t>893-8999</w:t>
      </w:r>
    </w:p>
    <w:p>
      <w:pPr>
        <w:pStyle w:val="TextBody"/>
        <w:bidi w:val="0"/>
        <w:spacing w:before="0" w:after="0"/>
        <w:ind w:left="0" w:right="0" w:hanging="0"/>
        <w:jc w:val="center"/>
        <w:rPr>
          <w:sz w:val="20"/>
        </w:rPr>
      </w:pPr>
      <w:r>
        <w:rPr>
          <w:sz w:val="20"/>
        </w:rPr>
        <w:t>(Registrant's telephone number, including area code)</w:t>
      </w:r>
    </w:p>
    <w:p>
      <w:pPr>
        <w:pStyle w:val="TextBody"/>
        <w:bidi w:val="0"/>
        <w:spacing w:before="0" w:after="0"/>
        <w:ind w:left="0" w:right="0" w:hanging="0"/>
        <w:jc w:val="left"/>
        <w:rPr/>
      </w:pPr>
      <w:r>
        <w:rPr/>
        <w:t> </w:t>
      </w:r>
    </w:p>
    <w:p>
      <w:pPr>
        <w:pStyle w:val="TextBody"/>
        <w:bidi w:val="0"/>
        <w:spacing w:before="0" w:after="0"/>
        <w:ind w:left="0" w:right="0" w:hanging="0"/>
        <w:jc w:val="center"/>
        <w:rPr>
          <w:sz w:val="20"/>
        </w:rPr>
      </w:pPr>
      <w:r>
        <w:rPr>
          <w:sz w:val="20"/>
        </w:rPr>
        <w:t>(Former name or former address, if changed since last report)</w:t>
      </w:r>
    </w:p>
    <w:p>
      <w:pPr>
        <w:pStyle w:val="TextBody"/>
        <w:bidi w:val="0"/>
        <w:spacing w:before="0" w:after="0"/>
        <w:ind w:left="0" w:right="0" w:hanging="0"/>
        <w:jc w:val="center"/>
        <w:rPr>
          <w:sz w:val="20"/>
        </w:rPr>
      </w:pPr>
      <w:r>
        <w:rPr>
          <w:sz w:val="20"/>
        </w:rPr>
        <w:t>____________________________</w:t>
      </w:r>
    </w:p>
    <w:p>
      <w:pPr>
        <w:pStyle w:val="TextBody"/>
        <w:bidi w:val="0"/>
        <w:spacing w:before="0" w:after="0"/>
        <w:ind w:left="0" w:right="0" w:hanging="0"/>
        <w:jc w:val="left"/>
        <w:rPr/>
      </w:pPr>
      <w:r>
        <w:rPr/>
        <w:t> </w:t>
      </w:r>
    </w:p>
    <w:p>
      <w:pPr>
        <w:pStyle w:val="TextBody"/>
        <w:bidi w:val="0"/>
        <w:spacing w:before="0" w:after="0"/>
        <w:ind w:left="680" w:right="680" w:hanging="0"/>
        <w:jc w:val="left"/>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A_edei--WrittenCommunications_c202"/>
            <w:bookmarkEnd w:id="14"/>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pPr>
      <w:r>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3_edei--SolicitingMaterial_c202608"/>
            <w:bookmarkEnd w:id="15"/>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D_edei--PreCommencementTenderOffer"/>
            <w:bookmarkEnd w:id="16"/>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9_edei--PreCommencementIssuerTende"/>
            <w:bookmarkEnd w:id="17"/>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pPr>
      <w:r>
        <w:rPr/>
        <w:t> </w:t>
      </w:r>
    </w:p>
    <w:tbl>
      <w:tblPr>
        <w:tblW w:w="9795" w:type="dxa"/>
        <w:jc w:val="left"/>
        <w:tblInd w:w="0" w:type="dxa"/>
        <w:tblLayout w:type="fixed"/>
        <w:tblCellMar>
          <w:top w:w="0" w:type="dxa"/>
          <w:left w:w="0" w:type="dxa"/>
          <w:bottom w:w="0" w:type="dxa"/>
          <w:right w:w="0" w:type="dxa"/>
        </w:tblCellMar>
      </w:tblPr>
      <w:tblGrid>
        <w:gridCol w:w="4670"/>
        <w:gridCol w:w="1535"/>
        <w:gridCol w:w="3590"/>
      </w:tblGrid>
      <w:tr>
        <w:trPr/>
        <w:tc>
          <w:tcPr>
            <w:tcW w:w="4670" w:type="dxa"/>
            <w:tcBorders/>
            <w:vAlign w:val="center"/>
          </w:tcPr>
          <w:p>
            <w:pPr>
              <w:pStyle w:val="TableContents"/>
              <w:bidi w:val="0"/>
              <w:spacing w:before="0" w:after="283"/>
              <w:jc w:val="left"/>
              <w:rPr>
                <w:sz w:val="20"/>
              </w:rPr>
            </w:pPr>
            <w:r>
              <w:rPr>
                <w:sz w:val="20"/>
              </w:rPr>
              <w:t>Securities registered pursuant to Section 12(b) of the Act:</w:t>
            </w:r>
          </w:p>
        </w:tc>
        <w:tc>
          <w:tcPr>
            <w:tcW w:w="1535"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467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Title of each class</w:t>
            </w:r>
          </w:p>
        </w:tc>
        <w:tc>
          <w:tcPr>
            <w:tcW w:w="153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Trading Symbol(s)</w:t>
            </w:r>
          </w:p>
        </w:tc>
        <w:tc>
          <w:tcPr>
            <w:tcW w:w="359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Name of each exchange on which registered</w:t>
            </w:r>
          </w:p>
        </w:tc>
      </w:tr>
      <w:tr>
        <w:trPr/>
        <w:tc>
          <w:tcPr>
            <w:tcW w:w="4670" w:type="dxa"/>
            <w:tcBorders/>
            <w:vAlign w:val="center"/>
          </w:tcPr>
          <w:p>
            <w:pPr>
              <w:pStyle w:val="TableContents"/>
              <w:bidi w:val="0"/>
              <w:spacing w:before="0" w:after="283"/>
              <w:jc w:val="center"/>
              <w:rPr>
                <w:sz w:val="20"/>
              </w:rPr>
            </w:pPr>
            <w:bookmarkStart w:id="18" w:name="xdx_907_edei--Security12bTitle_c20260811"/>
            <w:bookmarkEnd w:id="18"/>
            <w:r>
              <w:rPr>
                <w:sz w:val="20"/>
              </w:rPr>
              <w:t>Common Stock, $0.01 par value</w:t>
            </w:r>
          </w:p>
        </w:tc>
        <w:tc>
          <w:tcPr>
            <w:tcW w:w="1535" w:type="dxa"/>
            <w:tcBorders/>
            <w:vAlign w:val="center"/>
          </w:tcPr>
          <w:p>
            <w:pPr>
              <w:pStyle w:val="TableContents"/>
              <w:bidi w:val="0"/>
              <w:spacing w:before="0" w:after="283"/>
              <w:jc w:val="center"/>
              <w:rPr>
                <w:sz w:val="20"/>
              </w:rPr>
            </w:pPr>
            <w:bookmarkStart w:id="19" w:name="xdx_906_edei--TradingSymbol_c20260811__2"/>
            <w:bookmarkEnd w:id="19"/>
            <w:r>
              <w:rPr>
                <w:sz w:val="20"/>
              </w:rPr>
              <w:t>HBIO</w:t>
            </w:r>
          </w:p>
        </w:tc>
        <w:tc>
          <w:tcPr>
            <w:tcW w:w="3590" w:type="dxa"/>
            <w:tcBorders/>
            <w:vAlign w:val="center"/>
          </w:tcPr>
          <w:p>
            <w:pPr>
              <w:pStyle w:val="TableContents"/>
              <w:bidi w:val="0"/>
              <w:spacing w:before="0" w:after="283"/>
              <w:jc w:val="center"/>
              <w:rPr>
                <w:sz w:val="20"/>
              </w:rPr>
            </w:pPr>
            <w:r>
              <w:rPr>
                <w:sz w:val="20"/>
              </w:rPr>
              <w:t xml:space="preserve">The </w:t>
            </w:r>
            <w:bookmarkStart w:id="20" w:name="xdx_90D_edei--SecurityExchangeName_c2026"/>
            <w:bookmarkEnd w:id="20"/>
            <w:r>
              <w:rPr>
                <w:sz w:val="20"/>
              </w:rPr>
              <w:t>NASDAQ Capital Market</w:t>
            </w:r>
          </w:p>
        </w:tc>
      </w:tr>
    </w:tbl>
    <w:p>
      <w:pPr>
        <w:pStyle w:val="TextBody"/>
        <w:bidi w:val="0"/>
        <w:spacing w:before="0" w:after="0"/>
        <w:ind w:left="0" w:right="0" w:hanging="0"/>
        <w:jc w:val="left"/>
        <w:rPr/>
      </w:pPr>
      <w:r>
        <w:rPr/>
        <w:t> </w:t>
      </w:r>
    </w:p>
    <w:p>
      <w:pPr>
        <w:pStyle w:val="TextBody"/>
        <w:bidi w:val="0"/>
        <w:spacing w:before="0" w:after="0"/>
        <w:ind w:left="520" w:right="520" w:hanging="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Emerging growth company </w:t>
      </w:r>
      <w:bookmarkStart w:id="21" w:name="xdx_906_edei--EntityEmergingGrowthCompan"/>
      <w:bookmarkEnd w:id="21"/>
      <w:r>
        <w:rPr>
          <w:sz w:val="20"/>
        </w:rPr>
        <w:t>☐</w:t>
      </w:r>
    </w:p>
    <w:p>
      <w:pPr>
        <w:pStyle w:val="TextBody"/>
        <w:bidi w:val="0"/>
        <w:spacing w:before="0" w:after="0"/>
        <w:ind w:left="0" w:right="0" w:hanging="0"/>
        <w:jc w:val="left"/>
        <w:rPr/>
      </w:pPr>
      <w:r>
        <w:rPr/>
        <w:t> </w:t>
      </w:r>
    </w:p>
    <w:p>
      <w:pPr>
        <w:pStyle w:val="TextBody"/>
        <w:bidi w:val="0"/>
        <w:spacing w:before="0" w:after="0"/>
        <w:ind w:left="160" w:right="16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160" w:right="160" w:hanging="0"/>
        <w:jc w:val="left"/>
        <w:rPr>
          <w:color w:val="FF0000"/>
        </w:rPr>
      </w:pPr>
      <w:r>
        <w:rPr>
          <w:color w:val="FF0000"/>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160" w:right="160" w:hanging="0"/>
        <w:jc w:val="left"/>
        <w:rPr>
          <w:color w:val="FF0000"/>
        </w:rPr>
      </w:pPr>
      <w:r>
        <w:rPr>
          <w:color w:val="FF0000"/>
        </w:rPr>
        <w:t> </w:t>
      </w:r>
    </w:p>
    <w:p>
      <w:pPr>
        <w:pStyle w:val="TextBody"/>
        <w:bidi w:val="0"/>
        <w:spacing w:before="0" w:after="0"/>
        <w:ind w:left="0" w:right="0" w:hanging="0"/>
        <w:jc w:val="left"/>
        <w:rPr>
          <w:b/>
          <w:sz w:val="20"/>
        </w:rPr>
      </w:pPr>
      <w:r>
        <w:rPr>
          <w:b/>
          <w:sz w:val="20"/>
        </w:rPr>
        <w:t>Item 2.02. Results of Operations and Financial Condition.</w:t>
      </w:r>
    </w:p>
    <w:p>
      <w:pPr>
        <w:pStyle w:val="TextBody"/>
        <w:bidi w:val="0"/>
        <w:spacing w:before="0" w:after="0"/>
        <w:ind w:left="0" w:right="0" w:hanging="0"/>
        <w:jc w:val="left"/>
        <w:rPr/>
      </w:pPr>
      <w:r>
        <w:rPr/>
        <w:t> </w:t>
      </w:r>
    </w:p>
    <w:p>
      <w:pPr>
        <w:pStyle w:val="TextBody"/>
        <w:bidi w:val="0"/>
        <w:spacing w:before="0" w:after="0"/>
        <w:ind w:left="200" w:right="200" w:hanging="0"/>
        <w:jc w:val="both"/>
        <w:rPr>
          <w:sz w:val="20"/>
        </w:rPr>
      </w:pPr>
      <w:r>
        <w:rPr>
          <w:sz w:val="20"/>
        </w:rPr>
        <w:t>On August 11, 2026, Harvard Bioscience, Inc. (the “Company”) issued a press release announcing financial results for the three and six months ended June 30, 2026, and the details of a related conference call to be held at 8:00 AM ET on August 11, 2026. The press release is furnished as Exhibit 99.1 and incorporated herein by reference.</w:t>
      </w:r>
    </w:p>
    <w:p>
      <w:pPr>
        <w:pStyle w:val="TextBody"/>
        <w:bidi w:val="0"/>
        <w:spacing w:before="0" w:after="0"/>
        <w:ind w:left="0" w:right="0" w:hanging="0"/>
        <w:jc w:val="left"/>
        <w:rPr/>
      </w:pPr>
      <w:r>
        <w:rPr/>
        <w:t> </w:t>
      </w:r>
    </w:p>
    <w:p>
      <w:pPr>
        <w:pStyle w:val="TextBody"/>
        <w:bidi w:val="0"/>
        <w:spacing w:before="0" w:after="0"/>
        <w:ind w:left="200" w:right="200" w:hanging="0"/>
        <w:jc w:val="left"/>
        <w:rPr>
          <w:sz w:val="20"/>
        </w:rPr>
      </w:pPr>
      <w:r>
        <w:rPr>
          <w:sz w:val="20"/>
        </w:rPr>
        <w:t>The information in Item 2.02 of this Current Report on Form 8-K and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shall be expressly set forth by specific reference in such a filing.</w:t>
      </w:r>
    </w:p>
    <w:p>
      <w:pPr>
        <w:pStyle w:val="TextBody"/>
        <w:bidi w:val="0"/>
        <w:spacing w:before="0" w:after="0"/>
        <w:ind w:left="200" w:right="200" w:hanging="0"/>
        <w:jc w:val="left"/>
        <w:rPr/>
      </w:pPr>
      <w:r>
        <w:rPr/>
        <w:t> </w:t>
      </w:r>
    </w:p>
    <w:p>
      <w:pPr>
        <w:pStyle w:val="TextBody"/>
        <w:bidi w:val="0"/>
        <w:spacing w:before="0" w:after="0"/>
        <w:ind w:left="0" w:right="0" w:hanging="0"/>
        <w:jc w:val="left"/>
        <w:rPr>
          <w:b/>
          <w:sz w:val="20"/>
        </w:rPr>
      </w:pPr>
      <w:r>
        <w:rPr>
          <w:b/>
          <w:sz w:val="20"/>
        </w:rPr>
        <w:t>Item 9.01. Financial Statements and Exhibits.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(d) Exhibits.</w:t>
      </w:r>
    </w:p>
    <w:p>
      <w:pPr>
        <w:pStyle w:val="TextBody"/>
        <w:bidi w:val="0"/>
        <w:spacing w:before="0" w:after="0"/>
        <w:ind w:left="0" w:right="0" w:hanging="0"/>
        <w:jc w:val="left"/>
        <w:rPr/>
      </w:pPr>
      <w:r>
        <w:rPr/>
        <w:t> </w:t>
      </w:r>
    </w:p>
    <w:tbl>
      <w:tblPr>
        <w:tblW w:w="8785" w:type="dxa"/>
        <w:jc w:val="left"/>
        <w:tblInd w:w="0" w:type="dxa"/>
        <w:tblLayout w:type="fixed"/>
        <w:tblCellMar>
          <w:top w:w="0" w:type="dxa"/>
          <w:left w:w="0" w:type="dxa"/>
          <w:bottom w:w="0" w:type="dxa"/>
          <w:right w:w="0" w:type="dxa"/>
        </w:tblCellMar>
      </w:tblPr>
      <w:tblGrid>
        <w:gridCol w:w="1700"/>
        <w:gridCol w:w="60"/>
        <w:gridCol w:w="7025"/>
      </w:tblGrid>
      <w:tr>
        <w:trPr/>
        <w:tc>
          <w:tcPr>
            <w:tcW w:w="1700" w:type="dxa"/>
            <w:tcBorders/>
            <w:vAlign w:val="center"/>
          </w:tcPr>
          <w:p>
            <w:pPr>
              <w:pStyle w:val="TableContents"/>
              <w:bidi w:val="0"/>
              <w:spacing w:before="0" w:after="283"/>
              <w:jc w:val="left"/>
              <w:rPr>
                <w:b/>
                <w:u w:val="single"/>
              </w:rPr>
            </w:pPr>
            <w:r>
              <w:rPr>
                <w:b/>
                <w:u w:val="single"/>
              </w:rPr>
              <w:t>Exhibit Number</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283"/>
              <w:jc w:val="left"/>
              <w:rPr>
                <w:b/>
                <w:u w:val="single"/>
              </w:rPr>
            </w:pPr>
            <w:r>
              <w:rPr>
                <w:b/>
                <w:u w:val="single"/>
              </w:rPr>
              <w:t>Description</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hyperlink w:anchor="exh_991.htm">
              <w:r>
                <w:rPr>
                  <w:rStyle w:val="InternetLink"/>
                </w:rPr>
                <w:t xml:space="preserve">99.1 </w:t>
              </w:r>
            </w:hyperlink>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283"/>
              <w:jc w:val="left"/>
              <w:rPr/>
            </w:pPr>
            <w:hyperlink w:anchor="exh_991.htm">
              <w:r>
                <w:rPr>
                  <w:rStyle w:val="InternetLink"/>
                </w:rPr>
                <w:t>Press Release issued by Harvard Bioscience, Inc. on August 11, 2026</w:t>
              </w:r>
            </w:hyperlink>
          </w:p>
        </w:tc>
      </w:tr>
      <w:tr>
        <w:trPr/>
        <w:tc>
          <w:tcPr>
            <w:tcW w:w="1700"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283"/>
              <w:jc w:val="left"/>
              <w:rPr/>
            </w:pPr>
            <w:r>
              <w:rPr/>
              <w:t>Cover Page Interactive Data File (embedded within the XBRL document)</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599" w:type="dxa"/>
        <w:jc w:val="left"/>
        <w:tblInd w:w="0" w:type="dxa"/>
        <w:tblLayout w:type="fixed"/>
        <w:tblCellMar>
          <w:top w:w="0" w:type="dxa"/>
          <w:left w:w="0" w:type="dxa"/>
          <w:bottom w:w="0" w:type="dxa"/>
          <w:right w:w="0" w:type="dxa"/>
        </w:tblCellMar>
      </w:tblPr>
      <w:tblGrid>
        <w:gridCol w:w="1865"/>
        <w:gridCol w:w="568"/>
        <w:gridCol w:w="2033"/>
        <w:gridCol w:w="133"/>
      </w:tblGrid>
      <w:tr>
        <w:trPr/>
        <w:tc>
          <w:tcPr>
            <w:tcW w:w="1865" w:type="dxa"/>
            <w:tcBorders/>
            <w:vAlign w:val="center"/>
          </w:tcPr>
          <w:p>
            <w:pPr>
              <w:pStyle w:val="TableContents"/>
              <w:bidi w:val="0"/>
              <w:spacing w:before="0" w:after="283"/>
              <w:jc w:val="left"/>
              <w:rPr/>
            </w:pPr>
            <w:r>
              <w:rPr/>
              <w:t> </w:t>
            </w:r>
          </w:p>
        </w:tc>
        <w:tc>
          <w:tcPr>
            <w:tcW w:w="2734" w:type="dxa"/>
            <w:gridSpan w:val="3"/>
            <w:tcBorders/>
            <w:vAlign w:val="center"/>
          </w:tcPr>
          <w:p>
            <w:pPr>
              <w:pStyle w:val="TableContents"/>
              <w:bidi w:val="0"/>
              <w:spacing w:before="0" w:after="283"/>
              <w:jc w:val="left"/>
              <w:rPr>
                <w:b/>
                <w:sz w:val="20"/>
              </w:rPr>
            </w:pPr>
            <w:r>
              <w:rPr>
                <w:b/>
                <w:sz w:val="20"/>
              </w:rPr>
              <w:t>HARVARD BIOSCIENCE, INC.</w:t>
            </w:r>
          </w:p>
        </w:tc>
      </w:tr>
      <w:tr>
        <w:trPr/>
        <w:tc>
          <w:tcPr>
            <w:tcW w:w="1865" w:type="dxa"/>
            <w:tcBorders/>
            <w:vAlign w:val="center"/>
          </w:tcPr>
          <w:p>
            <w:pPr>
              <w:pStyle w:val="TableContents"/>
              <w:bidi w:val="0"/>
              <w:spacing w:before="0" w:after="283"/>
              <w:jc w:val="left"/>
              <w:rPr/>
            </w:pPr>
            <w:r>
              <w:rPr/>
              <w:t> </w:t>
            </w:r>
          </w:p>
        </w:tc>
        <w:tc>
          <w:tcPr>
            <w:tcW w:w="2734" w:type="dxa"/>
            <w:gridSpan w:val="3"/>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11, 2026</w:t>
            </w:r>
          </w:p>
        </w:tc>
        <w:tc>
          <w:tcPr>
            <w:tcW w:w="568" w:type="dxa"/>
            <w:tcBorders/>
            <w:vAlign w:val="center"/>
          </w:tcPr>
          <w:p>
            <w:pPr>
              <w:pStyle w:val="TableContents"/>
              <w:bidi w:val="0"/>
              <w:spacing w:before="0" w:after="283"/>
              <w:jc w:val="left"/>
              <w:rPr>
                <w:sz w:val="20"/>
              </w:rPr>
            </w:pPr>
            <w:r>
              <w:rPr>
                <w:sz w:val="20"/>
              </w:rPr>
              <w:t>By:</w:t>
            </w:r>
          </w:p>
        </w:tc>
        <w:tc>
          <w:tcPr>
            <w:tcW w:w="2033"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Mark Frost</w:t>
            </w:r>
          </w:p>
        </w:tc>
        <w:tc>
          <w:tcPr>
            <w:tcW w:w="133"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 </w:t>
            </w:r>
          </w:p>
        </w:tc>
        <w:tc>
          <w:tcPr>
            <w:tcW w:w="2166" w:type="dxa"/>
            <w:gridSpan w:val="2"/>
            <w:tcBorders/>
            <w:vAlign w:val="center"/>
          </w:tcPr>
          <w:p>
            <w:pPr>
              <w:pStyle w:val="TableContents"/>
              <w:bidi w:val="0"/>
              <w:spacing w:before="0" w:after="283"/>
              <w:jc w:val="left"/>
              <w:rPr>
                <w:sz w:val="20"/>
              </w:rPr>
            </w:pPr>
            <w:r>
              <w:rPr>
                <w:sz w:val="20"/>
              </w:rPr>
              <w:t xml:space="preserve">Mark Frost </w:t>
            </w:r>
          </w:p>
        </w:tc>
      </w:tr>
      <w:tr>
        <w:trPr/>
        <w:tc>
          <w:tcPr>
            <w:tcW w:w="186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 </w:t>
            </w:r>
          </w:p>
        </w:tc>
        <w:tc>
          <w:tcPr>
            <w:tcW w:w="2166" w:type="dxa"/>
            <w:gridSpan w:val="2"/>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spacing w:before="0" w:after="0"/>
        <w:ind w:left="0" w:right="0" w:hanging="0"/>
        <w:jc w:val="right"/>
        <w:rPr>
          <w:b/>
        </w:rPr>
      </w:pPr>
      <w:bookmarkStart w:id="22" w:name="exh_991.htm"/>
      <w:bookmarkStart w:id="23" w:name="ksexh_991"/>
      <w:bookmarkEnd w:id="22"/>
      <w:bookmarkEnd w:id="23"/>
      <w:r>
        <w:rPr>
          <w:b/>
        </w:rPr>
        <w:t>Exhibit 99.1</w:t>
      </w:r>
      <w:r>
        <w:br w:type="page"/>
      </w:r>
    </w:p>
    <w:p>
      <w:pPr>
        <w:pStyle w:val="TextBody"/>
        <w:bidi w:val="0"/>
        <w:spacing w:before="0" w:after="0"/>
        <w:jc w:val="righ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1905000" cy="866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00" cy="866775"/>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left"/>
        <w:rPr>
          <w:sz w:val="32"/>
        </w:rPr>
      </w:pPr>
      <w:r>
        <w:rPr>
          <w:sz w:val="32"/>
        </w:rPr>
        <w:t>Harvard Bioscience Announces Second Quarter 2026 Financial Results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
        <w:gridCol w:w="162"/>
        <w:gridCol w:w="9994"/>
      </w:tblGrid>
      <w:tr>
        <w:trPr/>
        <w:tc>
          <w:tcPr>
            <w:tcW w:w="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Symbol" w:hAnsi="Symbol"/>
              </w:rPr>
            </w:pPr>
            <w:r>
              <w:rPr>
                <w:rFonts w:ascii="Symbol" w:hAnsi="Symbol"/>
              </w:rPr>
              <w:t>·</w:t>
            </w:r>
          </w:p>
        </w:tc>
        <w:tc>
          <w:tcPr>
            <w:tcW w:w="9994" w:type="dxa"/>
            <w:tcBorders/>
            <w:vAlign w:val="center"/>
          </w:tcPr>
          <w:p>
            <w:pPr>
              <w:pStyle w:val="TableContents"/>
              <w:bidi w:val="0"/>
              <w:spacing w:before="0" w:after="283"/>
              <w:jc w:val="both"/>
              <w:rPr>
                <w:i/>
              </w:rPr>
            </w:pPr>
            <w:r>
              <w:rPr>
                <w:i/>
              </w:rPr>
              <w:t xml:space="preserve">Second Quarter 2026 Revenue Growth of 11% Year Over Year to $22.7 Million </w:t>
            </w:r>
          </w:p>
        </w:tc>
      </w:tr>
    </w:tbl>
    <w:tbl>
      <w:tblPr>
        <w:tblW w:w="5000" w:type="pct"/>
        <w:jc w:val="left"/>
        <w:tblInd w:w="0" w:type="dxa"/>
        <w:tblLayout w:type="fixed"/>
        <w:tblCellMar>
          <w:top w:w="0" w:type="dxa"/>
          <w:left w:w="0" w:type="dxa"/>
          <w:bottom w:w="0" w:type="dxa"/>
          <w:right w:w="0" w:type="dxa"/>
        </w:tblCellMar>
      </w:tblPr>
      <w:tblGrid>
        <w:gridCol w:w="51"/>
        <w:gridCol w:w="169"/>
        <w:gridCol w:w="9985"/>
      </w:tblGrid>
      <w:tr>
        <w:trPr/>
        <w:tc>
          <w:tcPr>
            <w:tcW w:w="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Symbol" w:hAnsi="Symbol"/>
              </w:rPr>
            </w:pPr>
            <w:r>
              <w:rPr>
                <w:rFonts w:ascii="Symbol" w:hAnsi="Symbol"/>
              </w:rPr>
              <w:t>·</w:t>
            </w:r>
          </w:p>
        </w:tc>
        <w:tc>
          <w:tcPr>
            <w:tcW w:w="9985" w:type="dxa"/>
            <w:tcBorders/>
            <w:vAlign w:val="center"/>
          </w:tcPr>
          <w:p>
            <w:pPr>
              <w:pStyle w:val="TableContents"/>
              <w:bidi w:val="0"/>
              <w:spacing w:before="0" w:after="283"/>
              <w:jc w:val="both"/>
              <w:rPr>
                <w:i/>
              </w:rPr>
            </w:pPr>
            <w:r>
              <w:rPr>
                <w:i/>
              </w:rPr>
              <w:t>Raises Full Year 2026 Revenue Guidance to 3%-5% Year Over Year Growth</w:t>
            </w:r>
          </w:p>
        </w:tc>
      </w:tr>
    </w:tbl>
    <w:p>
      <w:pPr>
        <w:pStyle w:val="TextBody"/>
        <w:bidi w:val="0"/>
        <w:spacing w:before="0" w:after="0"/>
        <w:jc w:val="left"/>
        <w:rPr/>
      </w:pPr>
      <w:r>
        <w:rPr/>
        <w:t> </w:t>
      </w:r>
    </w:p>
    <w:p>
      <w:pPr>
        <w:pStyle w:val="TextBody"/>
        <w:bidi w:val="0"/>
        <w:spacing w:before="0" w:after="0"/>
        <w:jc w:val="both"/>
        <w:rPr>
          <w:sz w:val="20"/>
        </w:rPr>
      </w:pPr>
      <w:r>
        <w:rPr>
          <w:sz w:val="20"/>
        </w:rPr>
        <w:t>HOLLISTON, Mass., August 11, 2026 (GLOBE NEWSWIRE) -- Harvard Bioscience, Inc. (Nasdaq: HBIO) (the “Company” or “Harvard Bioscience”) today announced financial results for the second quarter ended June 30, 2026.</w:t>
      </w:r>
    </w:p>
    <w:p>
      <w:pPr>
        <w:pStyle w:val="TextBody"/>
        <w:bidi w:val="0"/>
        <w:spacing w:before="0" w:after="0"/>
        <w:jc w:val="both"/>
        <w:rPr/>
      </w:pPr>
      <w:r>
        <w:rPr/>
        <w:t> </w:t>
      </w:r>
    </w:p>
    <w:p>
      <w:pPr>
        <w:pStyle w:val="TextBody"/>
        <w:bidi w:val="0"/>
        <w:spacing w:before="0" w:after="0"/>
        <w:jc w:val="both"/>
        <w:rPr>
          <w:sz w:val="20"/>
        </w:rPr>
      </w:pPr>
      <w:r>
        <w:rPr>
          <w:sz w:val="20"/>
        </w:rPr>
        <w:t>"We delivered a strong quarter anchored by 11% top-line growth, reflective of stronger demand and an improved environment across our key customer channels,” said John Duke, President and Chief Executive Officer. “We are seeing solid commercial traction across our telemetry and cellular and molecular technology (CMT) products, driven by our AAA and electroporation businesses, and strong engagement from researchers utilizing our preclinical platform. Outperformance in our CMT products and China drove a slight mix impact on adjusted gross margin. This strong sales momentum positions us to raise our full-year revenue outlook while maintaining our adjusted EBITDA target, supported by ongoing cost discipline and operational progress.”</w:t>
      </w:r>
    </w:p>
    <w:p>
      <w:pPr>
        <w:pStyle w:val="TextBody"/>
        <w:bidi w:val="0"/>
        <w:spacing w:before="0" w:after="0"/>
        <w:jc w:val="left"/>
        <w:rPr/>
      </w:pPr>
      <w:r>
        <w:rPr/>
        <w:t> </w:t>
      </w:r>
    </w:p>
    <w:p>
      <w:pPr>
        <w:pStyle w:val="TextBody"/>
        <w:bidi w:val="0"/>
        <w:spacing w:before="0" w:after="0"/>
        <w:jc w:val="left"/>
        <w:rPr>
          <w:b/>
          <w:sz w:val="20"/>
        </w:rPr>
      </w:pPr>
      <w:r>
        <w:rPr>
          <w:b/>
          <w:sz w:val="20"/>
        </w:rPr>
        <w:t>Second Quarter 2026 Results</w:t>
      </w:r>
    </w:p>
    <w:p>
      <w:pPr>
        <w:pStyle w:val="TextBody"/>
        <w:bidi w:val="0"/>
        <w:spacing w:before="0" w:after="0"/>
        <w:jc w:val="left"/>
        <w:rPr/>
      </w:pPr>
      <w:r>
        <w:rPr/>
        <w:t> </w:t>
      </w:r>
    </w:p>
    <w:p>
      <w:pPr>
        <w:pStyle w:val="TextBody"/>
        <w:bidi w:val="0"/>
        <w:spacing w:before="0" w:after="0"/>
        <w:jc w:val="both"/>
        <w:rPr>
          <w:sz w:val="20"/>
        </w:rPr>
      </w:pPr>
      <w:r>
        <w:rPr>
          <w:sz w:val="20"/>
        </w:rPr>
        <w:t>For the second quarter of 2026, the Company reported revenues of $22.7 million compared to $20.5 million in the second quarter of 2025. Revenue for the second quarter of 2026 included a favorable impact from foreign currency exchange rates of approximately 1%, using a constant currency basis. Gross profit for the second quarter of 2026 was $12.6 million compared to $11.5 million in the second quarter of 2025. Gross margin for the second quarter of 2026 was 55.6%, compared to 56.4% in the second quarter of 2025.</w:t>
      </w:r>
    </w:p>
    <w:p>
      <w:pPr>
        <w:pStyle w:val="TextBody"/>
        <w:bidi w:val="0"/>
        <w:spacing w:before="0" w:after="0"/>
        <w:jc w:val="both"/>
        <w:rPr/>
      </w:pPr>
      <w:r>
        <w:rPr/>
        <w:t> </w:t>
      </w:r>
    </w:p>
    <w:p>
      <w:pPr>
        <w:pStyle w:val="TextBody"/>
        <w:bidi w:val="0"/>
        <w:spacing w:before="0" w:after="0"/>
        <w:jc w:val="both"/>
        <w:rPr>
          <w:sz w:val="20"/>
        </w:rPr>
      </w:pPr>
      <w:r>
        <w:rPr>
          <w:sz w:val="20"/>
        </w:rPr>
        <w:t>Adjusted gross profit and adjusted gross margin for the second quarter of 2026 was $12.9 million and 56.7%, respectively, compared with $11.7 million and 57.2% in the same period of the prior year.</w:t>
      </w:r>
    </w:p>
    <w:p>
      <w:pPr>
        <w:pStyle w:val="TextBody"/>
        <w:bidi w:val="0"/>
        <w:spacing w:before="0" w:after="0"/>
        <w:jc w:val="both"/>
        <w:rPr/>
      </w:pPr>
      <w:r>
        <w:rPr/>
        <w:t> </w:t>
      </w:r>
    </w:p>
    <w:p>
      <w:pPr>
        <w:pStyle w:val="TextBody"/>
        <w:bidi w:val="0"/>
        <w:spacing w:before="0" w:after="0"/>
        <w:jc w:val="both"/>
        <w:rPr>
          <w:sz w:val="20"/>
        </w:rPr>
      </w:pPr>
      <w:r>
        <w:rPr>
          <w:sz w:val="20"/>
        </w:rPr>
        <w:t>Net loss for the second quarter of 2026 was ($2.9) million, compared to a net loss of ($2.3) million in the second quarter of 2025. Adjusted EBITDA for the second quarter of 2026 was $1.7 million compared to $1.5 million in the second quarter of the prior year.</w:t>
      </w:r>
    </w:p>
    <w:p>
      <w:pPr>
        <w:pStyle w:val="TextBody"/>
        <w:bidi w:val="0"/>
        <w:spacing w:before="0" w:after="0"/>
        <w:jc w:val="both"/>
        <w:rPr/>
      </w:pPr>
      <w:r>
        <w:rPr/>
        <w:t> </w:t>
      </w:r>
    </w:p>
    <w:p>
      <w:pPr>
        <w:pStyle w:val="TextBody"/>
        <w:bidi w:val="0"/>
        <w:spacing w:before="0" w:after="0"/>
        <w:jc w:val="both"/>
        <w:rPr>
          <w:b/>
          <w:sz w:val="20"/>
        </w:rPr>
      </w:pPr>
      <w:r>
        <w:rPr>
          <w:b/>
          <w:sz w:val="20"/>
        </w:rPr>
        <w:t>Six Months Ended June 30, 2026 Results</w:t>
      </w:r>
    </w:p>
    <w:p>
      <w:pPr>
        <w:pStyle w:val="TextBody"/>
        <w:bidi w:val="0"/>
        <w:spacing w:before="0" w:after="0"/>
        <w:jc w:val="both"/>
        <w:rPr/>
      </w:pPr>
      <w:r>
        <w:rPr/>
        <w:t> </w:t>
      </w:r>
    </w:p>
    <w:p>
      <w:pPr>
        <w:pStyle w:val="TextBody"/>
        <w:bidi w:val="0"/>
        <w:spacing w:before="0" w:after="0"/>
        <w:jc w:val="both"/>
        <w:rPr>
          <w:sz w:val="20"/>
        </w:rPr>
      </w:pPr>
      <w:r>
        <w:rPr>
          <w:sz w:val="20"/>
        </w:rPr>
        <w:t>For the six months ended June 30, 2026, the Company reported revenues of $43.5 million, compared to $42.2 million in the same period of the prior year. Revenue for the six months ended June 30, 2026, included a favorable impact from foreign currency exchange rates of approximately 2%, using a constant currency basis. Gross profit was $24.9 million for the first six months of 2026 compared to $23.7 million in the same period of the prior year. Gross margin for the six months ended June 30, 2026, was 57.2% compared with 56.2% in the same period of the prior year.</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both"/>
        <w:rPr>
          <w:sz w:val="20"/>
        </w:rPr>
      </w:pPr>
      <w:r>
        <w:rPr>
          <w:sz w:val="20"/>
        </w:rPr>
        <w:t>Adjusted gross profit and adjusted gross margin for the six months ended June 30, 2026, was $25.3 million and 58.3%, respectively, compared with $24.1 million and 57.0% in the same period of the prior year.</w:t>
      </w:r>
    </w:p>
    <w:p>
      <w:pPr>
        <w:pStyle w:val="TextBody"/>
        <w:bidi w:val="0"/>
        <w:spacing w:before="0" w:after="0"/>
        <w:jc w:val="left"/>
        <w:rPr/>
      </w:pPr>
      <w:r>
        <w:rPr/>
        <w:t> </w:t>
      </w:r>
    </w:p>
    <w:p>
      <w:pPr>
        <w:pStyle w:val="TextBody"/>
        <w:bidi w:val="0"/>
        <w:spacing w:before="0" w:after="0"/>
        <w:jc w:val="both"/>
        <w:rPr>
          <w:sz w:val="20"/>
        </w:rPr>
      </w:pPr>
      <w:r>
        <w:rPr>
          <w:sz w:val="20"/>
        </w:rPr>
        <w:t>Net loss for the six months ended June 30, 2026, was ($6.3) million compared to a net loss of ($52.6) million in the same period of the prior year, primarily due to goodwill impairment in the first quarter of 2025 of $48.0 million. Adjusted EBITDA for the six months ended June 30, 2026, was $2.4 million, compared to adjusted EBITDA of $2.3 million for the same period of the prior year. Cash (used in) provided by operations was ($0.3) million during the six months ended June 30, 2026 compared to $5.7 million in the same period of the prior year.</w:t>
      </w:r>
    </w:p>
    <w:p>
      <w:pPr>
        <w:pStyle w:val="TextBody"/>
        <w:bidi w:val="0"/>
        <w:spacing w:before="0" w:after="0"/>
        <w:jc w:val="both"/>
        <w:rPr/>
      </w:pPr>
      <w:r>
        <w:rPr/>
        <w:t> </w:t>
      </w:r>
    </w:p>
    <w:p>
      <w:pPr>
        <w:pStyle w:val="TextBody"/>
        <w:bidi w:val="0"/>
        <w:spacing w:before="0" w:after="0"/>
        <w:jc w:val="both"/>
        <w:rPr>
          <w:sz w:val="20"/>
        </w:rPr>
      </w:pPr>
      <w:r>
        <w:rPr>
          <w:sz w:val="20"/>
        </w:rPr>
        <w:t>This press release includes certain financial information presented on an adjusted, or non-GAAP, basis. For additional information on the non-GAAP financial measures included in this press release, see “Use of Non-GAAP Financial Information” and “Reconciliation of GAAP to Non-GAAP Financial Measures” below.</w:t>
      </w:r>
    </w:p>
    <w:p>
      <w:pPr>
        <w:pStyle w:val="TextBody"/>
        <w:bidi w:val="0"/>
        <w:spacing w:before="0" w:after="0"/>
        <w:jc w:val="both"/>
        <w:rPr/>
      </w:pPr>
      <w:r>
        <w:rPr/>
        <w:t> </w:t>
      </w:r>
    </w:p>
    <w:p>
      <w:pPr>
        <w:pStyle w:val="TextBody"/>
        <w:bidi w:val="0"/>
        <w:spacing w:before="0" w:after="0"/>
        <w:jc w:val="both"/>
        <w:rPr>
          <w:b/>
          <w:sz w:val="20"/>
        </w:rPr>
      </w:pPr>
      <w:r>
        <w:rPr>
          <w:b/>
          <w:sz w:val="20"/>
        </w:rPr>
        <w:t>Third Quarter 2026 Guidance</w:t>
      </w:r>
    </w:p>
    <w:p>
      <w:pPr>
        <w:pStyle w:val="TextBody"/>
        <w:bidi w:val="0"/>
        <w:spacing w:before="0" w:after="0"/>
        <w:jc w:val="both"/>
        <w:rPr/>
      </w:pPr>
      <w:r>
        <w:rPr/>
        <w:t> </w:t>
      </w:r>
    </w:p>
    <w:p>
      <w:pPr>
        <w:pStyle w:val="TextBody"/>
        <w:bidi w:val="0"/>
        <w:spacing w:before="0" w:after="0"/>
        <w:jc w:val="both"/>
        <w:rPr>
          <w:sz w:val="20"/>
        </w:rPr>
      </w:pPr>
      <w:r>
        <w:rPr>
          <w:sz w:val="20"/>
        </w:rPr>
        <w:t>The Company’s third quarter outlook reflects expected mid-single-digit year-over-year revenue growth at the midpoint of guidance, driven by expected ongoing demand across CMT and new product innovation (NPI) platforms and improving year-over-year profitability on an adjusted EBITDA basis. The Company expects:</w:t>
      </w:r>
    </w:p>
    <w:tbl>
      <w:tblPr>
        <w:tblW w:w="5000" w:type="pct"/>
        <w:jc w:val="left"/>
        <w:tblInd w:w="0" w:type="dxa"/>
        <w:tblLayout w:type="fixed"/>
        <w:tblCellMar>
          <w:top w:w="0" w:type="dxa"/>
          <w:left w:w="0" w:type="dxa"/>
          <w:bottom w:w="0" w:type="dxa"/>
          <w:right w:w="0" w:type="dxa"/>
        </w:tblCellMar>
      </w:tblPr>
      <w:tblGrid>
        <w:gridCol w:w="78"/>
        <w:gridCol w:w="258"/>
        <w:gridCol w:w="9869"/>
      </w:tblGrid>
      <w:tr>
        <w:trPr/>
        <w:tc>
          <w:tcPr>
            <w:tcW w:w="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Symbol" w:hAnsi="Symbol"/>
              </w:rPr>
            </w:pPr>
            <w:r>
              <w:rPr>
                <w:rFonts w:ascii="Symbol" w:hAnsi="Symbol"/>
              </w:rPr>
              <w:t>·</w:t>
            </w:r>
          </w:p>
        </w:tc>
        <w:tc>
          <w:tcPr>
            <w:tcW w:w="9869" w:type="dxa"/>
            <w:tcBorders/>
            <w:vAlign w:val="center"/>
          </w:tcPr>
          <w:p>
            <w:pPr>
              <w:pStyle w:val="TableContents"/>
              <w:bidi w:val="0"/>
              <w:spacing w:before="0" w:after="283"/>
              <w:jc w:val="both"/>
              <w:rPr/>
            </w:pPr>
            <w:r>
              <w:rPr/>
              <w:t>Revenue between $21.0 million and $22.6 million</w:t>
            </w:r>
          </w:p>
        </w:tc>
      </w:tr>
    </w:tbl>
    <w:tbl>
      <w:tblPr>
        <w:tblW w:w="5000" w:type="pct"/>
        <w:jc w:val="left"/>
        <w:tblInd w:w="0" w:type="dxa"/>
        <w:tblLayout w:type="fixed"/>
        <w:tblCellMar>
          <w:top w:w="0" w:type="dxa"/>
          <w:left w:w="0" w:type="dxa"/>
          <w:bottom w:w="0" w:type="dxa"/>
          <w:right w:w="0" w:type="dxa"/>
        </w:tblCellMar>
      </w:tblPr>
      <w:tblGrid>
        <w:gridCol w:w="84"/>
        <w:gridCol w:w="279"/>
        <w:gridCol w:w="9842"/>
      </w:tblGrid>
      <w:tr>
        <w:trPr/>
        <w:tc>
          <w:tcPr>
            <w:tcW w:w="8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Symbol" w:hAnsi="Symbol"/>
              </w:rPr>
            </w:pPr>
            <w:r>
              <w:rPr>
                <w:rFonts w:ascii="Symbol" w:hAnsi="Symbol"/>
              </w:rPr>
              <w:t>·</w:t>
            </w:r>
          </w:p>
        </w:tc>
        <w:tc>
          <w:tcPr>
            <w:tcW w:w="9842" w:type="dxa"/>
            <w:tcBorders/>
            <w:vAlign w:val="center"/>
          </w:tcPr>
          <w:p>
            <w:pPr>
              <w:pStyle w:val="TableContents"/>
              <w:bidi w:val="0"/>
              <w:spacing w:before="0" w:after="283"/>
              <w:jc w:val="both"/>
              <w:rPr/>
            </w:pPr>
            <w:r>
              <w:rPr/>
              <w:t>Adjusted gross margin between 56% and 58%</w:t>
            </w:r>
          </w:p>
        </w:tc>
      </w:tr>
    </w:tbl>
    <w:tbl>
      <w:tblPr>
        <w:tblW w:w="5000" w:type="pct"/>
        <w:jc w:val="left"/>
        <w:tblInd w:w="0" w:type="dxa"/>
        <w:tblLayout w:type="fixed"/>
        <w:tblCellMar>
          <w:top w:w="0" w:type="dxa"/>
          <w:left w:w="0" w:type="dxa"/>
          <w:bottom w:w="0" w:type="dxa"/>
          <w:right w:w="0" w:type="dxa"/>
        </w:tblCellMar>
      </w:tblPr>
      <w:tblGrid>
        <w:gridCol w:w="68"/>
        <w:gridCol w:w="225"/>
        <w:gridCol w:w="9912"/>
      </w:tblGrid>
      <w:tr>
        <w:trPr/>
        <w:tc>
          <w:tcPr>
            <w:tcW w:w="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Symbol" w:hAnsi="Symbol"/>
              </w:rPr>
            </w:pPr>
            <w:r>
              <w:rPr>
                <w:rFonts w:ascii="Symbol" w:hAnsi="Symbol"/>
              </w:rPr>
              <w:t>·</w:t>
            </w:r>
          </w:p>
        </w:tc>
        <w:tc>
          <w:tcPr>
            <w:tcW w:w="9912" w:type="dxa"/>
            <w:tcBorders/>
            <w:vAlign w:val="center"/>
          </w:tcPr>
          <w:p>
            <w:pPr>
              <w:pStyle w:val="TableContents"/>
              <w:bidi w:val="0"/>
              <w:spacing w:before="0" w:after="283"/>
              <w:jc w:val="both"/>
              <w:rPr/>
            </w:pPr>
            <w:r>
              <w:rPr/>
              <w:t>Adjusted EBITDA between $1.5 million and $2.5 million</w:t>
            </w:r>
          </w:p>
        </w:tc>
      </w:tr>
    </w:tbl>
    <w:p>
      <w:pPr>
        <w:pStyle w:val="TextBody"/>
        <w:bidi w:val="0"/>
        <w:spacing w:before="0" w:after="0"/>
        <w:jc w:val="both"/>
        <w:rPr/>
      </w:pPr>
      <w:r>
        <w:rPr/>
        <w:t> </w:t>
      </w:r>
    </w:p>
    <w:p>
      <w:pPr>
        <w:pStyle w:val="TextBody"/>
        <w:bidi w:val="0"/>
        <w:spacing w:before="0" w:after="0"/>
        <w:jc w:val="both"/>
        <w:rPr>
          <w:b/>
          <w:sz w:val="20"/>
        </w:rPr>
      </w:pPr>
      <w:r>
        <w:rPr>
          <w:b/>
          <w:sz w:val="20"/>
        </w:rPr>
        <w:t>Full Year 2026 Guidance</w:t>
      </w:r>
    </w:p>
    <w:p>
      <w:pPr>
        <w:pStyle w:val="TextBody"/>
        <w:bidi w:val="0"/>
        <w:spacing w:before="0" w:after="0"/>
        <w:jc w:val="both"/>
        <w:rPr/>
      </w:pPr>
      <w:r>
        <w:rPr/>
        <w:t> </w:t>
      </w:r>
    </w:p>
    <w:p>
      <w:pPr>
        <w:pStyle w:val="TextBody"/>
        <w:bidi w:val="0"/>
        <w:spacing w:before="0" w:after="0"/>
        <w:jc w:val="both"/>
        <w:rPr>
          <w:sz w:val="20"/>
        </w:rPr>
      </w:pPr>
      <w:r>
        <w:rPr>
          <w:sz w:val="20"/>
        </w:rPr>
        <w:t>The Company is raising its full-year 2026 revenue guidance to reflect expected strong CMT portfolio momentum and continued adoption of its NPI pipeline, while updating its full-year adjusted gross margin target to account for expected higher-volume of lower-margin CMT product and geographic mix. The Company now expects:</w:t>
      </w:r>
    </w:p>
    <w:tbl>
      <w:tblPr>
        <w:tblW w:w="5000" w:type="pct"/>
        <w:jc w:val="left"/>
        <w:tblInd w:w="0" w:type="dxa"/>
        <w:tblLayout w:type="fixed"/>
        <w:tblCellMar>
          <w:top w:w="0" w:type="dxa"/>
          <w:left w:w="0" w:type="dxa"/>
          <w:bottom w:w="0" w:type="dxa"/>
          <w:right w:w="0" w:type="dxa"/>
        </w:tblCellMar>
      </w:tblPr>
      <w:tblGrid>
        <w:gridCol w:w="102"/>
        <w:gridCol w:w="337"/>
        <w:gridCol w:w="9766"/>
      </w:tblGrid>
      <w:tr>
        <w:trPr/>
        <w:tc>
          <w:tcPr>
            <w:tcW w:w="10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rFonts w:ascii="Symbol" w:hAnsi="Symbol"/>
              </w:rPr>
            </w:pPr>
            <w:r>
              <w:rPr>
                <w:rFonts w:ascii="Symbol" w:hAnsi="Symbol"/>
              </w:rPr>
              <w:t>·</w:t>
            </w:r>
          </w:p>
        </w:tc>
        <w:tc>
          <w:tcPr>
            <w:tcW w:w="9766" w:type="dxa"/>
            <w:tcBorders/>
            <w:vAlign w:val="center"/>
          </w:tcPr>
          <w:p>
            <w:pPr>
              <w:pStyle w:val="TableContents"/>
              <w:bidi w:val="0"/>
              <w:spacing w:before="0" w:after="283"/>
              <w:jc w:val="both"/>
              <w:rPr/>
            </w:pPr>
            <w:r>
              <w:rPr/>
              <w:t>Revenue growth between 3% and 5%</w:t>
            </w:r>
          </w:p>
        </w:tc>
      </w:tr>
    </w:tbl>
    <w:tbl>
      <w:tblPr>
        <w:tblW w:w="5000" w:type="pct"/>
        <w:jc w:val="left"/>
        <w:tblInd w:w="0" w:type="dxa"/>
        <w:tblLayout w:type="fixed"/>
        <w:tblCellMar>
          <w:top w:w="0" w:type="dxa"/>
          <w:left w:w="0" w:type="dxa"/>
          <w:bottom w:w="0" w:type="dxa"/>
          <w:right w:w="0" w:type="dxa"/>
        </w:tblCellMar>
      </w:tblPr>
      <w:tblGrid>
        <w:gridCol w:w="84"/>
        <w:gridCol w:w="279"/>
        <w:gridCol w:w="9842"/>
      </w:tblGrid>
      <w:tr>
        <w:trPr/>
        <w:tc>
          <w:tcPr>
            <w:tcW w:w="8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Symbol" w:hAnsi="Symbol"/>
              </w:rPr>
            </w:pPr>
            <w:r>
              <w:rPr>
                <w:rFonts w:ascii="Symbol" w:hAnsi="Symbol"/>
              </w:rPr>
              <w:t>·</w:t>
            </w:r>
          </w:p>
        </w:tc>
        <w:tc>
          <w:tcPr>
            <w:tcW w:w="9842" w:type="dxa"/>
            <w:tcBorders/>
            <w:vAlign w:val="center"/>
          </w:tcPr>
          <w:p>
            <w:pPr>
              <w:pStyle w:val="TableContents"/>
              <w:bidi w:val="0"/>
              <w:spacing w:before="0" w:after="283"/>
              <w:jc w:val="both"/>
              <w:rPr/>
            </w:pPr>
            <w:r>
              <w:rPr/>
              <w:t>Adjusted gross margin between 57% and 59%</w:t>
            </w:r>
          </w:p>
        </w:tc>
      </w:tr>
    </w:tbl>
    <w:tbl>
      <w:tblPr>
        <w:tblW w:w="5000" w:type="pct"/>
        <w:jc w:val="left"/>
        <w:tblInd w:w="0" w:type="dxa"/>
        <w:tblLayout w:type="fixed"/>
        <w:tblCellMar>
          <w:top w:w="0" w:type="dxa"/>
          <w:left w:w="0" w:type="dxa"/>
          <w:bottom w:w="0" w:type="dxa"/>
          <w:right w:w="0" w:type="dxa"/>
        </w:tblCellMar>
      </w:tblPr>
      <w:tblGrid>
        <w:gridCol w:w="79"/>
        <w:gridCol w:w="261"/>
        <w:gridCol w:w="9865"/>
      </w:tblGrid>
      <w:tr>
        <w:trPr/>
        <w:tc>
          <w:tcPr>
            <w:tcW w:w="7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Symbol" w:hAnsi="Symbol"/>
              </w:rPr>
            </w:pPr>
            <w:r>
              <w:rPr>
                <w:rFonts w:ascii="Symbol" w:hAnsi="Symbol"/>
              </w:rPr>
              <w:t>·</w:t>
            </w:r>
          </w:p>
        </w:tc>
        <w:tc>
          <w:tcPr>
            <w:tcW w:w="9865" w:type="dxa"/>
            <w:tcBorders/>
            <w:vAlign w:val="center"/>
          </w:tcPr>
          <w:p>
            <w:pPr>
              <w:pStyle w:val="TableContents"/>
              <w:bidi w:val="0"/>
              <w:spacing w:before="0" w:after="283"/>
              <w:jc w:val="both"/>
              <w:rPr/>
            </w:pPr>
            <w:r>
              <w:rPr/>
              <w:t>Adjusted EBITDA growth between 6% and 10%</w:t>
            </w:r>
          </w:p>
        </w:tc>
      </w:tr>
    </w:tbl>
    <w:p>
      <w:pPr>
        <w:pStyle w:val="TextBody"/>
        <w:bidi w:val="0"/>
        <w:spacing w:before="0" w:after="0"/>
        <w:jc w:val="both"/>
        <w:rPr/>
      </w:pPr>
      <w:r>
        <w:rPr/>
        <w:t> </w:t>
      </w:r>
    </w:p>
    <w:p>
      <w:pPr>
        <w:pStyle w:val="TextBody"/>
        <w:bidi w:val="0"/>
        <w:spacing w:before="0" w:after="0"/>
        <w:jc w:val="both"/>
        <w:rPr>
          <w:b/>
          <w:sz w:val="20"/>
        </w:rPr>
      </w:pPr>
      <w:r>
        <w:rPr>
          <w:b/>
          <w:sz w:val="20"/>
        </w:rPr>
        <w:t>Webcast and Conference Call Details</w:t>
      </w:r>
    </w:p>
    <w:p>
      <w:pPr>
        <w:pStyle w:val="TextBody"/>
        <w:bidi w:val="0"/>
        <w:spacing w:before="0" w:after="0"/>
        <w:jc w:val="left"/>
        <w:rPr/>
      </w:pPr>
      <w:r>
        <w:rPr/>
        <w:t> </w:t>
      </w:r>
    </w:p>
    <w:p>
      <w:pPr>
        <w:pStyle w:val="TextBody"/>
        <w:bidi w:val="0"/>
        <w:spacing w:before="0" w:after="0"/>
        <w:jc w:val="both"/>
        <w:rPr>
          <w:sz w:val="20"/>
        </w:rPr>
      </w:pPr>
      <w:r>
        <w:rPr>
          <w:sz w:val="20"/>
        </w:rPr>
        <w:t>In conjunction with this announcement, Harvard Bioscience will be hosting a conference call and webcast today at 8:00 a.m. Eastern Time. A presentation that will be referenced during the webcast will be posted to the Company’s Investor Relations website shortly before the webcast begins.</w:t>
      </w:r>
    </w:p>
    <w:p>
      <w:pPr>
        <w:pStyle w:val="TextBody"/>
        <w:bidi w:val="0"/>
        <w:spacing w:before="0" w:after="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shd w:fill="FFFFFF" w:val="clear"/>
        <w:bidi w:val="0"/>
        <w:spacing w:before="0" w:after="0"/>
        <w:jc w:val="both"/>
        <w:rPr>
          <w:sz w:val="20"/>
        </w:rPr>
      </w:pPr>
      <w:r>
        <w:rPr>
          <w:sz w:val="20"/>
        </w:rPr>
        <w:t xml:space="preserve">Analysts who would like to join the call and ask a question must register here </w:t>
      </w:r>
      <w:r>
        <w:rPr>
          <w:b/>
          <w:sz w:val="20"/>
        </w:rPr>
        <w:t>(</w:t>
      </w:r>
      <w:r>
        <w:rPr>
          <w:sz w:val="20"/>
        </w:rPr>
        <w:t>https://register-conf.media-server.com/register/BI5dd1769394494366b6d31b0ceabeb4cc</w:t>
      </w:r>
      <w:r>
        <w:rPr>
          <w:b/>
          <w:sz w:val="20"/>
        </w:rPr>
        <w:t>).</w:t>
      </w:r>
      <w:r>
        <w:rPr>
          <w:sz w:val="20"/>
        </w:rPr>
        <w:t xml:space="preserve"> Once registered, you will receive the dial-in numbers and a unique PIN number.</w:t>
      </w:r>
    </w:p>
    <w:p>
      <w:pPr>
        <w:pStyle w:val="TextBody"/>
        <w:bidi w:val="0"/>
        <w:spacing w:before="0" w:after="0"/>
        <w:jc w:val="both"/>
        <w:rPr/>
      </w:pPr>
      <w:r>
        <w:rPr/>
        <w:t> </w:t>
      </w:r>
    </w:p>
    <w:p>
      <w:pPr>
        <w:pStyle w:val="TextBody"/>
        <w:shd w:fill="FFFFFF" w:val="clear"/>
        <w:bidi w:val="0"/>
        <w:spacing w:before="0" w:after="0"/>
        <w:jc w:val="both"/>
        <w:rPr>
          <w:sz w:val="20"/>
        </w:rPr>
      </w:pPr>
      <w:r>
        <w:rPr>
          <w:sz w:val="20"/>
        </w:rPr>
        <w:t>Participants who would like to join the audio-only webcast should go to our events and presentations on the investor website here (https://investor.harvardbioscience.com/events-and-presentations)</w:t>
      </w:r>
      <w:r>
        <w:rPr>
          <w:b/>
          <w:sz w:val="20"/>
        </w:rPr>
        <w:t>.</w:t>
      </w:r>
    </w:p>
    <w:p>
      <w:pPr>
        <w:pStyle w:val="TextBody"/>
        <w:bidi w:val="0"/>
        <w:spacing w:before="0" w:after="0"/>
        <w:jc w:val="both"/>
        <w:rPr/>
      </w:pPr>
      <w:r>
        <w:rPr/>
        <w:t> </w:t>
      </w:r>
    </w:p>
    <w:p>
      <w:pPr>
        <w:pStyle w:val="TextBody"/>
        <w:bidi w:val="0"/>
        <w:spacing w:before="0" w:after="0"/>
        <w:jc w:val="both"/>
        <w:rPr>
          <w:b/>
          <w:sz w:val="20"/>
        </w:rPr>
      </w:pPr>
      <w:r>
        <w:rPr>
          <w:b/>
          <w:sz w:val="20"/>
        </w:rPr>
        <w:t>Use of Non-GAAP Financial Information</w:t>
      </w:r>
    </w:p>
    <w:p>
      <w:pPr>
        <w:pStyle w:val="TextBody"/>
        <w:bidi w:val="0"/>
        <w:spacing w:before="0" w:after="0"/>
        <w:jc w:val="both"/>
        <w:rPr/>
      </w:pPr>
      <w:r>
        <w:rPr/>
        <w:t> </w:t>
      </w:r>
    </w:p>
    <w:p>
      <w:pPr>
        <w:pStyle w:val="TextBody"/>
        <w:bidi w:val="0"/>
        <w:spacing w:before="0" w:after="0"/>
        <w:jc w:val="both"/>
        <w:rPr>
          <w:sz w:val="20"/>
        </w:rPr>
      </w:pPr>
      <w:r>
        <w:rPr>
          <w:sz w:val="20"/>
        </w:rPr>
        <w:t>In this press release we have included non-GAAP financial information, including one or more of adjusted operating income (loss), adjusted operating margin, adjusted gross margin, adjusted net income (loss), adjusted EBITDA, adjusted EBITDA margin, diluted adjusted earnings (loss) per share, net debt, adjusted gross profit, and non-GAAP revenue on a constant currency basis. We believe that this non-GAAP financial information provides investors with an enhanced understanding of the underlying operations of our business. For the periods presented, these non-GAAP financial measures have excluded certain expenses and income resulting from items that we do not believe are reflective of the underlying operations of the business. Items excluded include stock-based compensation, amortization of intangibles related to acquisitions, restructuring charges, other operating expenses, goodwill impairment, interest and other expense, net, income taxes, and the tax impact of reconciling items. Management believes that this non-GAAP financial information is important in comparing current results with prior period results and is useful to investors and financial analysts in assessing the Company’s operating performance.</w:t>
      </w:r>
    </w:p>
    <w:p>
      <w:pPr>
        <w:pStyle w:val="TextBody"/>
        <w:bidi w:val="0"/>
        <w:spacing w:before="0" w:after="0"/>
        <w:jc w:val="left"/>
        <w:rPr/>
      </w:pPr>
      <w:r>
        <w:rPr/>
        <w:t> </w:t>
      </w:r>
    </w:p>
    <w:p>
      <w:pPr>
        <w:pStyle w:val="TextBody"/>
        <w:bidi w:val="0"/>
        <w:spacing w:before="0" w:after="0"/>
        <w:jc w:val="both"/>
        <w:rPr>
          <w:sz w:val="20"/>
        </w:rPr>
      </w:pPr>
      <w:r>
        <w:rPr>
          <w:sz w:val="20"/>
        </w:rPr>
        <w:t>Historical non-GAAP financial information included herein is accompanied by a reconciliation to the nearest corresponding GAAP measure, which is included below. In addition, the forward-looking Adjusted gross margin and Adjusted EBITDA guidance for the third quarter of 2026 and full-year 2026 excludes potential charges or gains that may be recorded during the fiscal year, including among other things, restructuring and reorganization expenses, and non-GAAP restructuring related expenses. The Company has not attempted to provide reconciliations of such forward-looking non-GAAP earnings guidance to the comparable GAAP measure, as permitted by Item 10(e)(1)(i)(B) of Regulation S-K, because the impact and timing of these potential charges or gains is inherently uncertain and difficult to predict and is unavailable without unreasonable efforts. In addition, the Company believes such reconciliations would imply a degree of precision and certainty that could be misleading to investors. Such items could have a substantial impact on GAAP measures of the Company’s financial performance.</w:t>
      </w:r>
    </w:p>
    <w:p>
      <w:pPr>
        <w:pStyle w:val="TextBody"/>
        <w:bidi w:val="0"/>
        <w:spacing w:before="0" w:after="0"/>
        <w:jc w:val="left"/>
        <w:rPr/>
      </w:pPr>
      <w:r>
        <w:rPr/>
        <w:t> </w:t>
      </w:r>
    </w:p>
    <w:p>
      <w:pPr>
        <w:pStyle w:val="TextBody"/>
        <w:bidi w:val="0"/>
        <w:spacing w:before="0" w:after="0"/>
        <w:jc w:val="both"/>
        <w:rPr>
          <w:sz w:val="20"/>
        </w:rPr>
      </w:pPr>
      <w:r>
        <w:rPr>
          <w:sz w:val="20"/>
        </w:rPr>
        <w:t>The non-GAAP financial information provided in this press release should be considered in addition to, not as a substitute for, the financial information provided and presented in accordance with GAAP and may be different from other companies’ non-GAAP financial information.</w:t>
      </w:r>
    </w:p>
    <w:p>
      <w:pPr>
        <w:pStyle w:val="TextBody"/>
        <w:bidi w:val="0"/>
        <w:spacing w:before="0" w:after="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both"/>
        <w:rPr>
          <w:b/>
          <w:sz w:val="20"/>
        </w:rPr>
      </w:pPr>
      <w:r>
        <w:rPr>
          <w:b/>
          <w:sz w:val="20"/>
        </w:rPr>
        <w:t>About Harvard Bioscience</w:t>
      </w:r>
    </w:p>
    <w:p>
      <w:pPr>
        <w:pStyle w:val="TextBody"/>
        <w:bidi w:val="0"/>
        <w:spacing w:before="0" w:after="0"/>
        <w:jc w:val="left"/>
        <w:rPr/>
      </w:pPr>
      <w:r>
        <w:rPr/>
        <w:t> </w:t>
      </w:r>
    </w:p>
    <w:p>
      <w:pPr>
        <w:pStyle w:val="TextBody"/>
        <w:bidi w:val="0"/>
        <w:spacing w:before="0" w:after="0"/>
        <w:jc w:val="both"/>
        <w:rPr>
          <w:sz w:val="20"/>
        </w:rPr>
      </w:pPr>
      <w:r>
        <w:rPr>
          <w:sz w:val="20"/>
        </w:rPr>
        <w:t>Harvard Bioscience, Inc. is a leading developer, manufacturer and seller of technologies, products and services that enable fundamental advances in life science applications, including research, drug and therapy discovery, bio-production and preclinical testing for pharmaceutical and therapy development. Our customers range from renowned academic institutions and government laboratories to the world’s leading pharmaceutical, biotechnology and contract research organizations. With operations in the United States, Europe, and China, we sell through a combination of direct and distribution channels to customers around the world.</w:t>
      </w:r>
    </w:p>
    <w:p>
      <w:pPr>
        <w:pStyle w:val="TextBody"/>
        <w:bidi w:val="0"/>
        <w:spacing w:before="0" w:after="0"/>
        <w:jc w:val="both"/>
        <w:rPr/>
      </w:pPr>
      <w:r>
        <w:rPr/>
        <w:t> </w:t>
      </w:r>
    </w:p>
    <w:p>
      <w:pPr>
        <w:pStyle w:val="TextBody"/>
        <w:shd w:fill="FFFFFF" w:val="clear"/>
        <w:bidi w:val="0"/>
        <w:spacing w:before="0" w:after="0"/>
        <w:jc w:val="both"/>
        <w:rPr>
          <w:sz w:val="20"/>
        </w:rPr>
      </w:pPr>
      <w:r>
        <w:rPr>
          <w:sz w:val="20"/>
        </w:rPr>
        <w:t>For more information, please visit our website at www.harvardbioscience.com.</w:t>
      </w:r>
    </w:p>
    <w:p>
      <w:pPr>
        <w:pStyle w:val="TextBody"/>
        <w:bidi w:val="0"/>
        <w:spacing w:before="0" w:after="0"/>
        <w:jc w:val="both"/>
        <w:rPr/>
      </w:pPr>
      <w:r>
        <w:rPr/>
        <w:t> </w:t>
      </w:r>
    </w:p>
    <w:p>
      <w:pPr>
        <w:pStyle w:val="TextBody"/>
        <w:bidi w:val="0"/>
        <w:spacing w:before="0" w:after="0"/>
        <w:jc w:val="both"/>
        <w:rPr>
          <w:b/>
          <w:sz w:val="20"/>
        </w:rPr>
      </w:pPr>
      <w:r>
        <w:rPr>
          <w:b/>
          <w:sz w:val="20"/>
        </w:rPr>
        <w:t>Forward-Looking Statements</w:t>
      </w:r>
    </w:p>
    <w:p>
      <w:pPr>
        <w:pStyle w:val="TextBody"/>
        <w:bidi w:val="0"/>
        <w:spacing w:before="0" w:after="0"/>
        <w:jc w:val="left"/>
        <w:rPr/>
      </w:pPr>
      <w:r>
        <w:rPr/>
        <w:t> </w:t>
      </w:r>
    </w:p>
    <w:p>
      <w:pPr>
        <w:pStyle w:val="TextBody"/>
        <w:bidi w:val="0"/>
        <w:spacing w:before="0" w:after="0"/>
        <w:jc w:val="both"/>
        <w:rPr>
          <w:sz w:val="20"/>
        </w:rPr>
      </w:pPr>
      <w:r>
        <w:rPr>
          <w:sz w:val="20"/>
        </w:rPr>
        <w:t>This document contains forward-looking statements within the meaning of the federal securities laws, including the Private Securities Litigation Reform Act of 1995. Forward-looking statements may be identified by the use of words such as “may,” “will,” “expect,” “plan,” “anticipate,” “estimate,” “intend,” “believe” and similar expressions or statements that do not relate to historical matters. Forward-looking statements include, but are not limited to, information concerning expected future financial and operational performance including revenues, adjusted gross margin, adjusted EBITDA, gross margin, cash and debt position, balance sheet, growth, adoption and the introduction of new products, the strength of the Company’s market position, business model and anticipated macroeconomic conditions. Forward-looking statements do not guarantee future performance and involve known and unknown uncertainties, risks, assumptions, and contingencies, many of which are outside the Company’s control. Risks and other factors that could cause the Company’s actual results to differ materially from those described in its forward-looking statements include those described in the “Risk Factors” section of the Company’s most recently filed Annual Report on Form 10-K, as well as in the Company’s other filings with the Securities and Exchange Commission. Forward-looking statements are based on the Company’s expectations and assumptions as of the date of this document. Except as required by law, the Company assumes no obligation to update forward-looking statements to reflect any change in expectations, even as new information becomes available.</w:t>
      </w:r>
    </w:p>
    <w:p>
      <w:pPr>
        <w:pStyle w:val="TextBody"/>
        <w:bidi w:val="0"/>
        <w:spacing w:before="0" w:after="0"/>
        <w:jc w:val="left"/>
        <w:rPr/>
      </w:pPr>
      <w:r>
        <w:rPr/>
        <w:t> </w:t>
      </w:r>
    </w:p>
    <w:p>
      <w:pPr>
        <w:pStyle w:val="TextBody"/>
        <w:shd w:fill="FFFFFF" w:val="clear"/>
        <w:bidi w:val="0"/>
        <w:spacing w:before="0" w:after="0"/>
        <w:jc w:val="both"/>
        <w:rPr>
          <w:b/>
          <w:sz w:val="20"/>
        </w:rPr>
      </w:pPr>
      <w:r>
        <w:rPr>
          <w:b/>
          <w:sz w:val="20"/>
        </w:rPr>
        <w:t>Investor Inquiries:</w:t>
      </w:r>
    </w:p>
    <w:p>
      <w:pPr>
        <w:pStyle w:val="TextBody"/>
        <w:shd w:fill="FFFFFF" w:val="clear"/>
        <w:bidi w:val="0"/>
        <w:spacing w:before="0" w:after="0"/>
        <w:jc w:val="both"/>
        <w:rPr>
          <w:b/>
          <w:sz w:val="20"/>
        </w:rPr>
      </w:pPr>
      <w:r>
        <w:rPr>
          <w:b/>
          <w:sz w:val="20"/>
        </w:rPr>
        <w:t>Mark Frost</w:t>
      </w:r>
    </w:p>
    <w:p>
      <w:pPr>
        <w:pStyle w:val="TextBody"/>
        <w:shd w:fill="FFFFFF" w:val="clear"/>
        <w:bidi w:val="0"/>
        <w:spacing w:before="0" w:after="0"/>
        <w:jc w:val="both"/>
        <w:rPr>
          <w:b/>
          <w:sz w:val="20"/>
        </w:rPr>
      </w:pPr>
      <w:r>
        <w:rPr>
          <w:b/>
          <w:sz w:val="20"/>
        </w:rPr>
        <w:t>Chief Financial Officer</w:t>
      </w:r>
    </w:p>
    <w:p>
      <w:pPr>
        <w:pStyle w:val="TextBody"/>
        <w:shd w:fill="FFFFFF" w:val="clear"/>
        <w:bidi w:val="0"/>
        <w:spacing w:before="0" w:after="0"/>
        <w:jc w:val="both"/>
        <w:rPr>
          <w:sz w:val="20"/>
        </w:rPr>
      </w:pPr>
      <w:r>
        <w:rPr>
          <w:sz w:val="20"/>
        </w:rPr>
        <w:t>(508) 893-3120</w:t>
      </w:r>
    </w:p>
    <w:p>
      <w:pPr>
        <w:pStyle w:val="TextBody"/>
        <w:shd w:fill="FFFFFF" w:val="clear"/>
        <w:bidi w:val="0"/>
        <w:spacing w:before="0" w:after="0"/>
        <w:jc w:val="both"/>
        <w:rPr>
          <w:sz w:val="20"/>
        </w:rPr>
      </w:pPr>
      <w:r>
        <w:rPr>
          <w:sz w:val="20"/>
        </w:rPr>
        <w:t>investors@harvardbioscience.com</w:t>
      </w:r>
    </w:p>
    <w:p>
      <w:pPr>
        <w:pStyle w:val="TextBody"/>
        <w:shd w:fill="FFFFFF" w:val="clear"/>
        <w:bidi w:val="0"/>
        <w:spacing w:before="0" w:after="0"/>
        <w:jc w:val="both"/>
        <w:rPr/>
      </w:pPr>
      <w:r>
        <w:rPr/>
        <w:t> </w:t>
      </w:r>
    </w:p>
    <w:p>
      <w:pPr>
        <w:pStyle w:val="TextBody"/>
        <w:shd w:fill="FFFFFF" w:val="clear"/>
        <w:bidi w:val="0"/>
        <w:spacing w:before="0" w:after="0"/>
        <w:jc w:val="both"/>
        <w:rPr/>
      </w:pPr>
      <w:r>
        <w:rPr/>
        <w:t> </w:t>
      </w:r>
    </w:p>
    <w:p>
      <w:pPr>
        <w:pStyle w:val="TextBody"/>
        <w:shd w:fill="FFFFFF" w:val="clear"/>
        <w:bidi w:val="0"/>
        <w:spacing w:before="0" w:after="0"/>
        <w:jc w:val="both"/>
        <w:rPr/>
      </w:pPr>
      <w:r>
        <w:rPr/>
        <w:t> </w:t>
      </w:r>
    </w:p>
    <w:p>
      <w:pPr>
        <w:pStyle w:val="TextBody"/>
        <w:shd w:fill="FFFFFF" w:val="clear"/>
        <w:bidi w:val="0"/>
        <w:spacing w:before="0" w:after="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7974" w:type="dxa"/>
        <w:jc w:val="left"/>
        <w:tblInd w:w="0" w:type="dxa"/>
        <w:tblLayout w:type="fixed"/>
        <w:tblCellMar>
          <w:top w:w="0" w:type="dxa"/>
          <w:left w:w="0" w:type="dxa"/>
          <w:bottom w:w="0" w:type="dxa"/>
          <w:right w:w="0" w:type="dxa"/>
        </w:tblCellMar>
      </w:tblPr>
      <w:tblGrid>
        <w:gridCol w:w="3005"/>
        <w:gridCol w:w="60"/>
        <w:gridCol w:w="192"/>
        <w:gridCol w:w="908"/>
        <w:gridCol w:w="123"/>
        <w:gridCol w:w="92"/>
        <w:gridCol w:w="192"/>
        <w:gridCol w:w="908"/>
        <w:gridCol w:w="123"/>
        <w:gridCol w:w="60"/>
        <w:gridCol w:w="167"/>
        <w:gridCol w:w="791"/>
        <w:gridCol w:w="107"/>
        <w:gridCol w:w="80"/>
        <w:gridCol w:w="167"/>
        <w:gridCol w:w="872"/>
        <w:gridCol w:w="127"/>
      </w:tblGrid>
      <w:tr>
        <w:trPr/>
        <w:tc>
          <w:tcPr>
            <w:tcW w:w="7974" w:type="dxa"/>
            <w:gridSpan w:val="17"/>
            <w:tcBorders/>
            <w:vAlign w:val="center"/>
          </w:tcPr>
          <w:p>
            <w:pPr>
              <w:pStyle w:val="TableContents"/>
              <w:bidi w:val="0"/>
              <w:spacing w:before="0" w:after="283"/>
              <w:jc w:val="center"/>
              <w:rPr>
                <w:b/>
                <w:i w:val="false"/>
                <w:caps w:val="false"/>
                <w:smallCaps w:val="false"/>
                <w:sz w:val="20"/>
              </w:rPr>
            </w:pPr>
            <w:r>
              <w:rPr>
                <w:b/>
                <w:i w:val="false"/>
                <w:caps w:val="false"/>
                <w:smallCaps w:val="false"/>
                <w:sz w:val="20"/>
              </w:rPr>
              <w:t>HARVARD BIOSCIENCE, INC.</w:t>
            </w:r>
          </w:p>
        </w:tc>
      </w:tr>
      <w:tr>
        <w:trPr/>
        <w:tc>
          <w:tcPr>
            <w:tcW w:w="7974" w:type="dxa"/>
            <w:gridSpan w:val="17"/>
            <w:tcBorders/>
            <w:vAlign w:val="center"/>
          </w:tcPr>
          <w:p>
            <w:pPr>
              <w:pStyle w:val="TableContents"/>
              <w:bidi w:val="0"/>
              <w:spacing w:before="0" w:after="283"/>
              <w:jc w:val="center"/>
              <w:rPr>
                <w:b/>
                <w:sz w:val="20"/>
              </w:rPr>
            </w:pPr>
            <w:r>
              <w:rPr>
                <w:b/>
                <w:sz w:val="20"/>
              </w:rPr>
              <w:t>Condensed Consolidated Statements Of Operations</w:t>
            </w:r>
          </w:p>
        </w:tc>
      </w:tr>
      <w:tr>
        <w:trPr/>
        <w:tc>
          <w:tcPr>
            <w:tcW w:w="7974" w:type="dxa"/>
            <w:gridSpan w:val="17"/>
            <w:tcBorders/>
            <w:vAlign w:val="center"/>
          </w:tcPr>
          <w:p>
            <w:pPr>
              <w:pStyle w:val="TableContents"/>
              <w:bidi w:val="0"/>
              <w:spacing w:before="0" w:after="283"/>
              <w:jc w:val="center"/>
              <w:rPr>
                <w:b/>
                <w:sz w:val="20"/>
              </w:rPr>
            </w:pPr>
            <w:r>
              <w:rPr>
                <w:b/>
                <w:sz w:val="20"/>
              </w:rPr>
              <w:t>(Unaudited, in thousands, except per share data)</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3" w:type="dxa"/>
            <w:gridSpan w:val="3"/>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23"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5" w:type="dxa"/>
            <w:gridSpan w:val="3"/>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66" w:type="dxa"/>
            <w:gridSpan w:val="3"/>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8"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June 30,</w:t>
            </w:r>
          </w:p>
        </w:tc>
        <w:tc>
          <w:tcPr>
            <w:tcW w:w="60" w:type="dxa"/>
            <w:tcBorders/>
            <w:vAlign w:val="center"/>
          </w:tcPr>
          <w:p>
            <w:pPr>
              <w:pStyle w:val="TableContents"/>
              <w:bidi w:val="0"/>
              <w:spacing w:before="0" w:after="283"/>
              <w:jc w:val="left"/>
              <w:rPr/>
            </w:pPr>
            <w:r>
              <w:rPr/>
              <w:t> </w:t>
            </w:r>
          </w:p>
        </w:tc>
        <w:tc>
          <w:tcPr>
            <w:tcW w:w="2311"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 June 30,</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2" w:type="dxa"/>
            <w:tcBorders/>
            <w:vAlign w:val="center"/>
          </w:tcPr>
          <w:p>
            <w:pPr>
              <w:pStyle w:val="TableContents"/>
              <w:bidi w:val="0"/>
              <w:spacing w:before="0" w:after="283"/>
              <w:jc w:val="left"/>
              <w:rPr/>
            </w:pPr>
            <w:r>
              <w:rPr/>
              <w:t> </w:t>
            </w:r>
          </w:p>
        </w:tc>
        <w:tc>
          <w:tcPr>
            <w:tcW w:w="122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106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left"/>
              <w:rPr/>
            </w:pPr>
            <w:r>
              <w:rPr/>
              <w:t> </w:t>
            </w:r>
          </w:p>
        </w:tc>
        <w:tc>
          <w:tcPr>
            <w:tcW w:w="116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Revenues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sz w:val="20"/>
              </w:rPr>
            </w:pPr>
            <w:r>
              <w:rPr>
                <w:sz w:val="20"/>
              </w:rPr>
              <w:t>$</w:t>
            </w:r>
          </w:p>
        </w:tc>
        <w:tc>
          <w:tcPr>
            <w:tcW w:w="908" w:type="dxa"/>
            <w:tcBorders/>
            <w:shd w:fill="FFFFFF" w:val="clear"/>
            <w:vAlign w:val="center"/>
          </w:tcPr>
          <w:p>
            <w:pPr>
              <w:pStyle w:val="TableContents"/>
              <w:bidi w:val="0"/>
              <w:spacing w:before="0" w:after="283"/>
              <w:jc w:val="right"/>
              <w:rPr>
                <w:sz w:val="20"/>
              </w:rPr>
            </w:pPr>
            <w:r>
              <w:rPr>
                <w:sz w:val="20"/>
              </w:rPr>
              <w:t>22,727</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sz w:val="20"/>
              </w:rPr>
            </w:pPr>
            <w:r>
              <w:rPr>
                <w:sz w:val="20"/>
              </w:rPr>
              <w:t>$</w:t>
            </w:r>
          </w:p>
        </w:tc>
        <w:tc>
          <w:tcPr>
            <w:tcW w:w="908" w:type="dxa"/>
            <w:tcBorders/>
            <w:shd w:fill="FFFFFF" w:val="clear"/>
            <w:vAlign w:val="center"/>
          </w:tcPr>
          <w:p>
            <w:pPr>
              <w:pStyle w:val="TableContents"/>
              <w:bidi w:val="0"/>
              <w:spacing w:before="0" w:after="283"/>
              <w:jc w:val="right"/>
              <w:rPr>
                <w:sz w:val="20"/>
              </w:rPr>
            </w:pPr>
            <w:r>
              <w:rPr>
                <w:sz w:val="20"/>
              </w:rPr>
              <w:t>20,450</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sz w:val="20"/>
              </w:rPr>
            </w:pPr>
            <w:r>
              <w:rPr>
                <w:sz w:val="20"/>
              </w:rPr>
              <w:t>$</w:t>
            </w:r>
          </w:p>
        </w:tc>
        <w:tc>
          <w:tcPr>
            <w:tcW w:w="791" w:type="dxa"/>
            <w:tcBorders/>
            <w:shd w:fill="FFFFFF" w:val="clear"/>
            <w:vAlign w:val="center"/>
          </w:tcPr>
          <w:p>
            <w:pPr>
              <w:pStyle w:val="TableContents"/>
              <w:bidi w:val="0"/>
              <w:spacing w:before="0" w:after="283"/>
              <w:jc w:val="right"/>
              <w:rPr>
                <w:sz w:val="20"/>
              </w:rPr>
            </w:pPr>
            <w:r>
              <w:rPr>
                <w:sz w:val="20"/>
              </w:rPr>
              <w:t>43,482</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sz w:val="20"/>
              </w:rPr>
            </w:pPr>
            <w:r>
              <w:rPr>
                <w:sz w:val="20"/>
              </w:rPr>
              <w:t>$</w:t>
            </w:r>
          </w:p>
        </w:tc>
        <w:tc>
          <w:tcPr>
            <w:tcW w:w="872" w:type="dxa"/>
            <w:tcBorders/>
            <w:shd w:fill="FFFFFF" w:val="clear"/>
            <w:vAlign w:val="center"/>
          </w:tcPr>
          <w:p>
            <w:pPr>
              <w:pStyle w:val="TableContents"/>
              <w:bidi w:val="0"/>
              <w:spacing w:before="0" w:after="283"/>
              <w:jc w:val="right"/>
              <w:rPr>
                <w:sz w:val="20"/>
              </w:rPr>
            </w:pPr>
            <w:r>
              <w:rPr>
                <w:sz w:val="20"/>
              </w:rPr>
              <w:t>42,224</w:t>
            </w:r>
          </w:p>
        </w:tc>
        <w:tc>
          <w:tcPr>
            <w:tcW w:w="127"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10,097</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8,917</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18,608</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18,507</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12,630</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11,533</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24,874</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23,717</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sz w:val="20"/>
              </w:rPr>
            </w:pPr>
            <w:r>
              <w:rPr>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sz w:val="20"/>
              </w:rPr>
            </w:pPr>
            <w:r>
              <w:rPr>
                <w:sz w:val="20"/>
              </w:rPr>
              <w:t>5,400</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sz w:val="20"/>
              </w:rPr>
            </w:pPr>
            <w:r>
              <w:rPr>
                <w:sz w:val="20"/>
              </w:rPr>
              <w:t>4,539</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sz w:val="20"/>
              </w:rPr>
            </w:pPr>
            <w:r>
              <w:rPr>
                <w:sz w:val="20"/>
              </w:rPr>
              <w:t>10,735</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sz w:val="20"/>
              </w:rPr>
            </w:pPr>
            <w:r>
              <w:rPr>
                <w:sz w:val="20"/>
              </w:rPr>
              <w:t>9,510</w:t>
            </w:r>
          </w:p>
        </w:tc>
        <w:tc>
          <w:tcPr>
            <w:tcW w:w="127"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sz w:val="20"/>
              </w:rPr>
            </w:pPr>
            <w:r>
              <w:rPr>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sz w:val="20"/>
              </w:rPr>
            </w:pPr>
            <w:r>
              <w:rPr>
                <w:sz w:val="20"/>
              </w:rPr>
              <w:t>4,617</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sz w:val="20"/>
              </w:rPr>
            </w:pPr>
            <w:r>
              <w:rPr>
                <w:sz w:val="20"/>
              </w:rPr>
              <w:t>4,262</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sz w:val="20"/>
              </w:rPr>
            </w:pPr>
            <w:r>
              <w:rPr>
                <w:sz w:val="20"/>
              </w:rPr>
              <w:t>9,319</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sz w:val="20"/>
              </w:rPr>
            </w:pPr>
            <w:r>
              <w:rPr>
                <w:sz w:val="20"/>
              </w:rPr>
              <w:t>9,447</w:t>
            </w:r>
          </w:p>
        </w:tc>
        <w:tc>
          <w:tcPr>
            <w:tcW w:w="127"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sz w:val="20"/>
              </w:rPr>
            </w:pPr>
            <w:r>
              <w:rPr>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sz w:val="20"/>
              </w:rPr>
            </w:pPr>
            <w:r>
              <w:rPr>
                <w:sz w:val="20"/>
              </w:rPr>
              <w:t>2,453</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sz w:val="20"/>
              </w:rPr>
            </w:pPr>
            <w:r>
              <w:rPr>
                <w:sz w:val="20"/>
              </w:rPr>
              <w:t>2,189</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sz w:val="20"/>
              </w:rPr>
            </w:pPr>
            <w:r>
              <w:rPr>
                <w:sz w:val="20"/>
              </w:rPr>
              <w:t>4,779</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sz w:val="20"/>
              </w:rPr>
            </w:pPr>
            <w:r>
              <w:rPr>
                <w:sz w:val="20"/>
              </w:rPr>
              <w:t>4,510</w:t>
            </w:r>
          </w:p>
        </w:tc>
        <w:tc>
          <w:tcPr>
            <w:tcW w:w="127"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sz w:val="20"/>
              </w:rPr>
            </w:pPr>
            <w:r>
              <w:rPr>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sz w:val="20"/>
              </w:rPr>
            </w:pPr>
            <w:r>
              <w:rPr>
                <w:sz w:val="20"/>
              </w:rPr>
              <w:t>820</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sz w:val="20"/>
              </w:rPr>
            </w:pPr>
            <w:r>
              <w:rPr>
                <w:sz w:val="20"/>
              </w:rPr>
              <w:t>1,162</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sz w:val="20"/>
              </w:rPr>
            </w:pPr>
            <w:r>
              <w:rPr>
                <w:sz w:val="20"/>
              </w:rPr>
              <w:t>1,640</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sz w:val="20"/>
              </w:rPr>
            </w:pPr>
            <w:r>
              <w:rPr>
                <w:sz w:val="20"/>
              </w:rPr>
              <w:t>2,322</w:t>
            </w:r>
          </w:p>
        </w:tc>
        <w:tc>
          <w:tcPr>
            <w:tcW w:w="127"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sz w:val="20"/>
              </w:rPr>
            </w:pPr>
            <w:r>
              <w:rPr>
                <w:sz w:val="20"/>
              </w:rPr>
              <w:t>Goodwill impairment</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sz w:val="20"/>
              </w:rPr>
            </w:pPr>
            <w:r>
              <w:rPr>
                <w:sz w:val="20"/>
              </w:rPr>
              <w:t>-</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sz w:val="20"/>
              </w:rPr>
            </w:pPr>
            <w:r>
              <w:rPr>
                <w:sz w:val="20"/>
              </w:rPr>
              <w:t>-</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sz w:val="20"/>
              </w:rPr>
            </w:pPr>
            <w:r>
              <w:rPr>
                <w:sz w:val="20"/>
              </w:rPr>
              <w:t>-</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sz w:val="20"/>
              </w:rPr>
            </w:pPr>
            <w:r>
              <w:rPr>
                <w:sz w:val="20"/>
              </w:rPr>
              <w:t>47,951</w:t>
            </w:r>
          </w:p>
        </w:tc>
        <w:tc>
          <w:tcPr>
            <w:tcW w:w="127"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sz w:val="20"/>
              </w:rPr>
            </w:pPr>
            <w:r>
              <w:rPr>
                <w:sz w:val="20"/>
              </w:rPr>
              <w:t>Other operating expenses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318</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200</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553</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464</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13,608</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12,352</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27,026</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74,204</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sz w:val="20"/>
              </w:rPr>
            </w:pPr>
            <w:r>
              <w:rPr>
                <w:sz w:val="20"/>
              </w:rPr>
              <w:t>Operating loss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(978</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2"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(819</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(2,152</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(50,487</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sz w:val="20"/>
              </w:rPr>
            </w:pPr>
            <w:r>
              <w:rPr>
                <w:sz w:val="20"/>
              </w:rPr>
              <w:t>Other expense:</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27"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sz w:val="20"/>
              </w:rPr>
            </w:pPr>
            <w:r>
              <w:rPr>
                <w:sz w:val="20"/>
              </w:rPr>
              <w:t>Interest expense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sz w:val="20"/>
              </w:rPr>
            </w:pPr>
            <w:r>
              <w:rPr>
                <w:sz w:val="20"/>
              </w:rPr>
              <w:t>(1,793</w:t>
            </w:r>
          </w:p>
        </w:tc>
        <w:tc>
          <w:tcPr>
            <w:tcW w:w="123" w:type="dxa"/>
            <w:tcBorders/>
            <w:shd w:fill="CCEEFF" w:val="clear"/>
            <w:vAlign w:val="center"/>
          </w:tcPr>
          <w:p>
            <w:pPr>
              <w:pStyle w:val="TableContents"/>
              <w:bidi w:val="0"/>
              <w:spacing w:before="0" w:after="283"/>
              <w:jc w:val="left"/>
              <w:rPr>
                <w:sz w:val="20"/>
              </w:rPr>
            </w:pPr>
            <w:r>
              <w:rPr>
                <w:sz w:val="20"/>
              </w:rPr>
              <w:t>)</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sz w:val="20"/>
              </w:rPr>
            </w:pPr>
            <w:r>
              <w:rPr>
                <w:sz w:val="20"/>
              </w:rPr>
              <w:t>(1,001</w:t>
            </w:r>
          </w:p>
        </w:tc>
        <w:tc>
          <w:tcPr>
            <w:tcW w:w="123"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sz w:val="20"/>
              </w:rPr>
            </w:pPr>
            <w:r>
              <w:rPr>
                <w:sz w:val="20"/>
              </w:rPr>
              <w:t>(3,521</w:t>
            </w:r>
          </w:p>
        </w:tc>
        <w:tc>
          <w:tcPr>
            <w:tcW w:w="107" w:type="dxa"/>
            <w:tcBorders/>
            <w:shd w:fill="CCEEFF" w:val="clear"/>
            <w:vAlign w:val="center"/>
          </w:tcPr>
          <w:p>
            <w:pPr>
              <w:pStyle w:val="TableContents"/>
              <w:bidi w:val="0"/>
              <w:spacing w:before="0" w:after="283"/>
              <w:jc w:val="lef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sz w:val="20"/>
              </w:rPr>
            </w:pPr>
            <w:r>
              <w:rPr>
                <w:sz w:val="20"/>
              </w:rPr>
              <w:t>(1,934</w:t>
            </w:r>
          </w:p>
        </w:tc>
        <w:tc>
          <w:tcPr>
            <w:tcW w:w="127" w:type="dxa"/>
            <w:tcBorders/>
            <w:shd w:fill="CCEEFF" w:val="clear"/>
            <w:vAlign w:val="center"/>
          </w:tcPr>
          <w:p>
            <w:pPr>
              <w:pStyle w:val="TableContents"/>
              <w:bidi w:val="0"/>
              <w:spacing w:before="0" w:after="283"/>
              <w:jc w:val="left"/>
              <w:rPr>
                <w:sz w:val="20"/>
              </w:rPr>
            </w:pPr>
            <w:r>
              <w:rPr>
                <w:sz w:val="20"/>
              </w:rPr>
              <w:t>)</w:t>
            </w:r>
          </w:p>
        </w:tc>
      </w:tr>
      <w:tr>
        <w:trPr/>
        <w:tc>
          <w:tcPr>
            <w:tcW w:w="3005" w:type="dxa"/>
            <w:tcBorders/>
            <w:shd w:fill="FFFFFF" w:val="clear"/>
            <w:vAlign w:val="center"/>
          </w:tcPr>
          <w:p>
            <w:pPr>
              <w:pStyle w:val="TableContents"/>
              <w:bidi w:val="0"/>
              <w:spacing w:before="0" w:after="283"/>
              <w:jc w:val="left"/>
              <w:rPr>
                <w:sz w:val="20"/>
              </w:rPr>
            </w:pPr>
            <w:r>
              <w:rPr>
                <w:sz w:val="20"/>
              </w:rPr>
              <w:t>Other expense, net</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(125</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2"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(434</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(530</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(627</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r>
      <w:tr>
        <w:trPr/>
        <w:tc>
          <w:tcPr>
            <w:tcW w:w="3005" w:type="dxa"/>
            <w:tcBorders/>
            <w:shd w:fill="CCEEFF" w:val="clear"/>
            <w:vAlign w:val="center"/>
          </w:tcPr>
          <w:p>
            <w:pPr>
              <w:pStyle w:val="TableContents"/>
              <w:bidi w:val="0"/>
              <w:spacing w:before="0" w:after="283"/>
              <w:jc w:val="left"/>
              <w:rPr>
                <w:sz w:val="20"/>
              </w:rPr>
            </w:pPr>
            <w:r>
              <w:rPr>
                <w:sz w:val="20"/>
              </w:rPr>
              <w:t>Total other expense</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(1,918</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2"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(1,435</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(4,051</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(2,561</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27"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sz w:val="20"/>
              </w:rPr>
            </w:pPr>
            <w:r>
              <w:rPr>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sz w:val="20"/>
              </w:rPr>
            </w:pPr>
            <w:r>
              <w:rPr>
                <w:sz w:val="20"/>
              </w:rPr>
              <w:t>(2,896</w:t>
            </w:r>
          </w:p>
        </w:tc>
        <w:tc>
          <w:tcPr>
            <w:tcW w:w="123" w:type="dxa"/>
            <w:tcBorders/>
            <w:shd w:fill="CCEEFF" w:val="clear"/>
            <w:vAlign w:val="center"/>
          </w:tcPr>
          <w:p>
            <w:pPr>
              <w:pStyle w:val="TableContents"/>
              <w:bidi w:val="0"/>
              <w:spacing w:before="0" w:after="283"/>
              <w:jc w:val="left"/>
              <w:rPr>
                <w:sz w:val="20"/>
              </w:rPr>
            </w:pPr>
            <w:r>
              <w:rPr>
                <w:sz w:val="20"/>
              </w:rPr>
              <w:t>)</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sz w:val="20"/>
              </w:rPr>
            </w:pPr>
            <w:r>
              <w:rPr>
                <w:sz w:val="20"/>
              </w:rPr>
              <w:t>(2,254</w:t>
            </w:r>
          </w:p>
        </w:tc>
        <w:tc>
          <w:tcPr>
            <w:tcW w:w="123"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sz w:val="20"/>
              </w:rPr>
            </w:pPr>
            <w:r>
              <w:rPr>
                <w:sz w:val="20"/>
              </w:rPr>
              <w:t>(6,203</w:t>
            </w:r>
          </w:p>
        </w:tc>
        <w:tc>
          <w:tcPr>
            <w:tcW w:w="107" w:type="dxa"/>
            <w:tcBorders/>
            <w:shd w:fill="CCEEFF" w:val="clear"/>
            <w:vAlign w:val="center"/>
          </w:tcPr>
          <w:p>
            <w:pPr>
              <w:pStyle w:val="TableContents"/>
              <w:bidi w:val="0"/>
              <w:spacing w:before="0" w:after="283"/>
              <w:jc w:val="lef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sz w:val="20"/>
              </w:rPr>
            </w:pPr>
            <w:r>
              <w:rPr>
                <w:sz w:val="20"/>
              </w:rPr>
              <w:t>(53,048</w:t>
            </w:r>
          </w:p>
        </w:tc>
        <w:tc>
          <w:tcPr>
            <w:tcW w:w="127" w:type="dxa"/>
            <w:tcBorders/>
            <w:shd w:fill="CCEEFF" w:val="clear"/>
            <w:vAlign w:val="center"/>
          </w:tcPr>
          <w:p>
            <w:pPr>
              <w:pStyle w:val="TableContents"/>
              <w:bidi w:val="0"/>
              <w:spacing w:before="0" w:after="283"/>
              <w:jc w:val="left"/>
              <w:rPr>
                <w:sz w:val="20"/>
              </w:rPr>
            </w:pPr>
            <w:r>
              <w:rPr>
                <w:sz w:val="20"/>
              </w:rPr>
              <w:t>)</w:t>
            </w:r>
          </w:p>
        </w:tc>
      </w:tr>
      <w:tr>
        <w:trPr/>
        <w:tc>
          <w:tcPr>
            <w:tcW w:w="3005" w:type="dxa"/>
            <w:tcBorders/>
            <w:shd w:fill="FFFFFF" w:val="clear"/>
            <w:vAlign w:val="center"/>
          </w:tcPr>
          <w:p>
            <w:pPr>
              <w:pStyle w:val="TableContents"/>
              <w:bidi w:val="0"/>
              <w:spacing w:before="0" w:after="283"/>
              <w:jc w:val="left"/>
              <w:rPr>
                <w:sz w:val="20"/>
              </w:rPr>
            </w:pPr>
            <w:r>
              <w:rPr>
                <w:sz w:val="20"/>
              </w:rPr>
              <w:t>Income tax expense (benefit)</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28</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131</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(426</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r>
      <w:tr>
        <w:trPr/>
        <w:tc>
          <w:tcPr>
            <w:tcW w:w="3005" w:type="dxa"/>
            <w:tcBorders/>
            <w:shd w:fill="CCEEFF" w:val="clear"/>
            <w:vAlign w:val="center"/>
          </w:tcPr>
          <w:p>
            <w:pPr>
              <w:pStyle w:val="TableContents"/>
              <w:bidi w:val="0"/>
              <w:spacing w:before="0" w:after="283"/>
              <w:jc w:val="left"/>
              <w:rPr>
                <w:sz w:val="20"/>
              </w:rPr>
            </w:pPr>
            <w:r>
              <w:rPr>
                <w:sz w:val="20"/>
              </w:rPr>
              <w:t>Net loss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(2,910</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2"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(2,282</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(6,334</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(52,622</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27"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sz w:val="20"/>
              </w:rPr>
            </w:pPr>
            <w:r>
              <w:rPr>
                <w:sz w:val="20"/>
              </w:rPr>
              <w:t>Loss per share: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sz w:val="20"/>
              </w:rPr>
            </w:pPr>
            <w:r>
              <w:rPr>
                <w:sz w:val="20"/>
              </w:rPr>
              <w:t>Basic and diluted loss per share *</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0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(0.64</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2"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0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(0.52</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9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(1.41</w:t>
            </w:r>
          </w:p>
        </w:tc>
        <w:tc>
          <w:tcPr>
            <w:tcW w:w="107"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7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(11.91</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r>
      <w:tr>
        <w:trPr/>
        <w:tc>
          <w:tcPr>
            <w:tcW w:w="30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Weighted-average common shares: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27"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sz w:val="20"/>
              </w:rPr>
            </w:pPr>
            <w:r>
              <w:rPr>
                <w:sz w:val="20"/>
              </w:rPr>
              <w:t>Basic and diluted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4,526</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4,430</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4,484</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4,420</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sz w:val="20"/>
        </w:rPr>
      </w:pPr>
      <w:r>
        <w:rPr>
          <w:sz w:val="20"/>
        </w:rPr>
        <w:t>* Retroactively presented to reflect 1-for-10 reverse stock split effective on March 13, 2026.</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6311" w:type="dxa"/>
        <w:jc w:val="left"/>
        <w:tblInd w:w="0" w:type="dxa"/>
        <w:tblLayout w:type="fixed"/>
        <w:tblCellMar>
          <w:top w:w="0" w:type="dxa"/>
          <w:left w:w="0" w:type="dxa"/>
          <w:bottom w:w="0" w:type="dxa"/>
          <w:right w:w="0" w:type="dxa"/>
        </w:tblCellMar>
      </w:tblPr>
      <w:tblGrid>
        <w:gridCol w:w="3350"/>
        <w:gridCol w:w="60"/>
        <w:gridCol w:w="191"/>
        <w:gridCol w:w="905"/>
        <w:gridCol w:w="92"/>
        <w:gridCol w:w="60"/>
        <w:gridCol w:w="260"/>
        <w:gridCol w:w="1234"/>
        <w:gridCol w:w="159"/>
      </w:tblGrid>
      <w:tr>
        <w:trPr/>
        <w:tc>
          <w:tcPr>
            <w:tcW w:w="6311" w:type="dxa"/>
            <w:gridSpan w:val="9"/>
            <w:tcBorders/>
            <w:vAlign w:val="center"/>
          </w:tcPr>
          <w:p>
            <w:pPr>
              <w:pStyle w:val="TableContents"/>
              <w:bidi w:val="0"/>
              <w:spacing w:before="0" w:after="283"/>
              <w:jc w:val="center"/>
              <w:rPr>
                <w:b/>
                <w:sz w:val="20"/>
              </w:rPr>
            </w:pPr>
            <w:r>
              <w:rPr>
                <w:b/>
                <w:sz w:val="20"/>
              </w:rPr>
              <w:t>HARVARD BIOSCIENCE, INC.</w:t>
            </w:r>
          </w:p>
        </w:tc>
      </w:tr>
      <w:tr>
        <w:trPr/>
        <w:tc>
          <w:tcPr>
            <w:tcW w:w="6311" w:type="dxa"/>
            <w:gridSpan w:val="9"/>
            <w:tcBorders/>
            <w:vAlign w:val="center"/>
          </w:tcPr>
          <w:p>
            <w:pPr>
              <w:pStyle w:val="TableContents"/>
              <w:bidi w:val="0"/>
              <w:spacing w:before="0" w:after="283"/>
              <w:jc w:val="center"/>
              <w:rPr>
                <w:b/>
                <w:sz w:val="20"/>
              </w:rPr>
            </w:pPr>
            <w:r>
              <w:rPr>
                <w:b/>
                <w:sz w:val="20"/>
              </w:rPr>
              <w:t>Condensed Consolidated Balance Sheets</w:t>
            </w:r>
          </w:p>
        </w:tc>
      </w:tr>
      <w:tr>
        <w:trPr/>
        <w:tc>
          <w:tcPr>
            <w:tcW w:w="6311" w:type="dxa"/>
            <w:gridSpan w:val="9"/>
            <w:tcBorders/>
            <w:vAlign w:val="center"/>
          </w:tcPr>
          <w:p>
            <w:pPr>
              <w:pStyle w:val="TableContents"/>
              <w:bidi w:val="0"/>
              <w:spacing w:before="0" w:after="283"/>
              <w:jc w:val="center"/>
              <w:rPr>
                <w:b/>
                <w:sz w:val="20"/>
              </w:rPr>
            </w:pPr>
            <w:r>
              <w:rPr>
                <w:b/>
                <w:sz w:val="20"/>
              </w:rPr>
              <w:t>(Unaudited, in thousands, except share and per share data)</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8"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3" w:type="dxa"/>
            <w:gridSpan w:val="3"/>
            <w:tcBorders/>
            <w:vAlign w:val="center"/>
          </w:tcPr>
          <w:p>
            <w:pPr>
              <w:pStyle w:val="TableContents"/>
              <w:bidi w:val="0"/>
              <w:spacing w:before="0" w:after="283"/>
              <w:jc w:val="center"/>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1" w:type="dxa"/>
            <w:gridSpan w:val="7"/>
            <w:tcBorders/>
            <w:vAlign w:val="center"/>
          </w:tcPr>
          <w:p>
            <w:pPr>
              <w:pStyle w:val="TableContents"/>
              <w:bidi w:val="0"/>
              <w:spacing w:before="0" w:after="283"/>
              <w:jc w:val="center"/>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2026</w:t>
            </w:r>
          </w:p>
        </w:tc>
        <w:tc>
          <w:tcPr>
            <w:tcW w:w="60" w:type="dxa"/>
            <w:tcBorders/>
            <w:vAlign w:val="center"/>
          </w:tcPr>
          <w:p>
            <w:pPr>
              <w:pStyle w:val="TableContents"/>
              <w:bidi w:val="0"/>
              <w:spacing w:before="0" w:after="283"/>
              <w:jc w:val="left"/>
              <w:rPr/>
            </w:pPr>
            <w:r>
              <w:rPr/>
              <w:t> </w:t>
            </w:r>
          </w:p>
        </w:tc>
        <w:tc>
          <w:tcPr>
            <w:tcW w:w="165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2025</w:t>
            </w:r>
          </w:p>
        </w:tc>
      </w:tr>
      <w:tr>
        <w:trPr/>
        <w:tc>
          <w:tcPr>
            <w:tcW w:w="3350" w:type="dxa"/>
            <w:tcBorders/>
            <w:shd w:fill="CCEEFF" w:val="clear"/>
            <w:vAlign w:val="center"/>
          </w:tcPr>
          <w:p>
            <w:pPr>
              <w:pStyle w:val="TableContents"/>
              <w:bidi w:val="0"/>
              <w:spacing w:before="0" w:after="283"/>
              <w:jc w:val="left"/>
              <w:rPr>
                <w:sz w:val="20"/>
              </w:rPr>
            </w:pPr>
            <w:r>
              <w:rPr>
                <w:sz w:val="20"/>
              </w:rPr>
              <w:t>Assets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sz w:val="20"/>
              </w:rPr>
            </w:pPr>
            <w:r>
              <w:rPr>
                <w:sz w:val="20"/>
              </w:rPr>
              <w:t>$</w:t>
            </w:r>
          </w:p>
        </w:tc>
        <w:tc>
          <w:tcPr>
            <w:tcW w:w="905" w:type="dxa"/>
            <w:tcBorders/>
            <w:shd w:fill="FFFFFF" w:val="clear"/>
            <w:vAlign w:val="center"/>
          </w:tcPr>
          <w:p>
            <w:pPr>
              <w:pStyle w:val="TableContents"/>
              <w:bidi w:val="0"/>
              <w:spacing w:before="0" w:after="283"/>
              <w:jc w:val="right"/>
              <w:rPr>
                <w:sz w:val="20"/>
              </w:rPr>
            </w:pPr>
            <w:r>
              <w:rPr>
                <w:sz w:val="20"/>
              </w:rPr>
              <w:t>6,503</w:t>
            </w:r>
          </w:p>
        </w:tc>
        <w:tc>
          <w:tcPr>
            <w:tcW w:w="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sz w:val="20"/>
              </w:rPr>
            </w:pPr>
            <w:r>
              <w:rPr>
                <w:sz w:val="20"/>
              </w:rPr>
              <w:t>$</w:t>
            </w:r>
          </w:p>
        </w:tc>
        <w:tc>
          <w:tcPr>
            <w:tcW w:w="1234" w:type="dxa"/>
            <w:tcBorders/>
            <w:shd w:fill="FFFFFF" w:val="clear"/>
            <w:vAlign w:val="center"/>
          </w:tcPr>
          <w:p>
            <w:pPr>
              <w:pStyle w:val="TableContents"/>
              <w:bidi w:val="0"/>
              <w:spacing w:before="0" w:after="283"/>
              <w:jc w:val="right"/>
              <w:rPr>
                <w:sz w:val="20"/>
              </w:rPr>
            </w:pPr>
            <w:r>
              <w:rPr>
                <w:sz w:val="20"/>
              </w:rPr>
              <w:t>8,614</w:t>
            </w:r>
          </w:p>
        </w:tc>
        <w:tc>
          <w:tcPr>
            <w:tcW w:w="159"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14,500</w:t>
            </w:r>
          </w:p>
        </w:tc>
        <w:tc>
          <w:tcPr>
            <w:tcW w:w="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sz w:val="20"/>
              </w:rPr>
            </w:pPr>
            <w:r>
              <w:rPr>
                <w:sz w:val="20"/>
              </w:rPr>
              <w:t>16,043</w:t>
            </w:r>
          </w:p>
        </w:tc>
        <w:tc>
          <w:tcPr>
            <w:tcW w:w="159"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Inventories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22,230</w:t>
            </w:r>
          </w:p>
        </w:tc>
        <w:tc>
          <w:tcPr>
            <w:tcW w:w="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sz w:val="20"/>
              </w:rPr>
            </w:pPr>
            <w:r>
              <w:rPr>
                <w:sz w:val="20"/>
              </w:rPr>
              <w:t>20,805</w:t>
            </w:r>
          </w:p>
        </w:tc>
        <w:tc>
          <w:tcPr>
            <w:tcW w:w="159"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3,230</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2,763</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46,463</w:t>
            </w:r>
          </w:p>
        </w:tc>
        <w:tc>
          <w:tcPr>
            <w:tcW w:w="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sz w:val="20"/>
              </w:rPr>
            </w:pPr>
            <w:r>
              <w:rPr>
                <w:sz w:val="20"/>
              </w:rPr>
              <w:t>48,225</w:t>
            </w:r>
          </w:p>
        </w:tc>
        <w:tc>
          <w:tcPr>
            <w:tcW w:w="159"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Property, plant and equipment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5,347</w:t>
            </w:r>
          </w:p>
        </w:tc>
        <w:tc>
          <w:tcPr>
            <w:tcW w:w="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sz w:val="20"/>
              </w:rPr>
            </w:pPr>
            <w:r>
              <w:rPr>
                <w:sz w:val="20"/>
              </w:rPr>
              <w:t>4,787</w:t>
            </w:r>
          </w:p>
        </w:tc>
        <w:tc>
          <w:tcPr>
            <w:tcW w:w="159"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Goodwill and other intangibles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15,550</w:t>
            </w:r>
          </w:p>
        </w:tc>
        <w:tc>
          <w:tcPr>
            <w:tcW w:w="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sz w:val="20"/>
              </w:rPr>
            </w:pPr>
            <w:r>
              <w:rPr>
                <w:sz w:val="20"/>
              </w:rPr>
              <w:t>17,198</w:t>
            </w:r>
          </w:p>
        </w:tc>
        <w:tc>
          <w:tcPr>
            <w:tcW w:w="159"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Other long-term assets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8,926</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9,861</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Total assets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76,286</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80,071</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24,793</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21,960</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24,793</w:t>
            </w:r>
          </w:p>
        </w:tc>
        <w:tc>
          <w:tcPr>
            <w:tcW w:w="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sz w:val="20"/>
              </w:rPr>
            </w:pPr>
            <w:r>
              <w:rPr>
                <w:sz w:val="20"/>
              </w:rPr>
              <w:t>21,960</w:t>
            </w:r>
          </w:p>
        </w:tc>
        <w:tc>
          <w:tcPr>
            <w:tcW w:w="159"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Long-term debt, net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36,682</w:t>
            </w:r>
          </w:p>
        </w:tc>
        <w:tc>
          <w:tcPr>
            <w:tcW w:w="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sz w:val="20"/>
              </w:rPr>
            </w:pPr>
            <w:r>
              <w:rPr>
                <w:sz w:val="20"/>
              </w:rPr>
              <w:t>35,870</w:t>
            </w:r>
          </w:p>
        </w:tc>
        <w:tc>
          <w:tcPr>
            <w:tcW w:w="159"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7,393</w:t>
            </w:r>
          </w:p>
        </w:tc>
        <w:tc>
          <w:tcPr>
            <w:tcW w:w="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sz w:val="20"/>
              </w:rPr>
            </w:pPr>
            <w:r>
              <w:rPr>
                <w:sz w:val="20"/>
              </w:rPr>
              <w:t>8,507</w:t>
            </w:r>
          </w:p>
        </w:tc>
        <w:tc>
          <w:tcPr>
            <w:tcW w:w="159"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7,418</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13,734</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76,286</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80,071</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7512" w:type="dxa"/>
        <w:jc w:val="left"/>
        <w:tblInd w:w="0" w:type="dxa"/>
        <w:tblLayout w:type="fixed"/>
        <w:tblCellMar>
          <w:top w:w="0" w:type="dxa"/>
          <w:left w:w="0" w:type="dxa"/>
          <w:bottom w:w="0" w:type="dxa"/>
          <w:right w:w="0" w:type="dxa"/>
        </w:tblCellMar>
      </w:tblPr>
      <w:tblGrid>
        <w:gridCol w:w="5000"/>
        <w:gridCol w:w="60"/>
        <w:gridCol w:w="198"/>
        <w:gridCol w:w="864"/>
        <w:gridCol w:w="126"/>
        <w:gridCol w:w="60"/>
        <w:gridCol w:w="173"/>
        <w:gridCol w:w="900"/>
        <w:gridCol w:w="131"/>
      </w:tblGrid>
      <w:tr>
        <w:trPr/>
        <w:tc>
          <w:tcPr>
            <w:tcW w:w="7512" w:type="dxa"/>
            <w:gridSpan w:val="9"/>
            <w:tcBorders/>
            <w:vAlign w:val="center"/>
          </w:tcPr>
          <w:p>
            <w:pPr>
              <w:pStyle w:val="TableContents"/>
              <w:bidi w:val="0"/>
              <w:spacing w:before="0" w:after="283"/>
              <w:jc w:val="center"/>
              <w:rPr>
                <w:b/>
                <w:sz w:val="20"/>
              </w:rPr>
            </w:pPr>
            <w:r>
              <w:rPr>
                <w:b/>
                <w:sz w:val="20"/>
              </w:rPr>
              <w:t>HARVARD BIOSCIENCE, INC.</w:t>
            </w:r>
          </w:p>
        </w:tc>
      </w:tr>
      <w:tr>
        <w:trPr/>
        <w:tc>
          <w:tcPr>
            <w:tcW w:w="7512" w:type="dxa"/>
            <w:gridSpan w:val="9"/>
            <w:tcBorders/>
            <w:vAlign w:val="center"/>
          </w:tcPr>
          <w:p>
            <w:pPr>
              <w:pStyle w:val="TableContents"/>
              <w:bidi w:val="0"/>
              <w:spacing w:before="0" w:after="283"/>
              <w:jc w:val="center"/>
              <w:rPr>
                <w:b/>
                <w:sz w:val="20"/>
              </w:rPr>
            </w:pPr>
            <w:r>
              <w:rPr>
                <w:b/>
                <w:sz w:val="20"/>
              </w:rPr>
              <w:t>CONDENSED CONSOLIDATED STATEMENTS OF CASH FLOWS</w:t>
            </w:r>
          </w:p>
        </w:tc>
      </w:tr>
      <w:tr>
        <w:trPr/>
        <w:tc>
          <w:tcPr>
            <w:tcW w:w="7512" w:type="dxa"/>
            <w:gridSpan w:val="9"/>
            <w:tcBorders/>
            <w:vAlign w:val="center"/>
          </w:tcPr>
          <w:p>
            <w:pPr>
              <w:pStyle w:val="TableContents"/>
              <w:bidi w:val="0"/>
              <w:spacing w:before="0" w:after="283"/>
              <w:jc w:val="center"/>
              <w:rPr>
                <w:b/>
                <w:sz w:val="20"/>
              </w:rPr>
            </w:pPr>
            <w:r>
              <w:rPr>
                <w:b/>
                <w:sz w:val="20"/>
              </w:rPr>
              <w:t>(Unaudited, in thousands)</w:t>
            </w:r>
          </w:p>
        </w:tc>
      </w:tr>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8"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3"/>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2"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w:t>
            </w:r>
          </w:p>
        </w:tc>
      </w:tr>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2026</w:t>
            </w:r>
          </w:p>
        </w:tc>
        <w:tc>
          <w:tcPr>
            <w:tcW w:w="60" w:type="dxa"/>
            <w:tcBorders/>
            <w:vAlign w:val="center"/>
          </w:tcPr>
          <w:p>
            <w:pPr>
              <w:pStyle w:val="TableContents"/>
              <w:bidi w:val="0"/>
              <w:spacing w:before="0" w:after="283"/>
              <w:jc w:val="left"/>
              <w:rPr/>
            </w:pPr>
            <w:r>
              <w:rPr/>
              <w:t> </w:t>
            </w:r>
          </w:p>
        </w:tc>
        <w:tc>
          <w:tcPr>
            <w:tcW w:w="120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2025</w:t>
            </w:r>
          </w:p>
        </w:tc>
      </w:tr>
      <w:tr>
        <w:trPr/>
        <w:tc>
          <w:tcPr>
            <w:tcW w:w="5000" w:type="dxa"/>
            <w:tcBorders/>
            <w:shd w:fill="CCEEFF" w:val="clear"/>
            <w:vAlign w:val="center"/>
          </w:tcPr>
          <w:p>
            <w:pPr>
              <w:pStyle w:val="TableContents"/>
              <w:bidi w:val="0"/>
              <w:spacing w:before="0" w:after="283"/>
              <w:jc w:val="left"/>
              <w:rPr>
                <w:sz w:val="20"/>
              </w:rPr>
            </w:pPr>
            <w:r>
              <w:rPr>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sz w:val="20"/>
              </w:rPr>
            </w:pPr>
            <w:r>
              <w:rPr>
                <w:sz w:val="20"/>
              </w:rPr>
              <w:t>Net loss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sz w:val="20"/>
              </w:rPr>
            </w:pPr>
            <w:r>
              <w:rPr>
                <w:sz w:val="20"/>
              </w:rPr>
              <w:t>$</w:t>
            </w:r>
          </w:p>
        </w:tc>
        <w:tc>
          <w:tcPr>
            <w:tcW w:w="864" w:type="dxa"/>
            <w:tcBorders/>
            <w:shd w:fill="FFFFFF" w:val="clear"/>
            <w:vAlign w:val="center"/>
          </w:tcPr>
          <w:p>
            <w:pPr>
              <w:pStyle w:val="TableContents"/>
              <w:bidi w:val="0"/>
              <w:spacing w:before="0" w:after="283"/>
              <w:jc w:val="right"/>
              <w:rPr>
                <w:sz w:val="20"/>
              </w:rPr>
            </w:pPr>
            <w:r>
              <w:rPr>
                <w:sz w:val="20"/>
              </w:rPr>
              <w:t>(6,334</w:t>
            </w:r>
          </w:p>
        </w:tc>
        <w:tc>
          <w:tcPr>
            <w:tcW w:w="126"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sz w:val="20"/>
              </w:rPr>
            </w:pPr>
            <w:r>
              <w:rPr>
                <w:sz w:val="20"/>
              </w:rPr>
              <w:t>$</w:t>
            </w:r>
          </w:p>
        </w:tc>
        <w:tc>
          <w:tcPr>
            <w:tcW w:w="900" w:type="dxa"/>
            <w:tcBorders/>
            <w:shd w:fill="FFFFFF" w:val="clear"/>
            <w:vAlign w:val="center"/>
          </w:tcPr>
          <w:p>
            <w:pPr>
              <w:pStyle w:val="TableContents"/>
              <w:bidi w:val="0"/>
              <w:spacing w:before="0" w:after="283"/>
              <w:jc w:val="right"/>
              <w:rPr>
                <w:sz w:val="20"/>
              </w:rPr>
            </w:pPr>
            <w:r>
              <w:rPr>
                <w:sz w:val="20"/>
              </w:rPr>
              <w:t>(52,622</w:t>
            </w:r>
          </w:p>
        </w:tc>
        <w:tc>
          <w:tcPr>
            <w:tcW w:w="131" w:type="dxa"/>
            <w:tcBorders/>
            <w:shd w:fill="FFFFFF" w:val="clear"/>
            <w:vAlign w:val="center"/>
          </w:tcPr>
          <w:p>
            <w:pPr>
              <w:pStyle w:val="TableContents"/>
              <w:bidi w:val="0"/>
              <w:spacing w:before="0" w:after="283"/>
              <w:jc w:val="left"/>
              <w:rPr>
                <w:sz w:val="20"/>
              </w:rPr>
            </w:pPr>
            <w:r>
              <w:rPr>
                <w:sz w:val="20"/>
              </w:rPr>
              <w:t>)</w:t>
            </w:r>
          </w:p>
        </w:tc>
      </w:tr>
      <w:tr>
        <w:trPr/>
        <w:tc>
          <w:tcPr>
            <w:tcW w:w="5000" w:type="dxa"/>
            <w:tcBorders/>
            <w:shd w:fill="CCEEFF" w:val="clear"/>
            <w:vAlign w:val="center"/>
          </w:tcPr>
          <w:p>
            <w:pPr>
              <w:pStyle w:val="TableContents"/>
              <w:bidi w:val="0"/>
              <w:spacing w:before="0" w:after="283"/>
              <w:jc w:val="left"/>
              <w:rPr>
                <w:sz w:val="20"/>
              </w:rPr>
            </w:pPr>
            <w:r>
              <w:rPr>
                <w:sz w:val="20"/>
              </w:rPr>
              <w:t>Adjustments to operating cash flows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sz w:val="20"/>
              </w:rPr>
            </w:pPr>
            <w:r>
              <w:rPr>
                <w:sz w:val="20"/>
              </w:rPr>
              <w:t>4,213</w:t>
            </w:r>
          </w:p>
        </w:tc>
        <w:tc>
          <w:tcPr>
            <w:tcW w:w="1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sz w:val="20"/>
              </w:rPr>
            </w:pPr>
            <w:r>
              <w:rPr>
                <w:sz w:val="20"/>
              </w:rPr>
              <w:t>52,062</w:t>
            </w:r>
          </w:p>
        </w:tc>
        <w:tc>
          <w:tcPr>
            <w:tcW w:w="131"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sz w:val="20"/>
              </w:rPr>
            </w:pPr>
            <w:r>
              <w:rPr>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1,784</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6,301</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sz w:val="20"/>
              </w:rPr>
            </w:pPr>
            <w:r>
              <w:rPr>
                <w:sz w:val="20"/>
              </w:rPr>
              <w:t>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(337</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5,741</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sz w:val="20"/>
              </w:rPr>
            </w:pPr>
            <w:r>
              <w:rPr>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sz w:val="20"/>
              </w:rPr>
            </w:pPr>
            <w:r>
              <w:rPr>
                <w:sz w:val="20"/>
              </w:rPr>
              <w:t>Additions to property, plant and equipment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sz w:val="20"/>
              </w:rPr>
            </w:pPr>
            <w:r>
              <w:rPr>
                <w:sz w:val="20"/>
              </w:rPr>
              <w:t>(1,114</w:t>
            </w:r>
          </w:p>
        </w:tc>
        <w:tc>
          <w:tcPr>
            <w:tcW w:w="126"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sz w:val="20"/>
              </w:rPr>
            </w:pPr>
            <w:r>
              <w:rPr>
                <w:sz w:val="20"/>
              </w:rPr>
              <w:t>(602</w:t>
            </w:r>
          </w:p>
        </w:tc>
        <w:tc>
          <w:tcPr>
            <w:tcW w:w="131" w:type="dxa"/>
            <w:tcBorders/>
            <w:shd w:fill="FFFFFF" w:val="clear"/>
            <w:vAlign w:val="center"/>
          </w:tcPr>
          <w:p>
            <w:pPr>
              <w:pStyle w:val="TableContents"/>
              <w:bidi w:val="0"/>
              <w:spacing w:before="0" w:after="283"/>
              <w:jc w:val="left"/>
              <w:rPr>
                <w:sz w:val="20"/>
              </w:rPr>
            </w:pPr>
            <w:r>
              <w:rPr>
                <w:sz w:val="20"/>
              </w:rPr>
              <w:t>)</w:t>
            </w:r>
          </w:p>
        </w:tc>
      </w:tr>
      <w:tr>
        <w:trPr/>
        <w:tc>
          <w:tcPr>
            <w:tcW w:w="5000" w:type="dxa"/>
            <w:tcBorders/>
            <w:shd w:fill="CCEEFF" w:val="clear"/>
            <w:vAlign w:val="center"/>
          </w:tcPr>
          <w:p>
            <w:pPr>
              <w:pStyle w:val="TableContents"/>
              <w:bidi w:val="0"/>
              <w:spacing w:before="0" w:after="283"/>
              <w:jc w:val="left"/>
              <w:rPr>
                <w:sz w:val="20"/>
              </w:rPr>
            </w:pPr>
            <w:r>
              <w:rPr>
                <w:sz w:val="20"/>
              </w:rPr>
              <w:t>Acquisition of intangible assets</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(422</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(314</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rPr/>
        <w:tc>
          <w:tcPr>
            <w:tcW w:w="5000" w:type="dxa"/>
            <w:tcBorders/>
            <w:shd w:fill="FFFFFF" w:val="clear"/>
            <w:vAlign w:val="center"/>
          </w:tcPr>
          <w:p>
            <w:pPr>
              <w:pStyle w:val="TableContents"/>
              <w:bidi w:val="0"/>
              <w:spacing w:before="0" w:after="283"/>
              <w:jc w:val="left"/>
              <w:rPr>
                <w:sz w:val="20"/>
              </w:rPr>
            </w:pPr>
            <w:r>
              <w:rPr>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(1,536</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(916</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r>
      <w:tr>
        <w:trPr/>
        <w:tc>
          <w:tcPr>
            <w:tcW w:w="50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sz w:val="20"/>
              </w:rPr>
            </w:pPr>
            <w:r>
              <w:rPr>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sz w:val="20"/>
              </w:rPr>
            </w:pPr>
            <w:r>
              <w:rPr>
                <w:sz w:val="20"/>
              </w:rPr>
              <w:t>Repayment of term debt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sz w:val="20"/>
              </w:rPr>
            </w:pPr>
            <w:r>
              <w:rPr>
                <w:sz w:val="20"/>
              </w:rPr>
              <w:t>-</w:t>
            </w:r>
          </w:p>
        </w:tc>
        <w:tc>
          <w:tcPr>
            <w:tcW w:w="1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sz w:val="20"/>
              </w:rPr>
            </w:pPr>
            <w:r>
              <w:rPr>
                <w:sz w:val="20"/>
              </w:rPr>
              <w:t>(2,000</w:t>
            </w:r>
          </w:p>
        </w:tc>
        <w:tc>
          <w:tcPr>
            <w:tcW w:w="131" w:type="dxa"/>
            <w:tcBorders/>
            <w:shd w:fill="CCEEFF" w:val="clear"/>
            <w:vAlign w:val="center"/>
          </w:tcPr>
          <w:p>
            <w:pPr>
              <w:pStyle w:val="TableContents"/>
              <w:bidi w:val="0"/>
              <w:spacing w:before="0" w:after="283"/>
              <w:jc w:val="left"/>
              <w:rPr>
                <w:sz w:val="20"/>
              </w:rPr>
            </w:pPr>
            <w:r>
              <w:rPr>
                <w:sz w:val="20"/>
              </w:rPr>
              <w:t>)</w:t>
            </w:r>
          </w:p>
        </w:tc>
      </w:tr>
      <w:tr>
        <w:trPr/>
        <w:tc>
          <w:tcPr>
            <w:tcW w:w="5000" w:type="dxa"/>
            <w:tcBorders/>
            <w:shd w:fill="FFFFFF" w:val="clear"/>
            <w:vAlign w:val="center"/>
          </w:tcPr>
          <w:p>
            <w:pPr>
              <w:pStyle w:val="TableContents"/>
              <w:bidi w:val="0"/>
              <w:spacing w:before="0" w:after="283"/>
              <w:jc w:val="left"/>
              <w:rPr>
                <w:sz w:val="20"/>
              </w:rPr>
            </w:pPr>
            <w:r>
              <w:rPr>
                <w:sz w:val="20"/>
              </w:rPr>
              <w:t>Payment of debt issuance costs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sz w:val="20"/>
              </w:rPr>
            </w:pPr>
            <w:r>
              <w:rPr>
                <w:sz w:val="20"/>
              </w:rPr>
              <w:t>(131</w:t>
            </w:r>
          </w:p>
        </w:tc>
        <w:tc>
          <w:tcPr>
            <w:tcW w:w="126"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sz w:val="20"/>
              </w:rPr>
            </w:pPr>
            <w:r>
              <w:rPr>
                <w:sz w:val="20"/>
              </w:rPr>
              <w:t>(433</w:t>
            </w:r>
          </w:p>
        </w:tc>
        <w:tc>
          <w:tcPr>
            <w:tcW w:w="131" w:type="dxa"/>
            <w:tcBorders/>
            <w:shd w:fill="FFFFFF" w:val="clear"/>
            <w:vAlign w:val="center"/>
          </w:tcPr>
          <w:p>
            <w:pPr>
              <w:pStyle w:val="TableContents"/>
              <w:bidi w:val="0"/>
              <w:spacing w:before="0" w:after="283"/>
              <w:jc w:val="left"/>
              <w:rPr>
                <w:sz w:val="20"/>
              </w:rPr>
            </w:pPr>
            <w:r>
              <w:rPr>
                <w:sz w:val="20"/>
              </w:rPr>
              <w:t>)</w:t>
            </w:r>
          </w:p>
        </w:tc>
      </w:tr>
      <w:tr>
        <w:trPr/>
        <w:tc>
          <w:tcPr>
            <w:tcW w:w="5000" w:type="dxa"/>
            <w:tcBorders/>
            <w:shd w:fill="CCEEFF" w:val="clear"/>
            <w:vAlign w:val="center"/>
          </w:tcPr>
          <w:p>
            <w:pPr>
              <w:pStyle w:val="TableContents"/>
              <w:bidi w:val="0"/>
              <w:spacing w:before="0" w:after="283"/>
              <w:jc w:val="left"/>
              <w:rPr>
                <w:sz w:val="20"/>
              </w:rPr>
            </w:pPr>
            <w:r>
              <w:rPr>
                <w:sz w:val="20"/>
              </w:rPr>
              <w:t>Proceeds from exercise of warrants and stock purchase plan</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sz w:val="20"/>
              </w:rPr>
            </w:pPr>
            <w:r>
              <w:rPr>
                <w:sz w:val="20"/>
              </w:rPr>
              <w:t>150</w:t>
            </w:r>
          </w:p>
        </w:tc>
        <w:tc>
          <w:tcPr>
            <w:tcW w:w="1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sz w:val="20"/>
              </w:rPr>
            </w:pPr>
            <w:r>
              <w:rPr>
                <w:sz w:val="20"/>
              </w:rPr>
              <w:t>46</w:t>
            </w:r>
          </w:p>
        </w:tc>
        <w:tc>
          <w:tcPr>
            <w:tcW w:w="131"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sz w:val="20"/>
              </w:rPr>
            </w:pPr>
            <w:r>
              <w:rPr>
                <w:sz w:val="20"/>
              </w:rPr>
              <w:t>Taxes paid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(66</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(75</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r>
      <w:tr>
        <w:trPr/>
        <w:tc>
          <w:tcPr>
            <w:tcW w:w="5000" w:type="dxa"/>
            <w:tcBorders/>
            <w:shd w:fill="CCEEFF" w:val="clear"/>
            <w:vAlign w:val="center"/>
          </w:tcPr>
          <w:p>
            <w:pPr>
              <w:pStyle w:val="TableContents"/>
              <w:bidi w:val="0"/>
              <w:spacing w:before="0" w:after="283"/>
              <w:jc w:val="left"/>
              <w:rPr>
                <w:sz w:val="20"/>
              </w:rPr>
            </w:pPr>
            <w:r>
              <w:rPr>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(47</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(2,462</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rPr/>
        <w:tc>
          <w:tcPr>
            <w:tcW w:w="5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sz w:val="20"/>
              </w:rPr>
            </w:pPr>
            <w:r>
              <w:rPr>
                <w:sz w:val="20"/>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(191</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971</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sz w:val="20"/>
              </w:rPr>
            </w:pPr>
            <w:r>
              <w:rPr>
                <w:sz w:val="20"/>
              </w:rPr>
              <w:t>(Decrease)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sz w:val="20"/>
              </w:rPr>
            </w:pPr>
            <w:r>
              <w:rPr>
                <w:sz w:val="20"/>
              </w:rPr>
              <w:t>(2,111</w:t>
            </w:r>
          </w:p>
        </w:tc>
        <w:tc>
          <w:tcPr>
            <w:tcW w:w="126"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sz w:val="20"/>
              </w:rPr>
            </w:pPr>
            <w:r>
              <w:rPr>
                <w:sz w:val="20"/>
              </w:rPr>
              <w:t>3,334</w:t>
            </w:r>
          </w:p>
        </w:tc>
        <w:tc>
          <w:tcPr>
            <w:tcW w:w="131"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sz w:val="20"/>
              </w:rPr>
            </w:pPr>
            <w:r>
              <w:rPr>
                <w:sz w:val="20"/>
              </w:rPr>
              <w:t>Cash and cash equivalents at the beginning of period</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8,614</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4,108</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sz w:val="20"/>
              </w:rPr>
            </w:pPr>
            <w:r>
              <w:rPr>
                <w:sz w:val="20"/>
              </w:rPr>
              <w:t>Cash and cash equivalents at the end of period</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6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6,503</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0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7,442</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8507" w:type="dxa"/>
        <w:jc w:val="left"/>
        <w:tblInd w:w="0" w:type="dxa"/>
        <w:tblLayout w:type="fixed"/>
        <w:tblCellMar>
          <w:top w:w="0" w:type="dxa"/>
          <w:left w:w="0" w:type="dxa"/>
          <w:bottom w:w="0" w:type="dxa"/>
          <w:right w:w="0" w:type="dxa"/>
        </w:tblCellMar>
      </w:tblPr>
      <w:tblGrid>
        <w:gridCol w:w="3500"/>
        <w:gridCol w:w="60"/>
        <w:gridCol w:w="162"/>
        <w:gridCol w:w="708"/>
        <w:gridCol w:w="318"/>
        <w:gridCol w:w="60"/>
        <w:gridCol w:w="162"/>
        <w:gridCol w:w="708"/>
        <w:gridCol w:w="318"/>
        <w:gridCol w:w="60"/>
        <w:gridCol w:w="162"/>
        <w:gridCol w:w="708"/>
        <w:gridCol w:w="318"/>
        <w:gridCol w:w="60"/>
        <w:gridCol w:w="145"/>
        <w:gridCol w:w="756"/>
        <w:gridCol w:w="302"/>
      </w:tblGrid>
      <w:tr>
        <w:trPr/>
        <w:tc>
          <w:tcPr>
            <w:tcW w:w="8507" w:type="dxa"/>
            <w:gridSpan w:val="17"/>
            <w:tcBorders/>
            <w:vAlign w:val="center"/>
          </w:tcPr>
          <w:p>
            <w:pPr>
              <w:pStyle w:val="TableContents"/>
              <w:bidi w:val="0"/>
              <w:spacing w:before="0" w:after="283"/>
              <w:jc w:val="center"/>
              <w:rPr>
                <w:b/>
                <w:sz w:val="20"/>
              </w:rPr>
            </w:pPr>
            <w:r>
              <w:rPr>
                <w:b/>
                <w:sz w:val="20"/>
              </w:rPr>
              <w:t>HARVARD BIOSCIENCE, INC.</w:t>
            </w:r>
          </w:p>
        </w:tc>
      </w:tr>
      <w:tr>
        <w:trPr/>
        <w:tc>
          <w:tcPr>
            <w:tcW w:w="8507" w:type="dxa"/>
            <w:gridSpan w:val="17"/>
            <w:tcBorders/>
            <w:vAlign w:val="center"/>
          </w:tcPr>
          <w:p>
            <w:pPr>
              <w:pStyle w:val="TableContents"/>
              <w:bidi w:val="0"/>
              <w:spacing w:before="0" w:after="283"/>
              <w:jc w:val="center"/>
              <w:rPr>
                <w:b/>
                <w:sz w:val="20"/>
              </w:rPr>
            </w:pPr>
            <w:r>
              <w:rPr>
                <w:b/>
                <w:sz w:val="20"/>
              </w:rPr>
              <w:t>Reconciliation of GAAP to Non-GAAP Financial Measures (unaudited)</w:t>
            </w:r>
          </w:p>
        </w:tc>
      </w:tr>
      <w:tr>
        <w:trPr/>
        <w:tc>
          <w:tcPr>
            <w:tcW w:w="8507" w:type="dxa"/>
            <w:gridSpan w:val="17"/>
            <w:tcBorders/>
            <w:vAlign w:val="center"/>
          </w:tcPr>
          <w:p>
            <w:pPr>
              <w:pStyle w:val="TableContents"/>
              <w:bidi w:val="0"/>
              <w:spacing w:before="0" w:after="283"/>
              <w:jc w:val="center"/>
              <w:rPr>
                <w:b/>
                <w:sz w:val="20"/>
              </w:rPr>
            </w:pPr>
            <w:r>
              <w:rPr>
                <w:b/>
                <w:sz w:val="20"/>
              </w:rPr>
              <w:t>(in thousands, except per share data and percentages)</w:t>
            </w:r>
          </w:p>
        </w:tc>
      </w:tr>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8"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8"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8"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3" w:type="dxa"/>
            <w:gridSpan w:val="3"/>
            <w:tcBorders/>
            <w:vAlign w:val="center"/>
          </w:tcPr>
          <w:p>
            <w:pPr>
              <w:pStyle w:val="TableContents"/>
              <w:bidi w:val="0"/>
              <w:spacing w:before="0" w:after="283"/>
              <w:jc w:val="center"/>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6"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w:t>
            </w:r>
          </w:p>
        </w:tc>
        <w:tc>
          <w:tcPr>
            <w:tcW w:w="60" w:type="dxa"/>
            <w:tcBorders/>
            <w:vAlign w:val="center"/>
          </w:tcPr>
          <w:p>
            <w:pPr>
              <w:pStyle w:val="TableContents"/>
              <w:bidi w:val="0"/>
              <w:spacing w:before="0" w:after="283"/>
              <w:jc w:val="left"/>
              <w:rPr/>
            </w:pPr>
            <w:r>
              <w:rPr/>
              <w:t> </w:t>
            </w:r>
          </w:p>
        </w:tc>
        <w:tc>
          <w:tcPr>
            <w:tcW w:w="2451"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2026</w:t>
            </w:r>
          </w:p>
        </w:tc>
        <w:tc>
          <w:tcPr>
            <w:tcW w:w="60" w:type="dxa"/>
            <w:tcBorders/>
            <w:vAlign w:val="center"/>
          </w:tcPr>
          <w:p>
            <w:pPr>
              <w:pStyle w:val="TableContents"/>
              <w:bidi w:val="0"/>
              <w:spacing w:before="0" w:after="283"/>
              <w:jc w:val="left"/>
              <w:rPr/>
            </w:pPr>
            <w:r>
              <w:rPr/>
              <w:t> </w:t>
            </w:r>
          </w:p>
        </w:tc>
        <w:tc>
          <w:tcPr>
            <w:tcW w:w="118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2025</w:t>
            </w:r>
          </w:p>
        </w:tc>
        <w:tc>
          <w:tcPr>
            <w:tcW w:w="60" w:type="dxa"/>
            <w:tcBorders/>
            <w:vAlign w:val="center"/>
          </w:tcPr>
          <w:p>
            <w:pPr>
              <w:pStyle w:val="TableContents"/>
              <w:bidi w:val="0"/>
              <w:spacing w:before="0" w:after="283"/>
              <w:jc w:val="left"/>
              <w:rPr/>
            </w:pPr>
            <w:r>
              <w:rPr/>
              <w:t> </w:t>
            </w:r>
          </w:p>
        </w:tc>
        <w:tc>
          <w:tcPr>
            <w:tcW w:w="118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2026</w:t>
            </w:r>
          </w:p>
        </w:tc>
        <w:tc>
          <w:tcPr>
            <w:tcW w:w="60" w:type="dxa"/>
            <w:tcBorders/>
            <w:vAlign w:val="center"/>
          </w:tcPr>
          <w:p>
            <w:pPr>
              <w:pStyle w:val="TableContents"/>
              <w:bidi w:val="0"/>
              <w:spacing w:before="0" w:after="283"/>
              <w:jc w:val="left"/>
              <w:rPr/>
            </w:pPr>
            <w:r>
              <w:rPr/>
              <w:t> </w:t>
            </w:r>
          </w:p>
        </w:tc>
        <w:tc>
          <w:tcPr>
            <w:tcW w:w="120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2025</w:t>
            </w:r>
          </w:p>
        </w:tc>
      </w:tr>
      <w:tr>
        <w:trPr/>
        <w:tc>
          <w:tcPr>
            <w:tcW w:w="35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88" w:type="dxa"/>
            <w:gridSpan w:val="3"/>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88" w:type="dxa"/>
            <w:gridSpan w:val="3"/>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88" w:type="dxa"/>
            <w:gridSpan w:val="3"/>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3" w:type="dxa"/>
            <w:gridSpan w:val="3"/>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500" w:type="dxa"/>
            <w:tcBorders>
              <w:left w:val="single" w:sz="8" w:space="0" w:color="000000"/>
            </w:tcBorders>
            <w:shd w:fill="CCEEFF" w:val="clear"/>
            <w:tcMar>
              <w:left w:w="28" w:type="dxa"/>
            </w:tcMar>
            <w:vAlign w:val="center"/>
          </w:tcPr>
          <w:p>
            <w:pPr>
              <w:pStyle w:val="TableContents"/>
              <w:bidi w:val="0"/>
              <w:spacing w:before="0" w:after="283"/>
              <w:jc w:val="left"/>
              <w:rPr>
                <w:b/>
                <w:sz w:val="20"/>
              </w:rPr>
            </w:pPr>
            <w:r>
              <w:rPr>
                <w:b/>
                <w:sz w:val="20"/>
              </w:rPr>
              <w:t>GAAP operating loss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b/>
                <w:sz w:val="20"/>
              </w:rPr>
            </w:pPr>
            <w:r>
              <w:rPr>
                <w:b/>
                <w:sz w:val="20"/>
              </w:rPr>
              <w:t>$</w:t>
            </w:r>
          </w:p>
        </w:tc>
        <w:tc>
          <w:tcPr>
            <w:tcW w:w="708" w:type="dxa"/>
            <w:tcBorders/>
            <w:shd w:fill="CCEEFF" w:val="clear"/>
            <w:vAlign w:val="center"/>
          </w:tcPr>
          <w:p>
            <w:pPr>
              <w:pStyle w:val="TableContents"/>
              <w:bidi w:val="0"/>
              <w:spacing w:before="0" w:after="283"/>
              <w:jc w:val="right"/>
              <w:rPr>
                <w:b/>
                <w:sz w:val="20"/>
              </w:rPr>
            </w:pPr>
            <w:r>
              <w:rPr>
                <w:b/>
                <w:sz w:val="20"/>
              </w:rPr>
              <w:t>(978</w:t>
            </w:r>
          </w:p>
        </w:tc>
        <w:tc>
          <w:tcPr>
            <w:tcW w:w="318"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b/>
                <w:sz w:val="20"/>
              </w:rPr>
            </w:pPr>
            <w:r>
              <w:rPr>
                <w:b/>
                <w:sz w:val="20"/>
              </w:rPr>
              <w:t>$</w:t>
            </w:r>
          </w:p>
        </w:tc>
        <w:tc>
          <w:tcPr>
            <w:tcW w:w="708" w:type="dxa"/>
            <w:tcBorders/>
            <w:shd w:fill="CCEEFF" w:val="clear"/>
            <w:vAlign w:val="center"/>
          </w:tcPr>
          <w:p>
            <w:pPr>
              <w:pStyle w:val="TableContents"/>
              <w:bidi w:val="0"/>
              <w:spacing w:before="0" w:after="283"/>
              <w:jc w:val="right"/>
              <w:rPr>
                <w:b/>
                <w:sz w:val="20"/>
              </w:rPr>
            </w:pPr>
            <w:r>
              <w:rPr>
                <w:b/>
                <w:sz w:val="20"/>
              </w:rPr>
              <w:t>(819</w:t>
            </w:r>
          </w:p>
        </w:tc>
        <w:tc>
          <w:tcPr>
            <w:tcW w:w="318"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b/>
                <w:sz w:val="20"/>
              </w:rPr>
            </w:pPr>
            <w:r>
              <w:rPr>
                <w:b/>
                <w:sz w:val="20"/>
              </w:rPr>
              <w:t>$</w:t>
            </w:r>
          </w:p>
        </w:tc>
        <w:tc>
          <w:tcPr>
            <w:tcW w:w="708" w:type="dxa"/>
            <w:tcBorders/>
            <w:shd w:fill="CCEEFF" w:val="clear"/>
            <w:vAlign w:val="center"/>
          </w:tcPr>
          <w:p>
            <w:pPr>
              <w:pStyle w:val="TableContents"/>
              <w:bidi w:val="0"/>
              <w:spacing w:before="0" w:after="283"/>
              <w:jc w:val="right"/>
              <w:rPr>
                <w:b/>
                <w:sz w:val="20"/>
              </w:rPr>
            </w:pPr>
            <w:r>
              <w:rPr>
                <w:b/>
                <w:sz w:val="20"/>
              </w:rPr>
              <w:t>(2,152</w:t>
            </w:r>
          </w:p>
        </w:tc>
        <w:tc>
          <w:tcPr>
            <w:tcW w:w="318"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sz w:val="20"/>
              </w:rPr>
            </w:pPr>
            <w:r>
              <w:rPr>
                <w:b/>
                <w:sz w:val="20"/>
              </w:rPr>
              <w:t>$</w:t>
            </w:r>
          </w:p>
        </w:tc>
        <w:tc>
          <w:tcPr>
            <w:tcW w:w="756" w:type="dxa"/>
            <w:tcBorders/>
            <w:shd w:fill="CCEEFF" w:val="clear"/>
            <w:vAlign w:val="center"/>
          </w:tcPr>
          <w:p>
            <w:pPr>
              <w:pStyle w:val="TableContents"/>
              <w:bidi w:val="0"/>
              <w:spacing w:before="0" w:after="283"/>
              <w:jc w:val="right"/>
              <w:rPr>
                <w:b/>
                <w:sz w:val="20"/>
              </w:rPr>
            </w:pPr>
            <w:r>
              <w:rPr>
                <w:b/>
                <w:sz w:val="20"/>
              </w:rPr>
              <w:t>(50,487</w:t>
            </w:r>
          </w:p>
        </w:tc>
        <w:tc>
          <w:tcPr>
            <w:tcW w:w="302" w:type="dxa"/>
            <w:tcBorders>
              <w:right w:val="single" w:sz="8" w:space="0" w:color="000000"/>
            </w:tcBorders>
            <w:shd w:fill="CCEEFF" w:val="clear"/>
            <w:tcMar>
              <w:right w:w="28" w:type="dxa"/>
            </w:tcMar>
            <w:vAlign w:val="center"/>
          </w:tcPr>
          <w:p>
            <w:pPr>
              <w:pStyle w:val="TableContents"/>
              <w:bidi w:val="0"/>
              <w:spacing w:before="0" w:after="283"/>
              <w:jc w:val="left"/>
              <w:rPr>
                <w:b/>
                <w:sz w:val="20"/>
              </w:rPr>
            </w:pPr>
            <w:r>
              <w:rPr>
                <w:b/>
                <w:sz w:val="20"/>
              </w:rPr>
              <w:t>)</w:t>
            </w:r>
          </w:p>
        </w:tc>
      </w:tr>
      <w:tr>
        <w:trPr/>
        <w:tc>
          <w:tcPr>
            <w:tcW w:w="3500" w:type="dxa"/>
            <w:tcBorders>
              <w:left w:val="single" w:sz="8" w:space="0" w:color="000000"/>
            </w:tcBorders>
            <w:shd w:fill="FFFFFF" w:val="clear"/>
            <w:tcMar>
              <w:left w:w="200" w:type="dxa"/>
            </w:tcMar>
            <w:vAlign w:val="center"/>
          </w:tcPr>
          <w:p>
            <w:pPr>
              <w:pStyle w:val="TableContents"/>
              <w:bidi w:val="0"/>
              <w:spacing w:before="0" w:after="283"/>
              <w:jc w:val="left"/>
              <w:rPr>
                <w:sz w:val="20"/>
              </w:rPr>
            </w:pPr>
            <w:r>
              <w:rPr>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380</w:t>
            </w:r>
          </w:p>
        </w:tc>
        <w:tc>
          <w:tcPr>
            <w:tcW w:w="3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472</w:t>
            </w:r>
          </w:p>
        </w:tc>
        <w:tc>
          <w:tcPr>
            <w:tcW w:w="3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637</w:t>
            </w:r>
          </w:p>
        </w:tc>
        <w:tc>
          <w:tcPr>
            <w:tcW w:w="3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sz w:val="20"/>
              </w:rPr>
            </w:pPr>
            <w:r>
              <w:rPr>
                <w:sz w:val="20"/>
              </w:rPr>
              <w:t>1,072</w:t>
            </w:r>
          </w:p>
        </w:tc>
        <w:tc>
          <w:tcPr>
            <w:tcW w:w="302"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3500" w:type="dxa"/>
            <w:tcBorders>
              <w:left w:val="single" w:sz="8" w:space="0" w:color="000000"/>
            </w:tcBorders>
            <w:shd w:fill="CCEEFF" w:val="clear"/>
            <w:tcMar>
              <w:left w:w="200" w:type="dxa"/>
            </w:tcMar>
            <w:vAlign w:val="center"/>
          </w:tcPr>
          <w:p>
            <w:pPr>
              <w:pStyle w:val="TableContents"/>
              <w:bidi w:val="0"/>
              <w:spacing w:before="0" w:after="283"/>
              <w:jc w:val="left"/>
              <w:rPr>
                <w:sz w:val="20"/>
              </w:rPr>
            </w:pPr>
            <w:r>
              <w:rPr>
                <w:sz w:val="20"/>
              </w:rPr>
              <w:t>Acquired asset amortization</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820</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1,162</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1,640</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sz w:val="20"/>
              </w:rPr>
            </w:pPr>
            <w:r>
              <w:rPr>
                <w:sz w:val="20"/>
              </w:rPr>
              <w:t>2,322</w:t>
            </w:r>
          </w:p>
        </w:tc>
        <w:tc>
          <w:tcPr>
            <w:tcW w:w="302"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r>
      <w:tr>
        <w:trPr/>
        <w:tc>
          <w:tcPr>
            <w:tcW w:w="3500" w:type="dxa"/>
            <w:tcBorders>
              <w:left w:val="single" w:sz="8" w:space="0" w:color="000000"/>
            </w:tcBorders>
            <w:shd w:fill="FFFFFF" w:val="clear"/>
            <w:tcMar>
              <w:left w:w="200" w:type="dxa"/>
            </w:tcMar>
            <w:vAlign w:val="center"/>
          </w:tcPr>
          <w:p>
            <w:pPr>
              <w:pStyle w:val="TableContents"/>
              <w:bidi w:val="0"/>
              <w:spacing w:before="0" w:after="283"/>
              <w:jc w:val="left"/>
              <w:rPr>
                <w:sz w:val="20"/>
              </w:rPr>
            </w:pPr>
            <w:r>
              <w:rPr>
                <w:sz w:val="20"/>
              </w:rPr>
              <w:t>Goodwill impairment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w:t>
            </w:r>
          </w:p>
        </w:tc>
        <w:tc>
          <w:tcPr>
            <w:tcW w:w="3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w:t>
            </w:r>
          </w:p>
        </w:tc>
        <w:tc>
          <w:tcPr>
            <w:tcW w:w="3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w:t>
            </w:r>
          </w:p>
        </w:tc>
        <w:tc>
          <w:tcPr>
            <w:tcW w:w="3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sz w:val="20"/>
              </w:rPr>
            </w:pPr>
            <w:r>
              <w:rPr>
                <w:sz w:val="20"/>
              </w:rPr>
              <w:t>47,951</w:t>
            </w:r>
          </w:p>
        </w:tc>
        <w:tc>
          <w:tcPr>
            <w:tcW w:w="302"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3500" w:type="dxa"/>
            <w:tcBorders>
              <w:left w:val="single" w:sz="8" w:space="0" w:color="000000"/>
            </w:tcBorders>
            <w:shd w:fill="CCEEFF" w:val="clear"/>
            <w:tcMar>
              <w:left w:w="200" w:type="dxa"/>
            </w:tcMar>
            <w:vAlign w:val="center"/>
          </w:tcPr>
          <w:p>
            <w:pPr>
              <w:pStyle w:val="TableContents"/>
              <w:bidi w:val="0"/>
              <w:spacing w:before="0" w:after="283"/>
              <w:jc w:val="left"/>
              <w:rPr>
                <w:sz w:val="20"/>
              </w:rPr>
            </w:pPr>
            <w:r>
              <w:rPr>
                <w:sz w:val="20"/>
              </w:rPr>
              <w:t>Other operating expenses (1)</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318</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200</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553</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sz w:val="20"/>
              </w:rPr>
            </w:pPr>
            <w:r>
              <w:rPr>
                <w:sz w:val="20"/>
              </w:rPr>
              <w:t>464</w:t>
            </w:r>
          </w:p>
        </w:tc>
        <w:tc>
          <w:tcPr>
            <w:tcW w:w="302"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r>
      <w:tr>
        <w:trPr/>
        <w:tc>
          <w:tcPr>
            <w:tcW w:w="3500" w:type="dxa"/>
            <w:tcBorders>
              <w:left w:val="single" w:sz="8" w:space="0" w:color="000000"/>
            </w:tcBorders>
            <w:shd w:fill="FFFFFF" w:val="clear"/>
            <w:tcMar>
              <w:left w:w="200" w:type="dxa"/>
            </w:tcMar>
            <w:vAlign w:val="center"/>
          </w:tcPr>
          <w:p>
            <w:pPr>
              <w:pStyle w:val="TableContents"/>
              <w:bidi w:val="0"/>
              <w:spacing w:before="0" w:after="283"/>
              <w:jc w:val="left"/>
              <w:rPr>
                <w:sz w:val="20"/>
              </w:rPr>
            </w:pPr>
            <w:r>
              <w:rPr>
                <w:sz w:val="20"/>
              </w:rPr>
              <w:t>Other adjustments (2)</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579</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671</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42</w:t>
            </w:r>
          </w:p>
        </w:tc>
        <w:tc>
          <w:tcPr>
            <w:tcW w:w="302"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r>
      <w:tr>
        <w:trPr/>
        <w:tc>
          <w:tcPr>
            <w:tcW w:w="3500" w:type="dxa"/>
            <w:tcBorders>
              <w:left w:val="single" w:sz="8" w:space="0" w:color="000000"/>
            </w:tcBorders>
            <w:shd w:fill="CCEEFF" w:val="clear"/>
            <w:tcMar>
              <w:left w:w="28" w:type="dxa"/>
            </w:tcMar>
            <w:vAlign w:val="center"/>
          </w:tcPr>
          <w:p>
            <w:pPr>
              <w:pStyle w:val="TableContents"/>
              <w:bidi w:val="0"/>
              <w:spacing w:before="0" w:after="283"/>
              <w:jc w:val="left"/>
              <w:rPr>
                <w:b/>
                <w:sz w:val="20"/>
              </w:rPr>
            </w:pPr>
            <w:r>
              <w:rPr>
                <w:b/>
                <w:sz w:val="20"/>
              </w:rPr>
              <w:t>Adjusted operating income</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1,119</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1,045</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1,349</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1,364</w:t>
            </w:r>
          </w:p>
        </w:tc>
        <w:tc>
          <w:tcPr>
            <w:tcW w:w="302" w:type="dxa"/>
            <w:tcBorders>
              <w:bottom w:val="double" w:sz="6" w:space="0" w:color="000000"/>
              <w:right w:val="single" w:sz="8" w:space="0" w:color="000000"/>
            </w:tcBorders>
            <w:shd w:fill="CCEEFF" w:val="clear"/>
            <w:tcMar>
              <w:bottom w:w="28" w:type="dxa"/>
              <w:right w:w="28" w:type="dxa"/>
            </w:tcMar>
            <w:vAlign w:val="center"/>
          </w:tcPr>
          <w:p>
            <w:pPr>
              <w:pStyle w:val="TableContents"/>
              <w:bidi w:val="0"/>
              <w:spacing w:before="0" w:after="283"/>
              <w:jc w:val="left"/>
              <w:rPr/>
            </w:pPr>
            <w:r>
              <w:rPr/>
              <w:t> </w:t>
            </w:r>
          </w:p>
        </w:tc>
      </w:tr>
      <w:tr>
        <w:trPr/>
        <w:tc>
          <w:tcPr>
            <w:tcW w:w="350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3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3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pPr>
            <w:r>
              <w:rPr/>
              <w:t> </w:t>
            </w:r>
          </w:p>
        </w:tc>
        <w:tc>
          <w:tcPr>
            <w:tcW w:w="3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302"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3500" w:type="dxa"/>
            <w:tcBorders>
              <w:left w:val="single" w:sz="8" w:space="0" w:color="000000"/>
            </w:tcBorders>
            <w:shd w:fill="CCEEFF" w:val="clear"/>
            <w:tcMar>
              <w:left w:w="28" w:type="dxa"/>
            </w:tcMar>
            <w:vAlign w:val="center"/>
          </w:tcPr>
          <w:p>
            <w:pPr>
              <w:pStyle w:val="TableContents"/>
              <w:bidi w:val="0"/>
              <w:spacing w:before="0" w:after="283"/>
              <w:jc w:val="left"/>
              <w:rPr>
                <w:sz w:val="20"/>
              </w:rPr>
            </w:pPr>
            <w:r>
              <w:rPr>
                <w:sz w:val="20"/>
              </w:rPr>
              <w:t>Operating margin</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(4.3</w:t>
            </w:r>
          </w:p>
        </w:tc>
        <w:tc>
          <w:tcPr>
            <w:tcW w:w="318"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(4.0</w:t>
            </w:r>
          </w:p>
        </w:tc>
        <w:tc>
          <w:tcPr>
            <w:tcW w:w="318"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(4.9</w:t>
            </w:r>
          </w:p>
        </w:tc>
        <w:tc>
          <w:tcPr>
            <w:tcW w:w="318"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sz w:val="20"/>
              </w:rPr>
            </w:pPr>
            <w:r>
              <w:rPr>
                <w:sz w:val="20"/>
              </w:rPr>
              <w:t>(119.6</w:t>
            </w:r>
          </w:p>
        </w:tc>
        <w:tc>
          <w:tcPr>
            <w:tcW w:w="302" w:type="dxa"/>
            <w:tcBorders>
              <w:right w:val="single" w:sz="8" w:space="0" w:color="000000"/>
            </w:tcBorders>
            <w:shd w:fill="CCEEFF" w:val="clear"/>
            <w:tcMar>
              <w:right w:w="28" w:type="dxa"/>
            </w:tcMar>
            <w:vAlign w:val="center"/>
          </w:tcPr>
          <w:p>
            <w:pPr>
              <w:pStyle w:val="TableContents"/>
              <w:bidi w:val="0"/>
              <w:spacing w:before="0" w:after="283"/>
              <w:jc w:val="left"/>
              <w:rPr>
                <w:sz w:val="20"/>
              </w:rPr>
            </w:pPr>
            <w:r>
              <w:rPr>
                <w:sz w:val="20"/>
              </w:rPr>
              <w:t>%)</w:t>
            </w:r>
          </w:p>
        </w:tc>
      </w:tr>
      <w:tr>
        <w:trPr/>
        <w:tc>
          <w:tcPr>
            <w:tcW w:w="350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sz w:val="20"/>
              </w:rPr>
            </w:pPr>
            <w:r>
              <w:rPr>
                <w:sz w:val="20"/>
              </w:rPr>
              <w:t>Adjusted operating margin</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4.9</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5.1</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3.1</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w:t>
            </w:r>
          </w:p>
        </w:tc>
        <w:tc>
          <w:tcPr>
            <w:tcW w:w="302"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sz w:val="20"/>
              </w:rPr>
            </w:pPr>
            <w:r>
              <w:rPr>
                <w:sz w:val="20"/>
              </w:rPr>
              <w:t>%</w:t>
            </w:r>
          </w:p>
        </w:tc>
      </w:tr>
      <w:tr>
        <w:trPr/>
        <w:tc>
          <w:tcPr>
            <w:tcW w:w="35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500" w:type="dxa"/>
            <w:tcBorders>
              <w:left w:val="single" w:sz="8" w:space="0" w:color="000000"/>
            </w:tcBorders>
            <w:shd w:fill="FFFFFF" w:val="clear"/>
            <w:tcMar>
              <w:left w:w="28" w:type="dxa"/>
            </w:tcMar>
            <w:vAlign w:val="center"/>
          </w:tcPr>
          <w:p>
            <w:pPr>
              <w:pStyle w:val="TableContents"/>
              <w:bidi w:val="0"/>
              <w:spacing w:before="0" w:after="283"/>
              <w:jc w:val="left"/>
              <w:rPr>
                <w:b/>
                <w:sz w:val="20"/>
              </w:rPr>
            </w:pPr>
            <w:r>
              <w:rPr>
                <w:b/>
                <w:sz w:val="20"/>
              </w:rPr>
              <w:t>GAAP net loss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b/>
                <w:sz w:val="20"/>
              </w:rPr>
            </w:pPr>
            <w:r>
              <w:rPr>
                <w:b/>
                <w:sz w:val="20"/>
              </w:rPr>
              <w:t>$</w:t>
            </w:r>
          </w:p>
        </w:tc>
        <w:tc>
          <w:tcPr>
            <w:tcW w:w="708" w:type="dxa"/>
            <w:tcBorders/>
            <w:shd w:fill="FFFFFF" w:val="clear"/>
            <w:vAlign w:val="center"/>
          </w:tcPr>
          <w:p>
            <w:pPr>
              <w:pStyle w:val="TableContents"/>
              <w:bidi w:val="0"/>
              <w:spacing w:before="0" w:after="283"/>
              <w:jc w:val="right"/>
              <w:rPr>
                <w:b/>
                <w:sz w:val="20"/>
              </w:rPr>
            </w:pPr>
            <w:r>
              <w:rPr>
                <w:b/>
                <w:sz w:val="20"/>
              </w:rPr>
              <w:t>(2,910</w:t>
            </w:r>
          </w:p>
        </w:tc>
        <w:tc>
          <w:tcPr>
            <w:tcW w:w="318"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b/>
                <w:sz w:val="20"/>
              </w:rPr>
            </w:pPr>
            <w:r>
              <w:rPr>
                <w:b/>
                <w:sz w:val="20"/>
              </w:rPr>
              <w:t>$</w:t>
            </w:r>
          </w:p>
        </w:tc>
        <w:tc>
          <w:tcPr>
            <w:tcW w:w="708" w:type="dxa"/>
            <w:tcBorders/>
            <w:shd w:fill="FFFFFF" w:val="clear"/>
            <w:vAlign w:val="center"/>
          </w:tcPr>
          <w:p>
            <w:pPr>
              <w:pStyle w:val="TableContents"/>
              <w:bidi w:val="0"/>
              <w:spacing w:before="0" w:after="283"/>
              <w:jc w:val="right"/>
              <w:rPr>
                <w:b/>
                <w:sz w:val="20"/>
              </w:rPr>
            </w:pPr>
            <w:r>
              <w:rPr>
                <w:b/>
                <w:sz w:val="20"/>
              </w:rPr>
              <w:t>(2,282</w:t>
            </w:r>
          </w:p>
        </w:tc>
        <w:tc>
          <w:tcPr>
            <w:tcW w:w="318"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b/>
                <w:sz w:val="20"/>
              </w:rPr>
            </w:pPr>
            <w:r>
              <w:rPr>
                <w:b/>
                <w:sz w:val="20"/>
              </w:rPr>
              <w:t>$</w:t>
            </w:r>
          </w:p>
        </w:tc>
        <w:tc>
          <w:tcPr>
            <w:tcW w:w="708" w:type="dxa"/>
            <w:tcBorders/>
            <w:shd w:fill="FFFFFF" w:val="clear"/>
            <w:vAlign w:val="center"/>
          </w:tcPr>
          <w:p>
            <w:pPr>
              <w:pStyle w:val="TableContents"/>
              <w:bidi w:val="0"/>
              <w:spacing w:before="0" w:after="283"/>
              <w:jc w:val="right"/>
              <w:rPr>
                <w:b/>
                <w:sz w:val="20"/>
              </w:rPr>
            </w:pPr>
            <w:r>
              <w:rPr>
                <w:b/>
                <w:sz w:val="20"/>
              </w:rPr>
              <w:t>(6,334</w:t>
            </w:r>
          </w:p>
        </w:tc>
        <w:tc>
          <w:tcPr>
            <w:tcW w:w="318"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b/>
                <w:sz w:val="20"/>
              </w:rPr>
            </w:pPr>
            <w:r>
              <w:rPr>
                <w:b/>
                <w:sz w:val="20"/>
              </w:rPr>
              <w:t>$</w:t>
            </w:r>
          </w:p>
        </w:tc>
        <w:tc>
          <w:tcPr>
            <w:tcW w:w="756" w:type="dxa"/>
            <w:tcBorders/>
            <w:shd w:fill="FFFFFF" w:val="clear"/>
            <w:vAlign w:val="center"/>
          </w:tcPr>
          <w:p>
            <w:pPr>
              <w:pStyle w:val="TableContents"/>
              <w:bidi w:val="0"/>
              <w:spacing w:before="0" w:after="283"/>
              <w:jc w:val="right"/>
              <w:rPr>
                <w:b/>
                <w:sz w:val="20"/>
              </w:rPr>
            </w:pPr>
            <w:r>
              <w:rPr>
                <w:b/>
                <w:sz w:val="20"/>
              </w:rPr>
              <w:t>(52,622</w:t>
            </w:r>
          </w:p>
        </w:tc>
        <w:tc>
          <w:tcPr>
            <w:tcW w:w="302" w:type="dxa"/>
            <w:tcBorders>
              <w:right w:val="single" w:sz="8" w:space="0" w:color="000000"/>
            </w:tcBorders>
            <w:shd w:fill="FFFFFF" w:val="clear"/>
            <w:tcMar>
              <w:right w:w="28" w:type="dxa"/>
            </w:tcMar>
            <w:vAlign w:val="center"/>
          </w:tcPr>
          <w:p>
            <w:pPr>
              <w:pStyle w:val="TableContents"/>
              <w:bidi w:val="0"/>
              <w:spacing w:before="0" w:after="283"/>
              <w:jc w:val="left"/>
              <w:rPr>
                <w:b/>
                <w:sz w:val="20"/>
              </w:rPr>
            </w:pPr>
            <w:r>
              <w:rPr>
                <w:b/>
                <w:sz w:val="20"/>
              </w:rPr>
              <w:t>)</w:t>
            </w:r>
          </w:p>
        </w:tc>
      </w:tr>
      <w:tr>
        <w:trPr/>
        <w:tc>
          <w:tcPr>
            <w:tcW w:w="3500" w:type="dxa"/>
            <w:tcBorders>
              <w:left w:val="single" w:sz="8" w:space="0" w:color="000000"/>
            </w:tcBorders>
            <w:shd w:fill="CCEEFF" w:val="clear"/>
            <w:tcMar>
              <w:left w:w="200" w:type="dxa"/>
            </w:tcMar>
            <w:vAlign w:val="center"/>
          </w:tcPr>
          <w:p>
            <w:pPr>
              <w:pStyle w:val="TableContents"/>
              <w:bidi w:val="0"/>
              <w:spacing w:before="0" w:after="283"/>
              <w:jc w:val="left"/>
              <w:rPr>
                <w:sz w:val="20"/>
              </w:rPr>
            </w:pPr>
            <w:r>
              <w:rPr>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380</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472</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637</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sz w:val="20"/>
              </w:rPr>
            </w:pPr>
            <w:r>
              <w:rPr>
                <w:sz w:val="20"/>
              </w:rPr>
              <w:t>1,072</w:t>
            </w:r>
          </w:p>
        </w:tc>
        <w:tc>
          <w:tcPr>
            <w:tcW w:w="302"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r>
      <w:tr>
        <w:trPr/>
        <w:tc>
          <w:tcPr>
            <w:tcW w:w="3500" w:type="dxa"/>
            <w:tcBorders>
              <w:left w:val="single" w:sz="8" w:space="0" w:color="000000"/>
            </w:tcBorders>
            <w:shd w:fill="FFFFFF" w:val="clear"/>
            <w:tcMar>
              <w:left w:w="200" w:type="dxa"/>
            </w:tcMar>
            <w:vAlign w:val="center"/>
          </w:tcPr>
          <w:p>
            <w:pPr>
              <w:pStyle w:val="TableContents"/>
              <w:bidi w:val="0"/>
              <w:spacing w:before="0" w:after="283"/>
              <w:jc w:val="left"/>
              <w:rPr>
                <w:sz w:val="20"/>
              </w:rPr>
            </w:pPr>
            <w:r>
              <w:rPr>
                <w:sz w:val="20"/>
              </w:rPr>
              <w:t>Acquired asset amortization</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820</w:t>
            </w:r>
          </w:p>
        </w:tc>
        <w:tc>
          <w:tcPr>
            <w:tcW w:w="3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1,162</w:t>
            </w:r>
          </w:p>
        </w:tc>
        <w:tc>
          <w:tcPr>
            <w:tcW w:w="3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1,640</w:t>
            </w:r>
          </w:p>
        </w:tc>
        <w:tc>
          <w:tcPr>
            <w:tcW w:w="3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sz w:val="20"/>
              </w:rPr>
            </w:pPr>
            <w:r>
              <w:rPr>
                <w:sz w:val="20"/>
              </w:rPr>
              <w:t>2,322</w:t>
            </w:r>
          </w:p>
        </w:tc>
        <w:tc>
          <w:tcPr>
            <w:tcW w:w="302"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3500" w:type="dxa"/>
            <w:tcBorders>
              <w:left w:val="single" w:sz="8" w:space="0" w:color="000000"/>
            </w:tcBorders>
            <w:shd w:fill="CCEEFF" w:val="clear"/>
            <w:tcMar>
              <w:left w:w="200" w:type="dxa"/>
            </w:tcMar>
            <w:vAlign w:val="center"/>
          </w:tcPr>
          <w:p>
            <w:pPr>
              <w:pStyle w:val="TableContents"/>
              <w:bidi w:val="0"/>
              <w:spacing w:before="0" w:after="283"/>
              <w:jc w:val="left"/>
              <w:rPr>
                <w:sz w:val="20"/>
              </w:rPr>
            </w:pPr>
            <w:r>
              <w:rPr>
                <w:sz w:val="20"/>
              </w:rPr>
              <w:t>Goodwill impairment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sz w:val="20"/>
              </w:rPr>
            </w:pPr>
            <w:r>
              <w:rPr>
                <w:sz w:val="20"/>
              </w:rPr>
              <w:t>47,951</w:t>
            </w:r>
          </w:p>
        </w:tc>
        <w:tc>
          <w:tcPr>
            <w:tcW w:w="302"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r>
      <w:tr>
        <w:trPr/>
        <w:tc>
          <w:tcPr>
            <w:tcW w:w="3500" w:type="dxa"/>
            <w:tcBorders>
              <w:left w:val="single" w:sz="8" w:space="0" w:color="000000"/>
            </w:tcBorders>
            <w:shd w:fill="FFFFFF" w:val="clear"/>
            <w:tcMar>
              <w:left w:w="200" w:type="dxa"/>
            </w:tcMar>
            <w:vAlign w:val="center"/>
          </w:tcPr>
          <w:p>
            <w:pPr>
              <w:pStyle w:val="TableContents"/>
              <w:bidi w:val="0"/>
              <w:spacing w:before="0" w:after="283"/>
              <w:jc w:val="left"/>
              <w:rPr>
                <w:sz w:val="20"/>
              </w:rPr>
            </w:pPr>
            <w:r>
              <w:rPr>
                <w:sz w:val="20"/>
              </w:rPr>
              <w:t>Other operating expenses (1)</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318</w:t>
            </w:r>
          </w:p>
        </w:tc>
        <w:tc>
          <w:tcPr>
            <w:tcW w:w="3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200</w:t>
            </w:r>
          </w:p>
        </w:tc>
        <w:tc>
          <w:tcPr>
            <w:tcW w:w="3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553</w:t>
            </w:r>
          </w:p>
        </w:tc>
        <w:tc>
          <w:tcPr>
            <w:tcW w:w="3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sz w:val="20"/>
              </w:rPr>
            </w:pPr>
            <w:r>
              <w:rPr>
                <w:sz w:val="20"/>
              </w:rPr>
              <w:t>464</w:t>
            </w:r>
          </w:p>
        </w:tc>
        <w:tc>
          <w:tcPr>
            <w:tcW w:w="302"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3500" w:type="dxa"/>
            <w:tcBorders>
              <w:left w:val="single" w:sz="8" w:space="0" w:color="000000"/>
            </w:tcBorders>
            <w:shd w:fill="CCEEFF" w:val="clear"/>
            <w:tcMar>
              <w:left w:w="200" w:type="dxa"/>
            </w:tcMar>
            <w:vAlign w:val="center"/>
          </w:tcPr>
          <w:p>
            <w:pPr>
              <w:pStyle w:val="TableContents"/>
              <w:bidi w:val="0"/>
              <w:spacing w:before="0" w:after="283"/>
              <w:jc w:val="left"/>
              <w:rPr>
                <w:sz w:val="20"/>
              </w:rPr>
            </w:pPr>
            <w:r>
              <w:rPr>
                <w:sz w:val="20"/>
              </w:rPr>
              <w:t>Other adjustments (2)</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579</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30</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671</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sz w:val="20"/>
              </w:rPr>
            </w:pPr>
            <w:r>
              <w:rPr>
                <w:sz w:val="20"/>
              </w:rPr>
              <w:t>42</w:t>
            </w:r>
          </w:p>
        </w:tc>
        <w:tc>
          <w:tcPr>
            <w:tcW w:w="302"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r>
      <w:tr>
        <w:trPr/>
        <w:tc>
          <w:tcPr>
            <w:tcW w:w="3500" w:type="dxa"/>
            <w:tcBorders>
              <w:left w:val="single" w:sz="8" w:space="0" w:color="000000"/>
            </w:tcBorders>
            <w:shd w:fill="FFFFFF" w:val="clear"/>
            <w:tcMar>
              <w:left w:w="200" w:type="dxa"/>
            </w:tcMar>
            <w:vAlign w:val="center"/>
          </w:tcPr>
          <w:p>
            <w:pPr>
              <w:pStyle w:val="TableContents"/>
              <w:bidi w:val="0"/>
              <w:spacing w:before="0" w:after="283"/>
              <w:jc w:val="left"/>
              <w:rPr>
                <w:sz w:val="20"/>
              </w:rPr>
            </w:pPr>
            <w:r>
              <w:rPr>
                <w:sz w:val="20"/>
              </w:rPr>
              <w:t>Income taxes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190</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183</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716</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w:t>
            </w:r>
          </w:p>
        </w:tc>
        <w:tc>
          <w:tcPr>
            <w:tcW w:w="302"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sz w:val="20"/>
              </w:rPr>
            </w:pPr>
            <w:r>
              <w:rPr>
                <w:sz w:val="20"/>
              </w:rPr>
              <w:t>)</w:t>
            </w:r>
          </w:p>
        </w:tc>
      </w:tr>
      <w:tr>
        <w:trPr/>
        <w:tc>
          <w:tcPr>
            <w:tcW w:w="3500" w:type="dxa"/>
            <w:tcBorders>
              <w:left w:val="single" w:sz="8" w:space="0" w:color="000000"/>
            </w:tcBorders>
            <w:shd w:fill="CCEEFF" w:val="clear"/>
            <w:tcMar>
              <w:left w:w="28" w:type="dxa"/>
            </w:tcMar>
            <w:vAlign w:val="center"/>
          </w:tcPr>
          <w:p>
            <w:pPr>
              <w:pStyle w:val="TableContents"/>
              <w:bidi w:val="0"/>
              <w:spacing w:before="0" w:after="283"/>
              <w:jc w:val="left"/>
              <w:rPr>
                <w:b/>
                <w:sz w:val="20"/>
              </w:rPr>
            </w:pPr>
            <w:r>
              <w:rPr>
                <w:b/>
                <w:sz w:val="20"/>
              </w:rPr>
              <w:t>Adjusted net (loss) income</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(623</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(235</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(2,117</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(787</w:t>
            </w:r>
          </w:p>
        </w:tc>
        <w:tc>
          <w:tcPr>
            <w:tcW w:w="302"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left"/>
              <w:rPr>
                <w:b/>
                <w:sz w:val="20"/>
              </w:rPr>
            </w:pPr>
            <w:r>
              <w:rPr>
                <w:b/>
                <w:sz w:val="20"/>
              </w:rPr>
              <w:t>)</w:t>
            </w:r>
          </w:p>
        </w:tc>
      </w:tr>
      <w:tr>
        <w:trPr/>
        <w:tc>
          <w:tcPr>
            <w:tcW w:w="3500" w:type="dxa"/>
            <w:tcBorders>
              <w:left w:val="single" w:sz="8" w:space="0" w:color="000000"/>
            </w:tcBorders>
            <w:shd w:fill="FFFFFF" w:val="clear"/>
            <w:tcMar>
              <w:left w:w="200" w:type="dxa"/>
            </w:tcMar>
            <w:vAlign w:val="center"/>
          </w:tcPr>
          <w:p>
            <w:pPr>
              <w:pStyle w:val="TableContents"/>
              <w:bidi w:val="0"/>
              <w:spacing w:before="0" w:after="283"/>
              <w:jc w:val="left"/>
              <w:rPr>
                <w:sz w:val="20"/>
              </w:rPr>
            </w:pPr>
            <w:r>
              <w:rPr>
                <w:sz w:val="20"/>
              </w:rPr>
              <w:t>Depreciation &amp; amortization</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549</w:t>
            </w:r>
          </w:p>
        </w:tc>
        <w:tc>
          <w:tcPr>
            <w:tcW w:w="3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456</w:t>
            </w:r>
          </w:p>
        </w:tc>
        <w:tc>
          <w:tcPr>
            <w:tcW w:w="3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sz w:val="20"/>
              </w:rPr>
            </w:pPr>
            <w:r>
              <w:rPr>
                <w:sz w:val="20"/>
              </w:rPr>
              <w:t>1,086</w:t>
            </w:r>
          </w:p>
        </w:tc>
        <w:tc>
          <w:tcPr>
            <w:tcW w:w="3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sz w:val="20"/>
              </w:rPr>
            </w:pPr>
            <w:r>
              <w:rPr>
                <w:sz w:val="20"/>
              </w:rPr>
              <w:t>950</w:t>
            </w:r>
          </w:p>
        </w:tc>
        <w:tc>
          <w:tcPr>
            <w:tcW w:w="302"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3500" w:type="dxa"/>
            <w:tcBorders>
              <w:left w:val="single" w:sz="8" w:space="0" w:color="000000"/>
            </w:tcBorders>
            <w:shd w:fill="CCEEFF" w:val="clear"/>
            <w:tcMar>
              <w:left w:w="200" w:type="dxa"/>
            </w:tcMar>
            <w:vAlign w:val="center"/>
          </w:tcPr>
          <w:p>
            <w:pPr>
              <w:pStyle w:val="TableContents"/>
              <w:bidi w:val="0"/>
              <w:spacing w:before="0" w:after="283"/>
              <w:jc w:val="left"/>
              <w:rPr>
                <w:sz w:val="20"/>
              </w:rPr>
            </w:pPr>
            <w:r>
              <w:rPr>
                <w:sz w:val="20"/>
              </w:rPr>
              <w:t>Interest and other expense, net  (2) (3)</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1,918</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1,435</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sz w:val="20"/>
              </w:rPr>
            </w:pPr>
            <w:r>
              <w:rPr>
                <w:sz w:val="20"/>
              </w:rPr>
              <w:t>4,051</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sz w:val="20"/>
              </w:rPr>
            </w:pPr>
            <w:r>
              <w:rPr>
                <w:sz w:val="20"/>
              </w:rPr>
              <w:t>2,561</w:t>
            </w:r>
          </w:p>
        </w:tc>
        <w:tc>
          <w:tcPr>
            <w:tcW w:w="302"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r>
      <w:tr>
        <w:trPr/>
        <w:tc>
          <w:tcPr>
            <w:tcW w:w="3500" w:type="dxa"/>
            <w:tcBorders>
              <w:left w:val="single" w:sz="8" w:space="0" w:color="000000"/>
            </w:tcBorders>
            <w:shd w:fill="FFFFFF" w:val="clear"/>
            <w:tcMar>
              <w:left w:w="200" w:type="dxa"/>
            </w:tcMar>
            <w:vAlign w:val="center"/>
          </w:tcPr>
          <w:p>
            <w:pPr>
              <w:pStyle w:val="TableContents"/>
              <w:bidi w:val="0"/>
              <w:spacing w:before="0" w:after="283"/>
              <w:jc w:val="left"/>
              <w:rPr>
                <w:sz w:val="20"/>
              </w:rPr>
            </w:pPr>
            <w:r>
              <w:rPr>
                <w:sz w:val="20"/>
              </w:rPr>
              <w:t>Adjusted income taxes (4)</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(177</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(156</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(579</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(410</w:t>
            </w:r>
          </w:p>
        </w:tc>
        <w:tc>
          <w:tcPr>
            <w:tcW w:w="302"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sz w:val="20"/>
              </w:rPr>
            </w:pPr>
            <w:r>
              <w:rPr>
                <w:sz w:val="20"/>
              </w:rPr>
              <w:t>)</w:t>
            </w:r>
          </w:p>
        </w:tc>
      </w:tr>
      <w:tr>
        <w:trPr/>
        <w:tc>
          <w:tcPr>
            <w:tcW w:w="3500" w:type="dxa"/>
            <w:tcBorders>
              <w:left w:val="single" w:sz="8" w:space="0" w:color="000000"/>
            </w:tcBorders>
            <w:shd w:fill="CCEEFF" w:val="clear"/>
            <w:tcMar>
              <w:left w:w="28" w:type="dxa"/>
            </w:tcMar>
            <w:vAlign w:val="center"/>
          </w:tcPr>
          <w:p>
            <w:pPr>
              <w:pStyle w:val="TableContents"/>
              <w:bidi w:val="0"/>
              <w:spacing w:before="0" w:after="283"/>
              <w:jc w:val="left"/>
              <w:rPr>
                <w:b/>
                <w:sz w:val="20"/>
              </w:rPr>
            </w:pPr>
            <w:r>
              <w:rPr>
                <w:b/>
                <w:sz w:val="20"/>
              </w:rPr>
              <w:t>Adjusted EBITDA</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1,667</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1,500</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2,435</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2,314</w:t>
            </w:r>
          </w:p>
        </w:tc>
        <w:tc>
          <w:tcPr>
            <w:tcW w:w="302" w:type="dxa"/>
            <w:tcBorders>
              <w:bottom w:val="double" w:sz="6" w:space="0" w:color="000000"/>
              <w:right w:val="single" w:sz="8" w:space="0" w:color="000000"/>
            </w:tcBorders>
            <w:shd w:fill="CCEEFF" w:val="clear"/>
            <w:tcMar>
              <w:bottom w:w="28" w:type="dxa"/>
              <w:right w:w="28" w:type="dxa"/>
            </w:tcMar>
            <w:vAlign w:val="center"/>
          </w:tcPr>
          <w:p>
            <w:pPr>
              <w:pStyle w:val="TableContents"/>
              <w:bidi w:val="0"/>
              <w:spacing w:before="0" w:after="283"/>
              <w:jc w:val="left"/>
              <w:rPr/>
            </w:pPr>
            <w:r>
              <w:rPr/>
              <w:t> </w:t>
            </w:r>
          </w:p>
        </w:tc>
      </w:tr>
      <w:tr>
        <w:trPr/>
        <w:tc>
          <w:tcPr>
            <w:tcW w:w="350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sz w:val="20"/>
              </w:rPr>
            </w:pPr>
            <w:r>
              <w:rPr>
                <w:sz w:val="20"/>
              </w:rPr>
              <w:t>Adjusted EBITDA margin</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7.3</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7.3</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5.6</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5.5</w:t>
            </w:r>
          </w:p>
        </w:tc>
        <w:tc>
          <w:tcPr>
            <w:tcW w:w="302"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sz w:val="20"/>
              </w:rPr>
            </w:pPr>
            <w:r>
              <w:rPr>
                <w:sz w:val="20"/>
              </w:rPr>
              <w:t>%</w:t>
            </w:r>
          </w:p>
        </w:tc>
      </w:tr>
      <w:tr>
        <w:trPr/>
        <w:tc>
          <w:tcPr>
            <w:tcW w:w="35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500" w:type="dxa"/>
            <w:tcBorders>
              <w:left w:val="single" w:sz="8" w:space="0" w:color="000000"/>
            </w:tcBorders>
            <w:shd w:fill="FFFFFF" w:val="clear"/>
            <w:tcMar>
              <w:left w:w="28" w:type="dxa"/>
            </w:tcMar>
            <w:vAlign w:val="center"/>
          </w:tcPr>
          <w:p>
            <w:pPr>
              <w:pStyle w:val="TableContents"/>
              <w:bidi w:val="0"/>
              <w:spacing w:before="0" w:after="283"/>
              <w:jc w:val="left"/>
              <w:rPr>
                <w:b/>
                <w:sz w:val="20"/>
              </w:rPr>
            </w:pPr>
            <w:r>
              <w:rPr>
                <w:b/>
                <w:sz w:val="20"/>
              </w:rPr>
              <w:t>Diluted loss per share (GAAP)</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(0.64</w:t>
            </w:r>
          </w:p>
        </w:tc>
        <w:tc>
          <w:tcPr>
            <w:tcW w:w="318"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(0.52</w:t>
            </w:r>
          </w:p>
        </w:tc>
        <w:tc>
          <w:tcPr>
            <w:tcW w:w="318"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(1.41</w:t>
            </w:r>
          </w:p>
        </w:tc>
        <w:tc>
          <w:tcPr>
            <w:tcW w:w="318"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756"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(11.91</w:t>
            </w:r>
          </w:p>
        </w:tc>
        <w:tc>
          <w:tcPr>
            <w:tcW w:w="302" w:type="dxa"/>
            <w:tcBorders>
              <w:bottom w:val="double" w:sz="6" w:space="0" w:color="000000"/>
              <w:right w:val="single" w:sz="8" w:space="0" w:color="000000"/>
            </w:tcBorders>
            <w:shd w:fill="FFFFFF" w:val="clear"/>
            <w:tcMar>
              <w:bottom w:w="28" w:type="dxa"/>
              <w:right w:w="28" w:type="dxa"/>
            </w:tcMar>
            <w:vAlign w:val="center"/>
          </w:tcPr>
          <w:p>
            <w:pPr>
              <w:pStyle w:val="TableContents"/>
              <w:bidi w:val="0"/>
              <w:spacing w:before="0" w:after="283"/>
              <w:jc w:val="left"/>
              <w:rPr>
                <w:b/>
                <w:sz w:val="20"/>
              </w:rPr>
            </w:pPr>
            <w:r>
              <w:rPr>
                <w:b/>
                <w:sz w:val="20"/>
              </w:rPr>
              <w:t>)</w:t>
            </w:r>
          </w:p>
        </w:tc>
      </w:tr>
      <w:tr>
        <w:trPr/>
        <w:tc>
          <w:tcPr>
            <w:tcW w:w="350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302"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r>
      <w:tr>
        <w:trPr/>
        <w:tc>
          <w:tcPr>
            <w:tcW w:w="3500" w:type="dxa"/>
            <w:tcBorders>
              <w:left w:val="single" w:sz="8" w:space="0" w:color="000000"/>
            </w:tcBorders>
            <w:shd w:fill="FFFFFF" w:val="clear"/>
            <w:tcMar>
              <w:left w:w="28" w:type="dxa"/>
            </w:tcMar>
            <w:vAlign w:val="center"/>
          </w:tcPr>
          <w:p>
            <w:pPr>
              <w:pStyle w:val="TableContents"/>
              <w:bidi w:val="0"/>
              <w:spacing w:before="0" w:after="283"/>
              <w:jc w:val="left"/>
              <w:rPr>
                <w:b/>
                <w:sz w:val="20"/>
              </w:rPr>
            </w:pPr>
            <w:r>
              <w:rPr>
                <w:b/>
                <w:sz w:val="20"/>
              </w:rPr>
              <w:t>Diluted adjusted (loss) earnings per share</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(0.14</w:t>
            </w:r>
          </w:p>
        </w:tc>
        <w:tc>
          <w:tcPr>
            <w:tcW w:w="318"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(0.05</w:t>
            </w:r>
          </w:p>
        </w:tc>
        <w:tc>
          <w:tcPr>
            <w:tcW w:w="318"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(0.47</w:t>
            </w:r>
          </w:p>
        </w:tc>
        <w:tc>
          <w:tcPr>
            <w:tcW w:w="318"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756"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(0.18</w:t>
            </w:r>
          </w:p>
        </w:tc>
        <w:tc>
          <w:tcPr>
            <w:tcW w:w="302" w:type="dxa"/>
            <w:tcBorders>
              <w:bottom w:val="double" w:sz="6" w:space="0" w:color="000000"/>
              <w:right w:val="single" w:sz="8" w:space="0" w:color="000000"/>
            </w:tcBorders>
            <w:shd w:fill="FFFFFF" w:val="clear"/>
            <w:tcMar>
              <w:bottom w:w="28" w:type="dxa"/>
              <w:right w:w="28" w:type="dxa"/>
            </w:tcMar>
            <w:vAlign w:val="center"/>
          </w:tcPr>
          <w:p>
            <w:pPr>
              <w:pStyle w:val="TableContents"/>
              <w:bidi w:val="0"/>
              <w:spacing w:before="0" w:after="283"/>
              <w:jc w:val="left"/>
              <w:rPr>
                <w:b/>
                <w:sz w:val="20"/>
              </w:rPr>
            </w:pPr>
            <w:r>
              <w:rPr>
                <w:b/>
                <w:sz w:val="20"/>
              </w:rPr>
              <w:t>)</w:t>
            </w:r>
          </w:p>
        </w:tc>
      </w:tr>
      <w:tr>
        <w:trPr/>
        <w:tc>
          <w:tcPr>
            <w:tcW w:w="3500" w:type="dxa"/>
            <w:tcBorders>
              <w:left w:val="single" w:sz="8" w:space="0" w:color="000000"/>
            </w:tcBorders>
            <w:shd w:fill="CCEEFF" w:val="clear"/>
            <w:tcMar>
              <w:left w:w="28" w:type="dxa"/>
            </w:tcMar>
            <w:vAlign w:val="center"/>
          </w:tcPr>
          <w:p>
            <w:pPr>
              <w:pStyle w:val="TableContents"/>
              <w:bidi w:val="0"/>
              <w:spacing w:before="0" w:after="283"/>
              <w:jc w:val="left"/>
              <w:rPr>
                <w:sz w:val="20"/>
              </w:rPr>
            </w:pPr>
            <w:r>
              <w:rPr>
                <w:sz w:val="20"/>
              </w:rPr>
              <w:t>Weighted-average common shares: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302"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r>
      <w:tr>
        <w:trPr/>
        <w:tc>
          <w:tcPr>
            <w:tcW w:w="3500" w:type="dxa"/>
            <w:tcBorders>
              <w:left w:val="single" w:sz="8" w:space="0" w:color="000000"/>
            </w:tcBorders>
            <w:shd w:fill="FFFFFF" w:val="clear"/>
            <w:tcMar>
              <w:left w:w="200" w:type="dxa"/>
            </w:tcMar>
            <w:vAlign w:val="center"/>
          </w:tcPr>
          <w:p>
            <w:pPr>
              <w:pStyle w:val="TableContents"/>
              <w:bidi w:val="0"/>
              <w:spacing w:before="0" w:after="283"/>
              <w:jc w:val="left"/>
              <w:rPr>
                <w:sz w:val="20"/>
              </w:rPr>
            </w:pPr>
            <w:r>
              <w:rPr>
                <w:sz w:val="20"/>
              </w:rPr>
              <w:t>Diluted GAAP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4,526</w:t>
            </w:r>
          </w:p>
        </w:tc>
        <w:tc>
          <w:tcPr>
            <w:tcW w:w="3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4,430</w:t>
            </w:r>
          </w:p>
        </w:tc>
        <w:tc>
          <w:tcPr>
            <w:tcW w:w="3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4,484</w:t>
            </w:r>
          </w:p>
        </w:tc>
        <w:tc>
          <w:tcPr>
            <w:tcW w:w="3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4,420</w:t>
            </w:r>
          </w:p>
        </w:tc>
        <w:tc>
          <w:tcPr>
            <w:tcW w:w="302" w:type="dxa"/>
            <w:tcBorders>
              <w:bottom w:val="double" w:sz="6"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r>
      <w:tr>
        <w:trPr/>
        <w:tc>
          <w:tcPr>
            <w:tcW w:w="350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3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302"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r>
      <w:tr>
        <w:trPr/>
        <w:tc>
          <w:tcPr>
            <w:tcW w:w="3500" w:type="dxa"/>
            <w:tcBorders>
              <w:left w:val="single" w:sz="8" w:space="0" w:color="000000"/>
            </w:tcBorders>
            <w:shd w:fill="FFFFFF" w:val="clear"/>
            <w:tcMar>
              <w:left w:w="200" w:type="dxa"/>
            </w:tcMar>
            <w:vAlign w:val="center"/>
          </w:tcPr>
          <w:p>
            <w:pPr>
              <w:pStyle w:val="TableContents"/>
              <w:bidi w:val="0"/>
              <w:spacing w:before="0" w:after="283"/>
              <w:jc w:val="left"/>
              <w:rPr>
                <w:sz w:val="20"/>
              </w:rPr>
            </w:pPr>
            <w:r>
              <w:rPr>
                <w:sz w:val="20"/>
              </w:rPr>
              <w:t>Diluted Adjusted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4,526</w:t>
            </w:r>
          </w:p>
        </w:tc>
        <w:tc>
          <w:tcPr>
            <w:tcW w:w="3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4,430</w:t>
            </w:r>
          </w:p>
        </w:tc>
        <w:tc>
          <w:tcPr>
            <w:tcW w:w="3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4,484</w:t>
            </w:r>
          </w:p>
        </w:tc>
        <w:tc>
          <w:tcPr>
            <w:tcW w:w="3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4,420</w:t>
            </w:r>
          </w:p>
        </w:tc>
        <w:tc>
          <w:tcPr>
            <w:tcW w:w="302" w:type="dxa"/>
            <w:tcBorders>
              <w:bottom w:val="double" w:sz="6"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r>
      <w:tr>
        <w:trPr/>
        <w:tc>
          <w:tcPr>
            <w:tcW w:w="350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02"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215" w:type="dxa"/>
        <w:jc w:val="left"/>
        <w:tblInd w:w="-10" w:type="dxa"/>
        <w:tblLayout w:type="fixed"/>
        <w:tblCellMar>
          <w:top w:w="28" w:type="dxa"/>
          <w:left w:w="28" w:type="dxa"/>
          <w:bottom w:w="0" w:type="dxa"/>
          <w:right w:w="0" w:type="dxa"/>
        </w:tblCellMar>
      </w:tblPr>
      <w:tblGrid>
        <w:gridCol w:w="4490"/>
        <w:gridCol w:w="60"/>
        <w:gridCol w:w="125"/>
        <w:gridCol w:w="590"/>
        <w:gridCol w:w="80"/>
        <w:gridCol w:w="60"/>
        <w:gridCol w:w="125"/>
        <w:gridCol w:w="590"/>
        <w:gridCol w:w="95"/>
      </w:tblGrid>
      <w:tr>
        <w:trPr/>
        <w:tc>
          <w:tcPr>
            <w:tcW w:w="4490" w:type="dxa"/>
            <w:tcBorders>
              <w:top w:val="single" w:sz="8" w:space="0" w:color="000000"/>
              <w:left w:val="single" w:sz="8" w:space="0" w:color="000000"/>
            </w:tcBorders>
            <w:vAlign w:val="center"/>
          </w:tcPr>
          <w:p>
            <w:pPr>
              <w:pStyle w:val="TableContents"/>
              <w:bidi w:val="0"/>
              <w:spacing w:before="0" w:after="283"/>
              <w:jc w:val="left"/>
              <w:rPr/>
            </w:pPr>
            <w:r>
              <w:rPr/>
              <w:t> </w:t>
            </w:r>
          </w:p>
        </w:tc>
        <w:tc>
          <w:tcPr>
            <w:tcW w:w="60" w:type="dxa"/>
            <w:tcBorders>
              <w:top w:val="single" w:sz="8" w:space="0" w:color="000000"/>
            </w:tcBorders>
            <w:tcMar>
              <w:left w:w="0" w:type="dxa"/>
            </w:tcMar>
            <w:vAlign w:val="center"/>
          </w:tcPr>
          <w:p>
            <w:pPr>
              <w:pStyle w:val="TableContents"/>
              <w:bidi w:val="0"/>
              <w:spacing w:before="0" w:after="283"/>
              <w:jc w:val="left"/>
              <w:rPr/>
            </w:pPr>
            <w:r>
              <w:rPr/>
              <w:t> </w:t>
            </w:r>
          </w:p>
        </w:tc>
        <w:tc>
          <w:tcPr>
            <w:tcW w:w="1665" w:type="dxa"/>
            <w:gridSpan w:val="7"/>
            <w:tcBorders>
              <w:top w:val="single" w:sz="8" w:space="0" w:color="000000"/>
              <w:right w:val="single" w:sz="8" w:space="0" w:color="000000"/>
            </w:tcBorders>
            <w:tcMar>
              <w:left w:w="0" w:type="dxa"/>
              <w:right w:w="28" w:type="dxa"/>
            </w:tcMar>
            <w:vAlign w:val="center"/>
          </w:tcPr>
          <w:p>
            <w:pPr>
              <w:pStyle w:val="TableContents"/>
              <w:bidi w:val="0"/>
              <w:spacing w:before="0" w:after="283"/>
              <w:jc w:val="center"/>
              <w:rPr>
                <w:b/>
                <w:sz w:val="20"/>
              </w:rPr>
            </w:pPr>
            <w:r>
              <w:rPr>
                <w:b/>
                <w:sz w:val="20"/>
              </w:rPr>
              <w:t>June 30,</w:t>
            </w:r>
          </w:p>
        </w:tc>
      </w:tr>
      <w:tr>
        <w:trPr/>
        <w:tc>
          <w:tcPr>
            <w:tcW w:w="4490" w:type="dxa"/>
            <w:tcBorders>
              <w:left w:val="single" w:sz="8" w:space="0" w:color="000000"/>
            </w:tcBorders>
            <w:tcMar>
              <w:top w:w="0"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795" w:type="dxa"/>
            <w:gridSpan w:val="3"/>
            <w:tcBorders/>
            <w:tcMar>
              <w:top w:w="0" w:type="dxa"/>
              <w:left w:w="0" w:type="dxa"/>
            </w:tcMar>
            <w:vAlign w:val="center"/>
          </w:tcPr>
          <w:p>
            <w:pPr>
              <w:pStyle w:val="TableContents"/>
              <w:bidi w:val="0"/>
              <w:spacing w:before="0" w:after="283"/>
              <w:jc w:val="right"/>
              <w:rPr>
                <w:b/>
                <w:sz w:val="20"/>
              </w:rPr>
            </w:pPr>
            <w:r>
              <w:rPr>
                <w:b/>
                <w:sz w:val="20"/>
              </w:rPr>
              <w:t>2026</w:t>
            </w:r>
          </w:p>
        </w:tc>
        <w:tc>
          <w:tcPr>
            <w:tcW w:w="60" w:type="dxa"/>
            <w:tcBorders/>
            <w:tcMar>
              <w:top w:w="0" w:type="dxa"/>
              <w:left w:w="0" w:type="dxa"/>
            </w:tcMar>
            <w:vAlign w:val="center"/>
          </w:tcPr>
          <w:p>
            <w:pPr>
              <w:pStyle w:val="TableContents"/>
              <w:bidi w:val="0"/>
              <w:spacing w:before="0" w:after="283"/>
              <w:jc w:val="left"/>
              <w:rPr/>
            </w:pPr>
            <w:r>
              <w:rPr/>
              <w:t> </w:t>
            </w:r>
          </w:p>
        </w:tc>
        <w:tc>
          <w:tcPr>
            <w:tcW w:w="810" w:type="dxa"/>
            <w:gridSpan w:val="3"/>
            <w:tcBorders>
              <w:right w:val="single" w:sz="8" w:space="0" w:color="000000"/>
            </w:tcBorders>
            <w:tcMar>
              <w:top w:w="0" w:type="dxa"/>
              <w:left w:w="0" w:type="dxa"/>
              <w:right w:w="28" w:type="dxa"/>
            </w:tcMar>
            <w:vAlign w:val="center"/>
          </w:tcPr>
          <w:p>
            <w:pPr>
              <w:pStyle w:val="TableContents"/>
              <w:bidi w:val="0"/>
              <w:spacing w:before="0" w:after="283"/>
              <w:jc w:val="right"/>
              <w:rPr>
                <w:b/>
                <w:sz w:val="20"/>
              </w:rPr>
            </w:pPr>
            <w:r>
              <w:rPr>
                <w:b/>
                <w:sz w:val="20"/>
              </w:rPr>
              <w:t>2025</w:t>
            </w:r>
          </w:p>
        </w:tc>
      </w:tr>
      <w:tr>
        <w:trPr/>
        <w:tc>
          <w:tcPr>
            <w:tcW w:w="4490" w:type="dxa"/>
            <w:tcBorders>
              <w:left w:val="single" w:sz="8" w:space="0" w:color="000000"/>
            </w:tcBorders>
            <w:shd w:fill="CCEEFF" w:val="clear"/>
            <w:tcMar>
              <w:top w:w="0" w:type="dxa"/>
            </w:tcMar>
            <w:vAlign w:val="center"/>
          </w:tcPr>
          <w:p>
            <w:pPr>
              <w:pStyle w:val="TableContents"/>
              <w:bidi w:val="0"/>
              <w:spacing w:before="0" w:after="283"/>
              <w:jc w:val="left"/>
              <w:rPr>
                <w:b/>
                <w:sz w:val="20"/>
              </w:rPr>
            </w:pPr>
            <w:r>
              <w:rPr>
                <w:b/>
                <w:sz w:val="20"/>
              </w:rPr>
              <w:t>Debt, including unamortized deferred financing costs</w:t>
            </w:r>
          </w:p>
        </w:tc>
        <w:tc>
          <w:tcPr>
            <w:tcW w:w="60" w:type="dxa"/>
            <w:tcBorders/>
            <w:shd w:fill="CCEEFF" w:val="clear"/>
            <w:tcMar>
              <w:top w:w="0" w:type="dxa"/>
              <w:left w:w="0" w:type="dxa"/>
            </w:tcMar>
            <w:vAlign w:val="center"/>
          </w:tcPr>
          <w:p>
            <w:pPr>
              <w:pStyle w:val="TableContents"/>
              <w:bidi w:val="0"/>
              <w:spacing w:before="0" w:after="283"/>
              <w:jc w:val="left"/>
              <w:rPr/>
            </w:pPr>
            <w:r>
              <w:rPr/>
              <w:t> </w:t>
            </w:r>
          </w:p>
        </w:tc>
        <w:tc>
          <w:tcPr>
            <w:tcW w:w="125" w:type="dxa"/>
            <w:tcBorders/>
            <w:shd w:fill="CCEEFF" w:val="clear"/>
            <w:tcMar>
              <w:top w:w="0" w:type="dxa"/>
              <w:left w:w="0" w:type="dxa"/>
            </w:tcMar>
            <w:vAlign w:val="center"/>
          </w:tcPr>
          <w:p>
            <w:pPr>
              <w:pStyle w:val="TableContents"/>
              <w:bidi w:val="0"/>
              <w:spacing w:before="0" w:after="283"/>
              <w:jc w:val="left"/>
              <w:rPr>
                <w:b/>
                <w:sz w:val="20"/>
              </w:rPr>
            </w:pPr>
            <w:r>
              <w:rPr>
                <w:b/>
                <w:sz w:val="20"/>
              </w:rPr>
              <w:t>$</w:t>
            </w:r>
          </w:p>
        </w:tc>
        <w:tc>
          <w:tcPr>
            <w:tcW w:w="590" w:type="dxa"/>
            <w:tcBorders/>
            <w:shd w:fill="CCEEFF" w:val="clear"/>
            <w:tcMar>
              <w:top w:w="0" w:type="dxa"/>
              <w:left w:w="0" w:type="dxa"/>
            </w:tcMar>
            <w:vAlign w:val="center"/>
          </w:tcPr>
          <w:p>
            <w:pPr>
              <w:pStyle w:val="TableContents"/>
              <w:bidi w:val="0"/>
              <w:spacing w:before="0" w:after="283"/>
              <w:jc w:val="right"/>
              <w:rPr>
                <w:b/>
                <w:sz w:val="20"/>
              </w:rPr>
            </w:pPr>
            <w:r>
              <w:rPr>
                <w:b/>
                <w:sz w:val="20"/>
              </w:rPr>
              <w:t>36,682</w:t>
            </w:r>
          </w:p>
        </w:tc>
        <w:tc>
          <w:tcPr>
            <w:tcW w:w="80" w:type="dxa"/>
            <w:tcBorders/>
            <w:shd w:fill="CCEEFF" w:val="clear"/>
            <w:tcMar>
              <w:top w:w="0" w:type="dxa"/>
              <w:left w:w="0" w:type="dxa"/>
            </w:tcMar>
            <w:vAlign w:val="center"/>
          </w:tcPr>
          <w:p>
            <w:pPr>
              <w:pStyle w:val="TableContents"/>
              <w:bidi w:val="0"/>
              <w:spacing w:before="0" w:after="283"/>
              <w:jc w:val="left"/>
              <w:rPr/>
            </w:pPr>
            <w:r>
              <w:rPr/>
              <w:t> </w:t>
            </w:r>
          </w:p>
        </w:tc>
        <w:tc>
          <w:tcPr>
            <w:tcW w:w="60" w:type="dxa"/>
            <w:tcBorders/>
            <w:shd w:fill="CCEEFF" w:val="clear"/>
            <w:tcMar>
              <w:top w:w="0" w:type="dxa"/>
              <w:left w:w="0" w:type="dxa"/>
            </w:tcMar>
            <w:vAlign w:val="center"/>
          </w:tcPr>
          <w:p>
            <w:pPr>
              <w:pStyle w:val="TableContents"/>
              <w:bidi w:val="0"/>
              <w:spacing w:before="0" w:after="283"/>
              <w:jc w:val="left"/>
              <w:rPr/>
            </w:pPr>
            <w:r>
              <w:rPr/>
              <w:t> </w:t>
            </w:r>
          </w:p>
        </w:tc>
        <w:tc>
          <w:tcPr>
            <w:tcW w:w="125" w:type="dxa"/>
            <w:tcBorders/>
            <w:shd w:fill="CCEEFF" w:val="clear"/>
            <w:tcMar>
              <w:top w:w="0" w:type="dxa"/>
              <w:left w:w="0" w:type="dxa"/>
            </w:tcMar>
            <w:vAlign w:val="center"/>
          </w:tcPr>
          <w:p>
            <w:pPr>
              <w:pStyle w:val="TableContents"/>
              <w:bidi w:val="0"/>
              <w:spacing w:before="0" w:after="283"/>
              <w:jc w:val="left"/>
              <w:rPr>
                <w:b/>
                <w:sz w:val="20"/>
              </w:rPr>
            </w:pPr>
            <w:r>
              <w:rPr>
                <w:b/>
                <w:sz w:val="20"/>
              </w:rPr>
              <w:t>$</w:t>
            </w:r>
          </w:p>
        </w:tc>
        <w:tc>
          <w:tcPr>
            <w:tcW w:w="590" w:type="dxa"/>
            <w:tcBorders/>
            <w:shd w:fill="CCEEFF" w:val="clear"/>
            <w:tcMar>
              <w:top w:w="0" w:type="dxa"/>
              <w:left w:w="0" w:type="dxa"/>
            </w:tcMar>
            <w:vAlign w:val="center"/>
          </w:tcPr>
          <w:p>
            <w:pPr>
              <w:pStyle w:val="TableContents"/>
              <w:bidi w:val="0"/>
              <w:spacing w:before="0" w:after="283"/>
              <w:jc w:val="right"/>
              <w:rPr>
                <w:b/>
                <w:sz w:val="20"/>
              </w:rPr>
            </w:pPr>
            <w:r>
              <w:rPr>
                <w:b/>
                <w:sz w:val="20"/>
              </w:rPr>
              <w:t>34,864</w:t>
            </w:r>
          </w:p>
        </w:tc>
        <w:tc>
          <w:tcPr>
            <w:tcW w:w="95" w:type="dxa"/>
            <w:tcBorders>
              <w:right w:val="single" w:sz="8" w:space="0" w:color="000000"/>
            </w:tcBorders>
            <w:shd w:fill="CCEEFF" w:val="clear"/>
            <w:tcMar>
              <w:top w:w="0" w:type="dxa"/>
              <w:left w:w="0" w:type="dxa"/>
              <w:right w:w="28" w:type="dxa"/>
            </w:tcMar>
            <w:vAlign w:val="center"/>
          </w:tcPr>
          <w:p>
            <w:pPr>
              <w:pStyle w:val="TableContents"/>
              <w:bidi w:val="0"/>
              <w:spacing w:before="0" w:after="283"/>
              <w:jc w:val="left"/>
              <w:rPr/>
            </w:pPr>
            <w:r>
              <w:rPr/>
              <w:t> </w:t>
            </w:r>
          </w:p>
        </w:tc>
      </w:tr>
      <w:tr>
        <w:trPr/>
        <w:tc>
          <w:tcPr>
            <w:tcW w:w="4490" w:type="dxa"/>
            <w:tcBorders>
              <w:left w:val="single" w:sz="8" w:space="0" w:color="000000"/>
            </w:tcBorders>
            <w:shd w:fill="FFFFFF" w:val="clear"/>
            <w:tcMar>
              <w:top w:w="0" w:type="dxa"/>
            </w:tcMar>
            <w:vAlign w:val="center"/>
          </w:tcPr>
          <w:p>
            <w:pPr>
              <w:pStyle w:val="TableContents"/>
              <w:bidi w:val="0"/>
              <w:spacing w:before="0" w:after="283"/>
              <w:jc w:val="left"/>
              <w:rPr>
                <w:sz w:val="20"/>
              </w:rPr>
            </w:pPr>
            <w:r>
              <w:rPr>
                <w:sz w:val="20"/>
              </w:rPr>
              <w:t>Unamortized deferred financing costs</w:t>
            </w:r>
          </w:p>
        </w:tc>
        <w:tc>
          <w:tcPr>
            <w:tcW w:w="60" w:type="dxa"/>
            <w:tcBorders/>
            <w:shd w:fill="FFFFFF" w:val="clear"/>
            <w:tcMar>
              <w:top w:w="0" w:type="dxa"/>
              <w:left w:w="0" w:type="dxa"/>
            </w:tcMar>
            <w:vAlign w:val="center"/>
          </w:tcPr>
          <w:p>
            <w:pPr>
              <w:pStyle w:val="TableContents"/>
              <w:bidi w:val="0"/>
              <w:spacing w:before="0" w:after="283"/>
              <w:jc w:val="left"/>
              <w:rPr/>
            </w:pPr>
            <w:r>
              <w:rPr/>
              <w:t> </w:t>
            </w:r>
          </w:p>
        </w:tc>
        <w:tc>
          <w:tcPr>
            <w:tcW w:w="125" w:type="dxa"/>
            <w:tcBorders/>
            <w:shd w:fill="FFFFFF" w:val="clear"/>
            <w:tcMar>
              <w:top w:w="0" w:type="dxa"/>
              <w:lef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tcMar>
            <w:vAlign w:val="center"/>
          </w:tcPr>
          <w:p>
            <w:pPr>
              <w:pStyle w:val="TableContents"/>
              <w:bidi w:val="0"/>
              <w:spacing w:before="0" w:after="283"/>
              <w:jc w:val="right"/>
              <w:rPr>
                <w:sz w:val="20"/>
              </w:rPr>
            </w:pPr>
            <w:r>
              <w:rPr>
                <w:sz w:val="20"/>
              </w:rPr>
              <w:t>3,318</w:t>
            </w:r>
          </w:p>
        </w:tc>
        <w:tc>
          <w:tcPr>
            <w:tcW w:w="80" w:type="dxa"/>
            <w:tcBorders/>
            <w:shd w:fill="FFFFFF" w:val="clear"/>
            <w:tcMar>
              <w:top w:w="0" w:type="dxa"/>
              <w:left w:w="0" w:type="dxa"/>
            </w:tcMar>
            <w:vAlign w:val="center"/>
          </w:tcPr>
          <w:p>
            <w:pPr>
              <w:pStyle w:val="TableContents"/>
              <w:bidi w:val="0"/>
              <w:spacing w:before="0" w:after="283"/>
              <w:jc w:val="left"/>
              <w:rPr/>
            </w:pPr>
            <w:r>
              <w:rPr/>
              <w:t> </w:t>
            </w:r>
          </w:p>
        </w:tc>
        <w:tc>
          <w:tcPr>
            <w:tcW w:w="60" w:type="dxa"/>
            <w:tcBorders/>
            <w:shd w:fill="FFFFFF" w:val="clear"/>
            <w:tcMar>
              <w:top w:w="0" w:type="dxa"/>
              <w:left w:w="0" w:type="dxa"/>
            </w:tcMar>
            <w:vAlign w:val="center"/>
          </w:tcPr>
          <w:p>
            <w:pPr>
              <w:pStyle w:val="TableContents"/>
              <w:bidi w:val="0"/>
              <w:spacing w:before="0" w:after="283"/>
              <w:jc w:val="left"/>
              <w:rPr/>
            </w:pPr>
            <w:r>
              <w:rPr/>
              <w:t> </w:t>
            </w:r>
          </w:p>
        </w:tc>
        <w:tc>
          <w:tcPr>
            <w:tcW w:w="125" w:type="dxa"/>
            <w:tcBorders/>
            <w:shd w:fill="FFFFFF" w:val="clear"/>
            <w:tcMar>
              <w:top w:w="0" w:type="dxa"/>
              <w:lef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tcMar>
            <w:vAlign w:val="center"/>
          </w:tcPr>
          <w:p>
            <w:pPr>
              <w:pStyle w:val="TableContents"/>
              <w:bidi w:val="0"/>
              <w:spacing w:before="0" w:after="283"/>
              <w:jc w:val="right"/>
              <w:rPr>
                <w:sz w:val="20"/>
              </w:rPr>
            </w:pPr>
            <w:r>
              <w:rPr>
                <w:sz w:val="20"/>
              </w:rPr>
              <w:t>486</w:t>
            </w:r>
          </w:p>
        </w:tc>
        <w:tc>
          <w:tcPr>
            <w:tcW w:w="9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left"/>
              <w:rPr/>
            </w:pPr>
            <w:r>
              <w:rPr/>
              <w:t> </w:t>
            </w:r>
          </w:p>
        </w:tc>
      </w:tr>
      <w:tr>
        <w:trPr/>
        <w:tc>
          <w:tcPr>
            <w:tcW w:w="4490" w:type="dxa"/>
            <w:tcBorders>
              <w:left w:val="single" w:sz="8" w:space="0" w:color="000000"/>
            </w:tcBorders>
            <w:shd w:fill="CCEEFF" w:val="clear"/>
            <w:tcMar>
              <w:top w:w="0" w:type="dxa"/>
            </w:tcMar>
            <w:vAlign w:val="center"/>
          </w:tcPr>
          <w:p>
            <w:pPr>
              <w:pStyle w:val="TableContents"/>
              <w:bidi w:val="0"/>
              <w:spacing w:before="0" w:after="283"/>
              <w:jc w:val="left"/>
              <w:rPr>
                <w:sz w:val="20"/>
              </w:rPr>
            </w:pPr>
            <w:r>
              <w:rPr>
                <w:sz w:val="20"/>
              </w:rPr>
              <w:t>Cash and cash equivalents</w:t>
            </w:r>
          </w:p>
        </w:tc>
        <w:tc>
          <w:tcPr>
            <w:tcW w:w="60" w:type="dxa"/>
            <w:tcBorders/>
            <w:shd w:fill="CCEEFF" w:val="clear"/>
            <w:tcMar>
              <w:top w:w="0" w:type="dxa"/>
              <w:left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top w:w="0" w:type="dxa"/>
              <w:left w:w="0" w:type="dxa"/>
              <w:bottom w:w="28" w:type="dxa"/>
            </w:tcMar>
            <w:vAlign w:val="center"/>
          </w:tcPr>
          <w:p>
            <w:pPr>
              <w:pStyle w:val="TableContents"/>
              <w:bidi w:val="0"/>
              <w:spacing w:before="0" w:after="283"/>
              <w:jc w:val="right"/>
              <w:rPr>
                <w:sz w:val="20"/>
              </w:rPr>
            </w:pPr>
            <w:r>
              <w:rPr>
                <w:sz w:val="20"/>
              </w:rPr>
              <w:t>(6,503</w:t>
            </w:r>
          </w:p>
        </w:tc>
        <w:tc>
          <w:tcPr>
            <w:tcW w:w="80" w:type="dxa"/>
            <w:tcBorders>
              <w:bottom w:val="single" w:sz="8" w:space="0" w:color="000000"/>
            </w:tcBorders>
            <w:shd w:fill="CCEEFF" w:val="clear"/>
            <w:tcMar>
              <w:top w:w="0" w:type="dxa"/>
              <w:left w:w="0" w:type="dxa"/>
              <w:bottom w:w="28" w:type="dxa"/>
            </w:tcMar>
            <w:vAlign w:val="center"/>
          </w:tcPr>
          <w:p>
            <w:pPr>
              <w:pStyle w:val="TableContents"/>
              <w:bidi w:val="0"/>
              <w:spacing w:before="0" w:after="283"/>
              <w:jc w:val="left"/>
              <w:rPr>
                <w:sz w:val="20"/>
              </w:rPr>
            </w:pPr>
            <w:r>
              <w:rPr>
                <w:sz w:val="20"/>
              </w:rPr>
              <w:t>)</w:t>
            </w:r>
          </w:p>
        </w:tc>
        <w:tc>
          <w:tcPr>
            <w:tcW w:w="60" w:type="dxa"/>
            <w:tcBorders/>
            <w:shd w:fill="CCEEFF" w:val="clear"/>
            <w:tcMar>
              <w:top w:w="0" w:type="dxa"/>
              <w:left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top w:w="0" w:type="dxa"/>
              <w:left w:w="0" w:type="dxa"/>
              <w:bottom w:w="28" w:type="dxa"/>
            </w:tcMar>
            <w:vAlign w:val="center"/>
          </w:tcPr>
          <w:p>
            <w:pPr>
              <w:pStyle w:val="TableContents"/>
              <w:bidi w:val="0"/>
              <w:spacing w:before="0" w:after="283"/>
              <w:jc w:val="right"/>
              <w:rPr>
                <w:sz w:val="20"/>
              </w:rPr>
            </w:pPr>
            <w:r>
              <w:rPr>
                <w:sz w:val="20"/>
              </w:rPr>
              <w:t>(7,442</w:t>
            </w:r>
          </w:p>
        </w:tc>
        <w:tc>
          <w:tcPr>
            <w:tcW w:w="95" w:type="dxa"/>
            <w:tcBorders>
              <w:bottom w:val="single" w:sz="8" w:space="0" w:color="000000"/>
              <w:right w:val="single" w:sz="8" w:space="0" w:color="000000"/>
            </w:tcBorders>
            <w:shd w:fill="CCEEFF" w:val="clear"/>
            <w:tcMar>
              <w:top w:w="0" w:type="dxa"/>
              <w:left w:w="0" w:type="dxa"/>
              <w:bottom w:w="28" w:type="dxa"/>
              <w:right w:w="28" w:type="dxa"/>
            </w:tcMar>
            <w:vAlign w:val="center"/>
          </w:tcPr>
          <w:p>
            <w:pPr>
              <w:pStyle w:val="TableContents"/>
              <w:bidi w:val="0"/>
              <w:spacing w:before="0" w:after="283"/>
              <w:jc w:val="left"/>
              <w:rPr>
                <w:sz w:val="20"/>
              </w:rPr>
            </w:pPr>
            <w:r>
              <w:rPr>
                <w:sz w:val="20"/>
              </w:rPr>
              <w:t>)</w:t>
            </w:r>
          </w:p>
        </w:tc>
      </w:tr>
      <w:tr>
        <w:trPr/>
        <w:tc>
          <w:tcPr>
            <w:tcW w:w="4490" w:type="dxa"/>
            <w:tcBorders>
              <w:left w:val="single" w:sz="8" w:space="0" w:color="000000"/>
            </w:tcBorders>
            <w:shd w:fill="FFFFFF" w:val="clear"/>
            <w:tcMar>
              <w:top w:w="0" w:type="dxa"/>
            </w:tcMar>
            <w:vAlign w:val="center"/>
          </w:tcPr>
          <w:p>
            <w:pPr>
              <w:pStyle w:val="TableContents"/>
              <w:bidi w:val="0"/>
              <w:spacing w:before="0" w:after="283"/>
              <w:jc w:val="left"/>
              <w:rPr>
                <w:b/>
                <w:sz w:val="20"/>
              </w:rPr>
            </w:pPr>
            <w:r>
              <w:rPr>
                <w:b/>
                <w:sz w:val="20"/>
              </w:rPr>
              <w:t>Net debt</w:t>
            </w:r>
          </w:p>
        </w:tc>
        <w:tc>
          <w:tcPr>
            <w:tcW w:w="60" w:type="dxa"/>
            <w:tcBorders/>
            <w:shd w:fill="FFFFFF" w:val="clear"/>
            <w:tcMar>
              <w:top w:w="0" w:type="dxa"/>
              <w:left w:w="0" w:type="dxa"/>
            </w:tcM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top w:w="0" w:type="dxa"/>
              <w:left w:w="0" w:type="dxa"/>
              <w:bottom w:w="28" w:type="dxa"/>
            </w:tcMar>
            <w:vAlign w:val="center"/>
          </w:tcPr>
          <w:p>
            <w:pPr>
              <w:pStyle w:val="TableContents"/>
              <w:bidi w:val="0"/>
              <w:spacing w:before="0" w:after="283"/>
              <w:jc w:val="left"/>
              <w:rPr>
                <w:b/>
                <w:sz w:val="20"/>
              </w:rPr>
            </w:pPr>
            <w:r>
              <w:rPr>
                <w:b/>
                <w:sz w:val="20"/>
              </w:rPr>
              <w:t>$</w:t>
            </w:r>
          </w:p>
        </w:tc>
        <w:tc>
          <w:tcPr>
            <w:tcW w:w="590" w:type="dxa"/>
            <w:tcBorders>
              <w:bottom w:val="double" w:sz="6" w:space="0" w:color="000000"/>
            </w:tcBorders>
            <w:shd w:fill="FFFFFF" w:val="clear"/>
            <w:tcMar>
              <w:top w:w="0" w:type="dxa"/>
              <w:left w:w="0" w:type="dxa"/>
              <w:bottom w:w="28" w:type="dxa"/>
            </w:tcMar>
            <w:vAlign w:val="center"/>
          </w:tcPr>
          <w:p>
            <w:pPr>
              <w:pStyle w:val="TableContents"/>
              <w:bidi w:val="0"/>
              <w:spacing w:before="0" w:after="283"/>
              <w:jc w:val="right"/>
              <w:rPr>
                <w:b/>
                <w:sz w:val="20"/>
              </w:rPr>
            </w:pPr>
            <w:r>
              <w:rPr>
                <w:b/>
                <w:sz w:val="20"/>
              </w:rPr>
              <w:t>33,497</w:t>
            </w:r>
          </w:p>
        </w:tc>
        <w:tc>
          <w:tcPr>
            <w:tcW w:w="80" w:type="dxa"/>
            <w:tcBorders>
              <w:bottom w:val="double" w:sz="6" w:space="0" w:color="000000"/>
            </w:tcBorders>
            <w:shd w:fill="FFFFFF" w:val="clear"/>
            <w:tcMar>
              <w:top w:w="0" w:type="dxa"/>
              <w:left w:w="0" w:type="dxa"/>
              <w:bottom w:w="28" w:type="dxa"/>
            </w:tcMar>
            <w:vAlign w:val="center"/>
          </w:tcPr>
          <w:p>
            <w:pPr>
              <w:pStyle w:val="TableContents"/>
              <w:bidi w:val="0"/>
              <w:spacing w:before="0" w:after="283"/>
              <w:jc w:val="left"/>
              <w:rPr/>
            </w:pPr>
            <w:r>
              <w:rPr/>
              <w:t> </w:t>
            </w:r>
          </w:p>
        </w:tc>
        <w:tc>
          <w:tcPr>
            <w:tcW w:w="60" w:type="dxa"/>
            <w:tcBorders/>
            <w:shd w:fill="FFFFFF" w:val="clear"/>
            <w:tcMar>
              <w:top w:w="0" w:type="dxa"/>
              <w:left w:w="0" w:type="dxa"/>
            </w:tcM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top w:w="0" w:type="dxa"/>
              <w:left w:w="0" w:type="dxa"/>
              <w:bottom w:w="28" w:type="dxa"/>
            </w:tcMar>
            <w:vAlign w:val="center"/>
          </w:tcPr>
          <w:p>
            <w:pPr>
              <w:pStyle w:val="TableContents"/>
              <w:bidi w:val="0"/>
              <w:spacing w:before="0" w:after="283"/>
              <w:jc w:val="left"/>
              <w:rPr>
                <w:b/>
                <w:sz w:val="20"/>
              </w:rPr>
            </w:pPr>
            <w:r>
              <w:rPr>
                <w:b/>
                <w:sz w:val="20"/>
              </w:rPr>
              <w:t>$</w:t>
            </w:r>
          </w:p>
        </w:tc>
        <w:tc>
          <w:tcPr>
            <w:tcW w:w="590" w:type="dxa"/>
            <w:tcBorders>
              <w:bottom w:val="double" w:sz="6" w:space="0" w:color="000000"/>
            </w:tcBorders>
            <w:shd w:fill="FFFFFF" w:val="clear"/>
            <w:tcMar>
              <w:top w:w="0" w:type="dxa"/>
              <w:left w:w="0" w:type="dxa"/>
              <w:bottom w:w="28" w:type="dxa"/>
            </w:tcMar>
            <w:vAlign w:val="center"/>
          </w:tcPr>
          <w:p>
            <w:pPr>
              <w:pStyle w:val="TableContents"/>
              <w:bidi w:val="0"/>
              <w:spacing w:before="0" w:after="283"/>
              <w:jc w:val="right"/>
              <w:rPr>
                <w:b/>
                <w:sz w:val="20"/>
              </w:rPr>
            </w:pPr>
            <w:r>
              <w:rPr>
                <w:b/>
                <w:sz w:val="20"/>
              </w:rPr>
              <w:t>27,908</w:t>
            </w:r>
          </w:p>
        </w:tc>
        <w:tc>
          <w:tcPr>
            <w:tcW w:w="95" w:type="dxa"/>
            <w:tcBorders>
              <w:bottom w:val="double" w:sz="6" w:space="0" w:color="000000"/>
              <w:right w:val="single" w:sz="8" w:space="0" w:color="000000"/>
            </w:tcBorders>
            <w:shd w:fill="FFFFFF" w:val="clear"/>
            <w:tcMar>
              <w:top w:w="0" w:type="dxa"/>
              <w:left w:w="0" w:type="dxa"/>
              <w:bottom w:w="28" w:type="dxa"/>
              <w:right w:w="28" w:type="dxa"/>
            </w:tcMar>
            <w:vAlign w:val="center"/>
          </w:tcPr>
          <w:p>
            <w:pPr>
              <w:pStyle w:val="TableContents"/>
              <w:bidi w:val="0"/>
              <w:spacing w:before="0" w:after="283"/>
              <w:jc w:val="left"/>
              <w:rPr/>
            </w:pPr>
            <w:r>
              <w:rPr/>
              <w:t> </w:t>
            </w:r>
          </w:p>
        </w:tc>
      </w:tr>
      <w:tr>
        <w:trPr/>
        <w:tc>
          <w:tcPr>
            <w:tcW w:w="4490" w:type="dxa"/>
            <w:tcBorders>
              <w:left w:val="single" w:sz="8" w:space="0" w:color="000000"/>
              <w:bottom w:val="single" w:sz="8"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top w:w="0" w:type="dxa"/>
              <w:left w:w="0" w:type="dxa"/>
              <w:bottom w:w="28" w:type="dxa"/>
            </w:tcMar>
            <w:vAlign w:val="center"/>
          </w:tcPr>
          <w:p>
            <w:pPr>
              <w:pStyle w:val="TableContents"/>
              <w:bidi w:val="0"/>
              <w:spacing w:before="0" w:after="283"/>
              <w:jc w:val="right"/>
              <w:rPr/>
            </w:pPr>
            <w:r>
              <w:rPr/>
              <w:t> </w:t>
            </w:r>
          </w:p>
        </w:tc>
        <w:tc>
          <w:tcPr>
            <w:tcW w:w="80" w:type="dxa"/>
            <w:tcBorders>
              <w:bottom w:val="single" w:sz="8"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top w:w="0" w:type="dxa"/>
              <w:left w:w="0" w:type="dxa"/>
              <w:bottom w:w="28" w:type="dxa"/>
            </w:tcMar>
            <w:vAlign w:val="center"/>
          </w:tcPr>
          <w:p>
            <w:pPr>
              <w:pStyle w:val="TableContents"/>
              <w:bidi w:val="0"/>
              <w:spacing w:before="0" w:after="283"/>
              <w:jc w:val="right"/>
              <w:rPr/>
            </w:pPr>
            <w:r>
              <w:rPr/>
              <w:t> </w:t>
            </w:r>
          </w:p>
        </w:tc>
        <w:tc>
          <w:tcPr>
            <w:tcW w:w="95" w:type="dxa"/>
            <w:tcBorders>
              <w:bottom w:val="single" w:sz="8" w:space="0" w:color="000000"/>
              <w:right w:val="single" w:sz="8" w:space="0" w:color="000000"/>
            </w:tcBorders>
            <w:shd w:fill="CCEEFF" w:val="clear"/>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sz w:val="20"/>
        </w:rPr>
      </w:pPr>
      <w:r>
        <w:rPr>
          <w:sz w:val="20"/>
        </w:rPr>
        <w:t>* Retroactively presented to reflect 1-for-10 reverse stock split effective on March 13, 2026.</w:t>
      </w:r>
    </w:p>
    <w:p>
      <w:pPr>
        <w:pStyle w:val="TextBody"/>
        <w:bidi w:val="0"/>
        <w:spacing w:before="0" w:after="0"/>
        <w:jc w:val="left"/>
        <w:rPr/>
      </w:pPr>
      <w:r>
        <w:rPr/>
        <w:t> </w:t>
      </w:r>
    </w:p>
    <w:p>
      <w:pPr>
        <w:pStyle w:val="TextBody"/>
        <w:bidi w:val="0"/>
        <w:spacing w:before="0" w:after="0"/>
        <w:jc w:val="left"/>
        <w:rPr>
          <w:sz w:val="20"/>
        </w:rPr>
      </w:pPr>
      <w:r>
        <w:rPr>
          <w:sz w:val="20"/>
        </w:rPr>
        <w:t>(1) Other operating expenses for the three months ended June 30, 2026 includes $318 thousand of restructuring-related charges compared to $30 thousand of restructuring-related charges and $170 thousand of employee retention tax credit fees for the three months ended June 30, 2025. Other operating expenses for the six months ended June 30, 2026 includes $553 thousand of restructuring-related charges compared to  $123 thousand of restructuring-related charges and  $341 thousand related to ERTC Fees for the six months ended June 30, 2025</w:t>
      </w:r>
    </w:p>
    <w:p>
      <w:pPr>
        <w:pStyle w:val="TextBody"/>
        <w:bidi w:val="0"/>
        <w:spacing w:before="0" w:after="0"/>
        <w:jc w:val="left"/>
        <w:rPr/>
      </w:pPr>
      <w:r>
        <w:rPr/>
        <w:t> </w:t>
      </w:r>
    </w:p>
    <w:p>
      <w:pPr>
        <w:pStyle w:val="TextBody"/>
        <w:bidi w:val="0"/>
        <w:spacing w:before="0" w:after="0"/>
        <w:jc w:val="left"/>
        <w:rPr>
          <w:sz w:val="20"/>
        </w:rPr>
      </w:pPr>
      <w:r>
        <w:rPr>
          <w:sz w:val="20"/>
        </w:rPr>
        <w:t>(2) Other adjustments for the three months ended June 30, 2026 includes $579 thousand of Non-GAAP restructuring-related charges compared to $30 thousand of Non-GAAP restructuring-related charges for the three months ended June 30, 2025. Other adjustments for the six months ended June 30, 2026 includes $671 thousand of Non-GAAP restructuring-related charges compared to  $42 thousand of Non-GAAP restructuring-related charges for the six months ended June 30, 2025</w:t>
      </w:r>
    </w:p>
    <w:p>
      <w:pPr>
        <w:pStyle w:val="TextBody"/>
        <w:bidi w:val="0"/>
        <w:spacing w:before="0" w:after="0"/>
        <w:jc w:val="left"/>
        <w:rPr/>
      </w:pPr>
      <w:r>
        <w:rPr/>
        <w:t> </w:t>
      </w:r>
    </w:p>
    <w:p>
      <w:pPr>
        <w:pStyle w:val="TextBody"/>
        <w:bidi w:val="0"/>
        <w:spacing w:before="0" w:after="0"/>
        <w:jc w:val="left"/>
        <w:rPr>
          <w:sz w:val="20"/>
        </w:rPr>
      </w:pPr>
      <w:r>
        <w:rPr>
          <w:sz w:val="20"/>
        </w:rPr>
        <w:t>(3) Interest expense for the three months ended June 30, 2026 was $1.8 million,compared to $1.0 million for the three months ended June 30, 2025. Interest expense for the six months ended June 30, 2026 was $3.5 million,compared to $1.9 million for the six months ended June 30, 2025.</w:t>
      </w:r>
    </w:p>
    <w:p>
      <w:pPr>
        <w:pStyle w:val="TextBody"/>
        <w:bidi w:val="0"/>
        <w:spacing w:before="0" w:after="0"/>
        <w:jc w:val="left"/>
        <w:rPr/>
      </w:pPr>
      <w:r>
        <w:rPr/>
        <w:t> </w:t>
      </w:r>
    </w:p>
    <w:p>
      <w:pPr>
        <w:pStyle w:val="TextBody"/>
        <w:bidi w:val="0"/>
        <w:spacing w:before="0" w:after="0"/>
        <w:jc w:val="left"/>
        <w:rPr>
          <w:sz w:val="20"/>
        </w:rPr>
      </w:pPr>
      <w:r>
        <w:rPr>
          <w:sz w:val="20"/>
        </w:rPr>
        <w:t>(4) Adjusted income taxes includes the tax effect of adjusting for the reconciling items using the tax rates in the jurisdictions in which the reconciling items arise.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03"/>
        <w:gridCol w:w="60"/>
        <w:gridCol w:w="177"/>
        <w:gridCol w:w="842"/>
        <w:gridCol w:w="113"/>
        <w:gridCol w:w="85"/>
        <w:gridCol w:w="177"/>
        <w:gridCol w:w="842"/>
        <w:gridCol w:w="85"/>
        <w:gridCol w:w="60"/>
        <w:gridCol w:w="99"/>
        <w:gridCol w:w="641"/>
        <w:gridCol w:w="313"/>
        <w:gridCol w:w="60"/>
        <w:gridCol w:w="84"/>
        <w:gridCol w:w="830"/>
        <w:gridCol w:w="112"/>
        <w:gridCol w:w="84"/>
        <w:gridCol w:w="84"/>
        <w:gridCol w:w="830"/>
        <w:gridCol w:w="84"/>
        <w:gridCol w:w="60"/>
        <w:gridCol w:w="119"/>
        <w:gridCol w:w="549"/>
        <w:gridCol w:w="412"/>
      </w:tblGrid>
      <w:tr>
        <w:trPr/>
        <w:tc>
          <w:tcPr>
            <w:tcW w:w="10205" w:type="dxa"/>
            <w:gridSpan w:val="25"/>
            <w:tcBorders/>
            <w:vAlign w:val="center"/>
          </w:tcPr>
          <w:p>
            <w:pPr>
              <w:pStyle w:val="TableContents"/>
              <w:bidi w:val="0"/>
              <w:spacing w:before="0" w:after="283"/>
              <w:jc w:val="center"/>
              <w:rPr>
                <w:b/>
                <w:sz w:val="20"/>
              </w:rPr>
            </w:pPr>
            <w:r>
              <w:rPr>
                <w:b/>
                <w:sz w:val="20"/>
              </w:rPr>
              <w:t>HARVARD BIOSCIENCE, INC.</w:t>
            </w:r>
          </w:p>
        </w:tc>
      </w:tr>
      <w:tr>
        <w:trPr/>
        <w:tc>
          <w:tcPr>
            <w:tcW w:w="10205" w:type="dxa"/>
            <w:gridSpan w:val="25"/>
            <w:tcBorders/>
            <w:vAlign w:val="center"/>
          </w:tcPr>
          <w:p>
            <w:pPr>
              <w:pStyle w:val="TableContents"/>
              <w:bidi w:val="0"/>
              <w:spacing w:before="0" w:after="283"/>
              <w:jc w:val="center"/>
              <w:rPr>
                <w:b/>
                <w:sz w:val="20"/>
              </w:rPr>
            </w:pPr>
            <w:r>
              <w:rPr>
                <w:b/>
                <w:sz w:val="20"/>
              </w:rPr>
              <w:t>Reconciliation of GAAP to Non-GAAP Financial Measures (unaudited)</w:t>
            </w:r>
          </w:p>
        </w:tc>
      </w:tr>
      <w:tr>
        <w:trPr/>
        <w:tc>
          <w:tcPr>
            <w:tcW w:w="10205" w:type="dxa"/>
            <w:gridSpan w:val="25"/>
            <w:tcBorders/>
            <w:vAlign w:val="center"/>
          </w:tcPr>
          <w:p>
            <w:pPr>
              <w:pStyle w:val="TableContents"/>
              <w:bidi w:val="0"/>
              <w:spacing w:before="0" w:after="283"/>
              <w:jc w:val="center"/>
              <w:rPr>
                <w:b/>
                <w:sz w:val="20"/>
              </w:rPr>
            </w:pPr>
            <w:r>
              <w:rPr>
                <w:b/>
                <w:sz w:val="20"/>
              </w:rPr>
              <w:t>(in thousands, except per share data and percentages)</w:t>
            </w:r>
          </w:p>
        </w:tc>
      </w:tr>
      <w:tr>
        <w:trPr/>
        <w:tc>
          <w:tcPr>
            <w:tcW w:w="34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2" w:type="dxa"/>
            <w:gridSpan w:val="3"/>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left"/>
              <w:rPr/>
            </w:pPr>
            <w:r>
              <w:rPr/>
              <w:t> </w:t>
            </w:r>
          </w:p>
        </w:tc>
        <w:tc>
          <w:tcPr>
            <w:tcW w:w="1104"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3"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gridSpan w:val="3"/>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left"/>
              <w:rPr/>
            </w:pPr>
            <w:r>
              <w:rPr/>
              <w:t> </w:t>
            </w:r>
          </w:p>
        </w:tc>
        <w:tc>
          <w:tcPr>
            <w:tcW w:w="998"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0" w:type="dxa"/>
            <w:gridSpan w:val="3"/>
            <w:tcBorders/>
            <w:vAlign w:val="center"/>
          </w:tcPr>
          <w:p>
            <w:pPr>
              <w:pStyle w:val="TableContents"/>
              <w:bidi w:val="0"/>
              <w:spacing w:before="0" w:after="283"/>
              <w:jc w:val="center"/>
              <w:rPr/>
            </w:pPr>
            <w:r>
              <w:rPr/>
              <w:t> </w:t>
            </w:r>
          </w:p>
        </w:tc>
      </w:tr>
      <w:tr>
        <w:trPr/>
        <w:tc>
          <w:tcPr>
            <w:tcW w:w="34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1"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June 30,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53" w:type="dxa"/>
            <w:gridSpan w:val="3"/>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108"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 June 30,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80" w:type="dxa"/>
            <w:gridSpan w:val="3"/>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403" w:type="dxa"/>
            <w:tcBorders/>
            <w:vAlign w:val="center"/>
          </w:tcPr>
          <w:p>
            <w:pPr>
              <w:pStyle w:val="TableContents"/>
              <w:bidi w:val="0"/>
              <w:spacing w:before="0" w:after="283"/>
              <w:jc w:val="left"/>
              <w:rPr>
                <w:b/>
                <w:sz w:val="20"/>
              </w:rPr>
            </w:pPr>
            <w:r>
              <w:rPr>
                <w:b/>
                <w:sz w:val="20"/>
              </w:rPr>
              <w:t>Non-GAAP revenue on a constant currency basis</w:t>
            </w:r>
          </w:p>
        </w:tc>
        <w:tc>
          <w:tcPr>
            <w:tcW w:w="60" w:type="dxa"/>
            <w:tcBorders/>
            <w:vAlign w:val="center"/>
          </w:tcPr>
          <w:p>
            <w:pPr>
              <w:pStyle w:val="TableContents"/>
              <w:bidi w:val="0"/>
              <w:spacing w:before="0" w:after="283"/>
              <w:jc w:val="left"/>
              <w:rPr/>
            </w:pPr>
            <w:r>
              <w:rPr/>
              <w:t> </w:t>
            </w:r>
          </w:p>
        </w:tc>
        <w:tc>
          <w:tcPr>
            <w:tcW w:w="1132"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5" w:type="dxa"/>
            <w:tcBorders/>
            <w:vAlign w:val="center"/>
          </w:tcPr>
          <w:p>
            <w:pPr>
              <w:pStyle w:val="TableContents"/>
              <w:bidi w:val="0"/>
              <w:spacing w:before="0" w:after="283"/>
              <w:jc w:val="left"/>
              <w:rPr/>
            </w:pPr>
            <w:r>
              <w:rPr/>
              <w:t> </w:t>
            </w:r>
          </w:p>
        </w:tc>
        <w:tc>
          <w:tcPr>
            <w:tcW w:w="110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105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Growth Rates</w:t>
            </w:r>
          </w:p>
        </w:tc>
        <w:tc>
          <w:tcPr>
            <w:tcW w:w="60" w:type="dxa"/>
            <w:tcBorders/>
            <w:vAlign w:val="center"/>
          </w:tcPr>
          <w:p>
            <w:pPr>
              <w:pStyle w:val="TableContents"/>
              <w:bidi w:val="0"/>
              <w:spacing w:before="0" w:after="283"/>
              <w:jc w:val="left"/>
              <w:rPr/>
            </w:pPr>
            <w:r>
              <w:rPr/>
              <w:t> </w:t>
            </w:r>
          </w:p>
        </w:tc>
        <w:tc>
          <w:tcPr>
            <w:tcW w:w="102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4" w:type="dxa"/>
            <w:tcBorders/>
            <w:vAlign w:val="center"/>
          </w:tcPr>
          <w:p>
            <w:pPr>
              <w:pStyle w:val="TableContents"/>
              <w:bidi w:val="0"/>
              <w:spacing w:before="0" w:after="283"/>
              <w:jc w:val="left"/>
              <w:rPr/>
            </w:pPr>
            <w:r>
              <w:rPr/>
              <w:t> </w:t>
            </w:r>
          </w:p>
        </w:tc>
        <w:tc>
          <w:tcPr>
            <w:tcW w:w="99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108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Growth Rates</w:t>
            </w:r>
          </w:p>
        </w:tc>
      </w:tr>
      <w:tr>
        <w:trPr/>
        <w:tc>
          <w:tcPr>
            <w:tcW w:w="3403" w:type="dxa"/>
            <w:tcBorders/>
            <w:shd w:fill="CCEEFF" w:val="clear"/>
            <w:vAlign w:val="center"/>
          </w:tcPr>
          <w:p>
            <w:pPr>
              <w:pStyle w:val="TableContents"/>
              <w:bidi w:val="0"/>
              <w:spacing w:before="0" w:after="283"/>
              <w:jc w:val="left"/>
              <w:rPr>
                <w:sz w:val="20"/>
              </w:rPr>
            </w:pPr>
            <w:r>
              <w:rPr>
                <w:sz w:val="20"/>
              </w:rPr>
              <w:t>Total revenues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20"/>
              </w:rPr>
            </w:pPr>
            <w:r>
              <w:rPr>
                <w:sz w:val="20"/>
              </w:rPr>
              <w:t>$</w:t>
            </w:r>
          </w:p>
        </w:tc>
        <w:tc>
          <w:tcPr>
            <w:tcW w:w="842" w:type="dxa"/>
            <w:tcBorders/>
            <w:shd w:fill="CCEEFF" w:val="clear"/>
            <w:vAlign w:val="center"/>
          </w:tcPr>
          <w:p>
            <w:pPr>
              <w:pStyle w:val="TableContents"/>
              <w:bidi w:val="0"/>
              <w:spacing w:before="0" w:after="283"/>
              <w:jc w:val="right"/>
              <w:rPr>
                <w:sz w:val="20"/>
              </w:rPr>
            </w:pPr>
            <w:r>
              <w:rPr>
                <w:sz w:val="20"/>
              </w:rPr>
              <w:t>22,727</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20"/>
              </w:rPr>
            </w:pPr>
            <w:r>
              <w:rPr>
                <w:sz w:val="20"/>
              </w:rPr>
              <w:t>$</w:t>
            </w:r>
          </w:p>
        </w:tc>
        <w:tc>
          <w:tcPr>
            <w:tcW w:w="842" w:type="dxa"/>
            <w:tcBorders/>
            <w:shd w:fill="CCEEFF" w:val="clear"/>
            <w:vAlign w:val="center"/>
          </w:tcPr>
          <w:p>
            <w:pPr>
              <w:pStyle w:val="TableContents"/>
              <w:bidi w:val="0"/>
              <w:spacing w:before="0" w:after="283"/>
              <w:jc w:val="right"/>
              <w:rPr>
                <w:sz w:val="20"/>
              </w:rPr>
            </w:pPr>
            <w:r>
              <w:rPr>
                <w:sz w:val="20"/>
              </w:rPr>
              <w:t>20,450</w:t>
            </w:r>
          </w:p>
        </w:tc>
        <w:tc>
          <w:tcPr>
            <w:tcW w:w="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sz w:val="20"/>
              </w:rPr>
            </w:pPr>
            <w:r>
              <w:rPr>
                <w:sz w:val="20"/>
              </w:rPr>
              <w:t>11.1</w:t>
            </w:r>
          </w:p>
        </w:tc>
        <w:tc>
          <w:tcPr>
            <w:tcW w:w="313"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20"/>
              </w:rPr>
            </w:pPr>
            <w:r>
              <w:rPr>
                <w:sz w:val="20"/>
              </w:rPr>
              <w:t>43,482</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20"/>
              </w:rPr>
            </w:pPr>
            <w:r>
              <w:rPr>
                <w:sz w:val="20"/>
              </w:rPr>
              <w:t>42,224</w:t>
            </w:r>
          </w:p>
        </w:tc>
        <w:tc>
          <w:tcPr>
            <w:tcW w:w="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sz w:val="20"/>
              </w:rPr>
            </w:pPr>
            <w:r>
              <w:rPr>
                <w:sz w:val="20"/>
              </w:rPr>
              <w:t>3.0</w:t>
            </w:r>
          </w:p>
        </w:tc>
        <w:tc>
          <w:tcPr>
            <w:tcW w:w="412" w:type="dxa"/>
            <w:tcBorders/>
            <w:shd w:fill="CCEEFF" w:val="clear"/>
            <w:vAlign w:val="center"/>
          </w:tcPr>
          <w:p>
            <w:pPr>
              <w:pStyle w:val="TableContents"/>
              <w:bidi w:val="0"/>
              <w:spacing w:before="0" w:after="283"/>
              <w:jc w:val="left"/>
              <w:rPr>
                <w:sz w:val="20"/>
              </w:rPr>
            </w:pPr>
            <w:r>
              <w:rPr>
                <w:sz w:val="20"/>
              </w:rPr>
              <w:t>%</w:t>
            </w:r>
          </w:p>
        </w:tc>
      </w:tr>
      <w:tr>
        <w:trPr/>
        <w:tc>
          <w:tcPr>
            <w:tcW w:w="3403" w:type="dxa"/>
            <w:tcBorders/>
            <w:shd w:fill="FFFFFF" w:val="clear"/>
            <w:vAlign w:val="center"/>
          </w:tcPr>
          <w:p>
            <w:pPr>
              <w:pStyle w:val="TableContents"/>
              <w:bidi w:val="0"/>
              <w:spacing w:before="0" w:after="283"/>
              <w:jc w:val="left"/>
              <w:rPr>
                <w:sz w:val="20"/>
              </w:rPr>
            </w:pPr>
            <w:r>
              <w:rPr>
                <w:sz w:val="20"/>
              </w:rPr>
              <w:t>Effects of foreign currency rate fluctuations</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(153</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(791</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pPr>
            <w:r>
              <w:rPr/>
              <w:t> </w:t>
            </w:r>
          </w:p>
        </w:tc>
        <w:tc>
          <w:tcPr>
            <w:tcW w:w="412" w:type="dxa"/>
            <w:tcBorders/>
            <w:shd w:fill="FFFFFF" w:val="clear"/>
            <w:vAlign w:val="center"/>
          </w:tcPr>
          <w:p>
            <w:pPr>
              <w:pStyle w:val="TableContents"/>
              <w:bidi w:val="0"/>
              <w:spacing w:before="0" w:after="283"/>
              <w:jc w:val="left"/>
              <w:rPr/>
            </w:pPr>
            <w:r>
              <w:rPr/>
              <w:t> </w:t>
            </w:r>
          </w:p>
        </w:tc>
      </w:tr>
      <w:tr>
        <w:trPr/>
        <w:tc>
          <w:tcPr>
            <w:tcW w:w="3403" w:type="dxa"/>
            <w:tcBorders/>
            <w:shd w:fill="CCEEFF" w:val="clear"/>
            <w:vAlign w:val="center"/>
          </w:tcPr>
          <w:p>
            <w:pPr>
              <w:pStyle w:val="TableContents"/>
              <w:bidi w:val="0"/>
              <w:spacing w:before="0" w:after="283"/>
              <w:jc w:val="left"/>
              <w:rPr>
                <w:sz w:val="20"/>
              </w:rPr>
            </w:pPr>
            <w:r>
              <w:rPr>
                <w:sz w:val="20"/>
              </w:rPr>
              <w:t>Revenue on a constant currency basis</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22,574</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20,450</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sz w:val="20"/>
              </w:rPr>
            </w:pPr>
            <w:r>
              <w:rPr>
                <w:sz w:val="20"/>
              </w:rPr>
              <w:t>10.4</w:t>
            </w:r>
          </w:p>
        </w:tc>
        <w:tc>
          <w:tcPr>
            <w:tcW w:w="313"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42,691</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42,224</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sz w:val="20"/>
              </w:rPr>
            </w:pPr>
            <w:r>
              <w:rPr>
                <w:sz w:val="20"/>
              </w:rPr>
              <w:t>1.1</w:t>
            </w:r>
          </w:p>
        </w:tc>
        <w:tc>
          <w:tcPr>
            <w:tcW w:w="412"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48"/>
        <w:gridCol w:w="60"/>
        <w:gridCol w:w="125"/>
        <w:gridCol w:w="590"/>
        <w:gridCol w:w="60"/>
        <w:gridCol w:w="60"/>
        <w:gridCol w:w="63"/>
        <w:gridCol w:w="404"/>
        <w:gridCol w:w="198"/>
        <w:gridCol w:w="60"/>
        <w:gridCol w:w="125"/>
        <w:gridCol w:w="590"/>
        <w:gridCol w:w="60"/>
        <w:gridCol w:w="60"/>
        <w:gridCol w:w="63"/>
        <w:gridCol w:w="404"/>
        <w:gridCol w:w="198"/>
        <w:gridCol w:w="60"/>
        <w:gridCol w:w="125"/>
        <w:gridCol w:w="590"/>
        <w:gridCol w:w="60"/>
        <w:gridCol w:w="60"/>
        <w:gridCol w:w="63"/>
        <w:gridCol w:w="404"/>
        <w:gridCol w:w="198"/>
        <w:gridCol w:w="60"/>
        <w:gridCol w:w="125"/>
        <w:gridCol w:w="590"/>
        <w:gridCol w:w="60"/>
        <w:gridCol w:w="60"/>
        <w:gridCol w:w="63"/>
        <w:gridCol w:w="403"/>
        <w:gridCol w:w="216"/>
      </w:tblGrid>
      <w:tr>
        <w:trPr/>
        <w:tc>
          <w:tcPr>
            <w:tcW w:w="39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0" w:type="dxa"/>
            <w:gridSpan w:val="15"/>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June 30,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335" w:type="dxa"/>
            <w:gridSpan w:val="11"/>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 June 30,</w:t>
            </w:r>
          </w:p>
        </w:tc>
        <w:tc>
          <w:tcPr>
            <w:tcW w:w="60" w:type="dxa"/>
            <w:tcBorders/>
            <w:vAlign w:val="center"/>
          </w:tcPr>
          <w:p>
            <w:pPr>
              <w:pStyle w:val="TableContents"/>
              <w:bidi w:val="0"/>
              <w:spacing w:before="0" w:after="283"/>
              <w:jc w:val="left"/>
              <w:rPr/>
            </w:pPr>
            <w:r>
              <w:rPr/>
              <w:t> </w:t>
            </w:r>
          </w:p>
        </w:tc>
        <w:tc>
          <w:tcPr>
            <w:tcW w:w="682" w:type="dxa"/>
            <w:gridSpan w:val="3"/>
            <w:tcBorders/>
            <w:vAlign w:val="center"/>
          </w:tcPr>
          <w:p>
            <w:pPr>
              <w:pStyle w:val="TableContents"/>
              <w:bidi w:val="0"/>
              <w:spacing w:before="0" w:after="283"/>
              <w:jc w:val="left"/>
              <w:rPr/>
            </w:pPr>
            <w:r>
              <w:rPr/>
              <w:t> </w:t>
            </w:r>
          </w:p>
        </w:tc>
      </w:tr>
      <w:tr>
        <w:trPr/>
        <w:tc>
          <w:tcPr>
            <w:tcW w:w="3948" w:type="dxa"/>
            <w:tcBorders/>
            <w:vAlign w:val="center"/>
          </w:tcPr>
          <w:p>
            <w:pPr>
              <w:pStyle w:val="TableContents"/>
              <w:bidi w:val="0"/>
              <w:spacing w:before="0" w:after="283"/>
              <w:jc w:val="left"/>
              <w:rPr>
                <w:b/>
                <w:sz w:val="20"/>
              </w:rPr>
            </w:pPr>
            <w:r>
              <w:rPr>
                <w:b/>
                <w:sz w:val="20"/>
              </w:rPr>
              <w:t>Non-GAAP Gross Profit and Non-GAAP Gross Margin</w:t>
            </w:r>
          </w:p>
        </w:tc>
        <w:tc>
          <w:tcPr>
            <w:tcW w:w="60" w:type="dxa"/>
            <w:tcBorders/>
            <w:vAlign w:val="center"/>
          </w:tcPr>
          <w:p>
            <w:pPr>
              <w:pStyle w:val="TableContents"/>
              <w:bidi w:val="0"/>
              <w:spacing w:before="0" w:after="283"/>
              <w:jc w:val="left"/>
              <w:rPr/>
            </w:pPr>
            <w:r>
              <w:rPr/>
              <w:t> </w:t>
            </w:r>
          </w:p>
        </w:tc>
        <w:tc>
          <w:tcPr>
            <w:tcW w:w="1500"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00"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00"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82" w:type="dxa"/>
            <w:gridSpan w:val="3"/>
            <w:tcBorders/>
            <w:vAlign w:val="center"/>
          </w:tcPr>
          <w:p>
            <w:pPr>
              <w:pStyle w:val="TableContents"/>
              <w:bidi w:val="0"/>
              <w:spacing w:before="0" w:after="283"/>
              <w:jc w:val="left"/>
              <w:rPr/>
            </w:pPr>
            <w:r>
              <w:rPr/>
              <w:t> </w:t>
            </w:r>
          </w:p>
        </w:tc>
      </w:tr>
      <w:tr>
        <w:trPr/>
        <w:tc>
          <w:tcPr>
            <w:tcW w:w="39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Margin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Margin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Margin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2"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Margin</w:t>
            </w:r>
          </w:p>
        </w:tc>
      </w:tr>
      <w:tr>
        <w:trPr/>
        <w:tc>
          <w:tcPr>
            <w:tcW w:w="3948" w:type="dxa"/>
            <w:tcBorders/>
            <w:vAlign w:val="center"/>
          </w:tcPr>
          <w:p>
            <w:pPr>
              <w:pStyle w:val="TableContents"/>
              <w:bidi w:val="0"/>
              <w:spacing w:before="0" w:after="283"/>
              <w:jc w:val="left"/>
              <w:rPr>
                <w:sz w:val="20"/>
              </w:rPr>
            </w:pPr>
            <w:r>
              <w:rPr>
                <w:sz w:val="20"/>
              </w:rPr>
              <w:t>(in thousands)</w:t>
            </w:r>
          </w:p>
        </w:tc>
        <w:tc>
          <w:tcPr>
            <w:tcW w:w="60" w:type="dxa"/>
            <w:tcBorders/>
            <w:vAlign w:val="center"/>
          </w:tcPr>
          <w:p>
            <w:pPr>
              <w:pStyle w:val="TableContents"/>
              <w:bidi w:val="0"/>
              <w:spacing w:before="0" w:after="283"/>
              <w:jc w:val="left"/>
              <w:rPr/>
            </w:pPr>
            <w:r>
              <w:rPr/>
              <w:t> </w:t>
            </w:r>
          </w:p>
        </w:tc>
        <w:tc>
          <w:tcPr>
            <w:tcW w:w="77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6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6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2" w:type="dxa"/>
            <w:gridSpan w:val="3"/>
            <w:tcBorders/>
            <w:vAlign w:val="center"/>
          </w:tcPr>
          <w:p>
            <w:pPr>
              <w:pStyle w:val="TableContents"/>
              <w:bidi w:val="0"/>
              <w:spacing w:before="0" w:after="283"/>
              <w:jc w:val="left"/>
              <w:rPr/>
            </w:pPr>
            <w:r>
              <w:rPr/>
              <w:t> </w:t>
            </w:r>
          </w:p>
        </w:tc>
      </w:tr>
      <w:tr>
        <w:trPr/>
        <w:tc>
          <w:tcPr>
            <w:tcW w:w="3948" w:type="dxa"/>
            <w:tcBorders/>
            <w:shd w:fill="CCEEFF" w:val="clear"/>
            <w:vAlign w:val="center"/>
          </w:tcPr>
          <w:p>
            <w:pPr>
              <w:pStyle w:val="TableContents"/>
              <w:bidi w:val="0"/>
              <w:spacing w:before="0" w:after="283"/>
              <w:jc w:val="left"/>
              <w:rPr>
                <w:sz w:val="20"/>
              </w:rPr>
            </w:pPr>
            <w:r>
              <w:rPr>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12,630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right"/>
              <w:rPr>
                <w:sz w:val="20"/>
              </w:rPr>
            </w:pPr>
            <w:r>
              <w:rPr>
                <w:sz w:val="20"/>
              </w:rPr>
              <w:t>55.6</w:t>
            </w:r>
          </w:p>
        </w:tc>
        <w:tc>
          <w:tcPr>
            <w:tcW w:w="198"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11,533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right"/>
              <w:rPr>
                <w:sz w:val="20"/>
              </w:rPr>
            </w:pPr>
            <w:r>
              <w:rPr>
                <w:sz w:val="20"/>
              </w:rPr>
              <w:t>56.4</w:t>
            </w:r>
          </w:p>
        </w:tc>
        <w:tc>
          <w:tcPr>
            <w:tcW w:w="198"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24,874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right"/>
              <w:rPr>
                <w:sz w:val="20"/>
              </w:rPr>
            </w:pPr>
            <w:r>
              <w:rPr>
                <w:sz w:val="20"/>
              </w:rPr>
              <w:t>57.2</w:t>
            </w:r>
          </w:p>
        </w:tc>
        <w:tc>
          <w:tcPr>
            <w:tcW w:w="198"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23,717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sz w:val="20"/>
              </w:rPr>
            </w:pPr>
            <w:r>
              <w:rPr>
                <w:sz w:val="20"/>
              </w:rPr>
              <w:t>56.2</w:t>
            </w:r>
          </w:p>
        </w:tc>
        <w:tc>
          <w:tcPr>
            <w:tcW w:w="216" w:type="dxa"/>
            <w:tcBorders/>
            <w:shd w:fill="CCEEFF" w:val="clear"/>
            <w:vAlign w:val="center"/>
          </w:tcPr>
          <w:p>
            <w:pPr>
              <w:pStyle w:val="TableContents"/>
              <w:bidi w:val="0"/>
              <w:spacing w:before="0" w:after="283"/>
              <w:jc w:val="left"/>
              <w:rPr>
                <w:sz w:val="20"/>
              </w:rPr>
            </w:pPr>
            <w:r>
              <w:rPr>
                <w:sz w:val="20"/>
              </w:rPr>
              <w:t>%</w:t>
            </w:r>
          </w:p>
        </w:tc>
      </w:tr>
      <w:tr>
        <w:trPr/>
        <w:tc>
          <w:tcPr>
            <w:tcW w:w="3948" w:type="dxa"/>
            <w:tcBorders/>
            <w:shd w:fill="FFFFFF" w:val="clear"/>
            <w:vAlign w:val="center"/>
          </w:tcPr>
          <w:p>
            <w:pPr>
              <w:pStyle w:val="TableContents"/>
              <w:bidi w:val="0"/>
              <w:spacing w:before="0" w:after="283"/>
              <w:jc w:val="left"/>
              <w:rPr>
                <w:sz w:val="20"/>
              </w:rPr>
            </w:pPr>
            <w:r>
              <w:rPr>
                <w:sz w:val="20"/>
              </w:rPr>
              <w:t>Adjustments: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r>
      <w:tr>
        <w:trPr/>
        <w:tc>
          <w:tcPr>
            <w:tcW w:w="3948" w:type="dxa"/>
            <w:tcBorders/>
            <w:shd w:fill="CCEEFF" w:val="clear"/>
            <w:vAlign w:val="center"/>
          </w:tcPr>
          <w:p>
            <w:pPr>
              <w:pStyle w:val="TableContents"/>
              <w:bidi w:val="0"/>
              <w:spacing w:before="0" w:after="283"/>
              <w:jc w:val="left"/>
              <w:rPr>
                <w:sz w:val="20"/>
              </w:rPr>
            </w:pPr>
            <w:r>
              <w:rPr>
                <w:sz w:val="20"/>
              </w:rPr>
              <w:t>Stock-based compensation expense - cost of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right"/>
              <w:rPr>
                <w:sz w:val="20"/>
              </w:rPr>
            </w:pPr>
            <w:r>
              <w:rPr>
                <w:sz w:val="20"/>
              </w:rPr>
              <w:t>0.1</w:t>
            </w:r>
          </w:p>
        </w:tc>
        <w:tc>
          <w:tcPr>
            <w:tcW w:w="198"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right"/>
              <w:rPr>
                <w:sz w:val="20"/>
              </w:rPr>
            </w:pPr>
            <w:r>
              <w:rPr>
                <w:sz w:val="20"/>
              </w:rPr>
              <w:t>0.2</w:t>
            </w:r>
          </w:p>
        </w:tc>
        <w:tc>
          <w:tcPr>
            <w:tcW w:w="198"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right"/>
              <w:rPr>
                <w:sz w:val="20"/>
              </w:rPr>
            </w:pPr>
            <w:r>
              <w:rPr>
                <w:sz w:val="20"/>
              </w:rPr>
              <w:t>0.0</w:t>
            </w:r>
          </w:p>
        </w:tc>
        <w:tc>
          <w:tcPr>
            <w:tcW w:w="198"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sz w:val="20"/>
              </w:rPr>
            </w:pPr>
            <w:r>
              <w:rPr>
                <w:sz w:val="20"/>
              </w:rPr>
              <w:t>0.1</w:t>
            </w:r>
          </w:p>
        </w:tc>
        <w:tc>
          <w:tcPr>
            <w:tcW w:w="216" w:type="dxa"/>
            <w:tcBorders/>
            <w:shd w:fill="CCEEFF" w:val="clear"/>
            <w:vAlign w:val="center"/>
          </w:tcPr>
          <w:p>
            <w:pPr>
              <w:pStyle w:val="TableContents"/>
              <w:bidi w:val="0"/>
              <w:spacing w:before="0" w:after="283"/>
              <w:jc w:val="left"/>
              <w:rPr>
                <w:sz w:val="20"/>
              </w:rPr>
            </w:pPr>
            <w:r>
              <w:rPr>
                <w:sz w:val="20"/>
              </w:rPr>
              <w:t>%</w:t>
            </w:r>
          </w:p>
        </w:tc>
      </w:tr>
      <w:tr>
        <w:trPr/>
        <w:tc>
          <w:tcPr>
            <w:tcW w:w="3948" w:type="dxa"/>
            <w:tcBorders/>
            <w:shd w:fill="FFFFFF" w:val="clear"/>
            <w:vAlign w:val="center"/>
          </w:tcPr>
          <w:p>
            <w:pPr>
              <w:pStyle w:val="TableContents"/>
              <w:bidi w:val="0"/>
              <w:spacing w:before="0" w:after="283"/>
              <w:jc w:val="left"/>
              <w:rPr>
                <w:sz w:val="20"/>
              </w:rPr>
            </w:pPr>
            <w:r>
              <w:rPr>
                <w:sz w:val="20"/>
              </w:rPr>
              <w:t>Depreciation and amortization - cost of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right"/>
              <w:rPr>
                <w:sz w:val="20"/>
              </w:rPr>
            </w:pPr>
            <w:r>
              <w:rPr>
                <w:sz w:val="20"/>
              </w:rPr>
              <w:t>0.9</w:t>
            </w:r>
          </w:p>
        </w:tc>
        <w:tc>
          <w:tcPr>
            <w:tcW w:w="198"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right"/>
              <w:rPr>
                <w:sz w:val="20"/>
              </w:rPr>
            </w:pPr>
            <w:r>
              <w:rPr>
                <w:sz w:val="20"/>
              </w:rPr>
              <w:t>0.7</w:t>
            </w:r>
          </w:p>
        </w:tc>
        <w:tc>
          <w:tcPr>
            <w:tcW w:w="198"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right"/>
              <w:rPr>
                <w:sz w:val="20"/>
              </w:rPr>
            </w:pPr>
            <w:r>
              <w:rPr>
                <w:sz w:val="20"/>
              </w:rPr>
              <w:t>0.9</w:t>
            </w:r>
          </w:p>
        </w:tc>
        <w:tc>
          <w:tcPr>
            <w:tcW w:w="198"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sz w:val="20"/>
              </w:rPr>
            </w:pPr>
            <w:r>
              <w:rPr>
                <w:sz w:val="20"/>
              </w:rPr>
              <w:t>0.7</w:t>
            </w:r>
          </w:p>
        </w:tc>
        <w:tc>
          <w:tcPr>
            <w:tcW w:w="216" w:type="dxa"/>
            <w:tcBorders/>
            <w:shd w:fill="FFFFFF" w:val="clear"/>
            <w:vAlign w:val="center"/>
          </w:tcPr>
          <w:p>
            <w:pPr>
              <w:pStyle w:val="TableContents"/>
              <w:bidi w:val="0"/>
              <w:spacing w:before="0" w:after="283"/>
              <w:jc w:val="left"/>
              <w:rPr>
                <w:sz w:val="20"/>
              </w:rPr>
            </w:pPr>
            <w:r>
              <w:rPr>
                <w:sz w:val="20"/>
              </w:rPr>
              <w:t>%</w:t>
            </w:r>
          </w:p>
        </w:tc>
      </w:tr>
      <w:tr>
        <w:trPr/>
        <w:tc>
          <w:tcPr>
            <w:tcW w:w="3948" w:type="dxa"/>
            <w:tcBorders/>
            <w:shd w:fill="CCEEFF" w:val="clear"/>
            <w:vAlign w:val="center"/>
          </w:tcPr>
          <w:p>
            <w:pPr>
              <w:pStyle w:val="TableContents"/>
              <w:bidi w:val="0"/>
              <w:spacing w:before="0" w:after="283"/>
              <w:jc w:val="left"/>
              <w:rPr>
                <w:sz w:val="20"/>
              </w:rPr>
            </w:pPr>
            <w:r>
              <w:rPr>
                <w:sz w:val="20"/>
              </w:rPr>
              <w:t>Other adjustments - cost of sales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44</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0.2</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45</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0.1</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0.0</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rPr/>
        <w:tc>
          <w:tcPr>
            <w:tcW w:w="3948" w:type="dxa"/>
            <w:tcBorders/>
            <w:shd w:fill="FFFFFF" w:val="clear"/>
            <w:vAlign w:val="center"/>
          </w:tcPr>
          <w:p>
            <w:pPr>
              <w:pStyle w:val="TableContents"/>
              <w:bidi w:val="0"/>
              <w:spacing w:before="0" w:after="283"/>
              <w:jc w:val="left"/>
              <w:rPr>
                <w:sz w:val="20"/>
              </w:rPr>
            </w:pPr>
            <w:r>
              <w:rPr>
                <w:sz w:val="20"/>
              </w:rPr>
              <w:t>Non-GAAP 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12,884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45" w:type="dxa"/>
            </w:tcM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56.7</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bottom w:val="double" w:sz="6" w:space="0" w:color="000000"/>
            </w:tcBorders>
            <w:shd w:fill="FFFFFF" w:val="clear"/>
            <w:tcMar>
              <w:bottom w:w="45" w:type="dxa"/>
            </w:tcM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11,702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45" w:type="dxa"/>
            </w:tcM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57.2</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bottom w:val="double" w:sz="6" w:space="0" w:color="000000"/>
            </w:tcBorders>
            <w:shd w:fill="FFFFFF" w:val="clear"/>
            <w:tcMar>
              <w:bottom w:w="45" w:type="dxa"/>
            </w:tcM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25,339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45" w:type="dxa"/>
            </w:tcM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58.3</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bottom w:val="double" w:sz="6" w:space="0" w:color="000000"/>
            </w:tcBorders>
            <w:shd w:fill="FFFFFF" w:val="clear"/>
            <w:tcMar>
              <w:bottom w:w="45" w:type="dxa"/>
            </w:tcM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24,062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45" w:type="dxa"/>
            </w:tcM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57.0</w:t>
            </w:r>
          </w:p>
        </w:tc>
        <w:tc>
          <w:tcPr>
            <w:tcW w:w="21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r>
    </w:tbl>
    <w:p>
      <w:pPr>
        <w:pStyle w:val="TextBody"/>
        <w:bidi w:val="0"/>
        <w:spacing w:before="0" w:after="283"/>
        <w:jc w:val="left"/>
        <w:rPr/>
      </w:pPr>
      <w:r>
        <w:rPr/>
        <w:t> </w:t>
      </w:r>
    </w:p>
    <w:p>
      <w:pPr>
        <w:pStyle w:val="TextBody"/>
        <w:bidi w:val="0"/>
        <w:spacing w:before="0" w:after="0"/>
        <w:jc w:val="left"/>
        <w:rPr>
          <w:sz w:val="20"/>
        </w:rPr>
      </w:pPr>
      <w:r>
        <w:rPr>
          <w:sz w:val="20"/>
        </w:rPr>
        <w:t>(1) Other adjustments - cost of sales for the three months ended June 30, 2026 includes $44 thousand of Non-GAAP restructuring-related charges compared to $1 thousand of Non-GAAP restructuring-related charges. Other adjustments - cost of sales for the six months ended June 30, 2026 includes $45 thousand of Non-GAAP restructuring-related charges.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3457</Words>
  <Characters>18749</Characters>
  <CharactersWithSpaces>22930</CharactersWithSpaces>
  <Paragraphs>2239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