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 WASHINGTON, DC 20549</w:t>
      </w:r>
    </w:p>
    <w:p>
      <w:pPr>
        <w:spacing w:after="0" w:line="2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____to _____</w:t>
      </w:r>
    </w:p>
    <w:p>
      <w:pPr>
        <w:spacing w:after="0" w:line="225"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p>
      <w:pPr>
        <w:spacing w:after="0" w:line="200" w:lineRule="exact"/>
        <w:rPr>
          <w:sz w:val="24"/>
          <w:szCs w:val="24"/>
          <w:color w:val="auto"/>
        </w:rPr>
      </w:pPr>
    </w:p>
    <w:p>
      <w:pPr>
        <w:spacing w:after="0" w:line="241"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11" w:right="339" w:bottom="1440" w:gutter="0" w:footer="0" w:header="0"/>
        </w:sectPr>
      </w:pPr>
    </w:p>
    <w:p>
      <w:pPr>
        <w:spacing w:after="0" w:line="203"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2">
            <w:col w:w="7660" w:space="720"/>
            <w:col w:w="2860"/>
          </w:cols>
          <w:pgMar w:left="320" w:top="711" w:right="339" w:bottom="1440" w:gutter="0" w:footer="0" w:header="0"/>
          <w:type w:val="continuous"/>
        </w:sectPr>
      </w:pPr>
    </w:p>
    <w:p>
      <w:pPr>
        <w:spacing w:after="0" w:line="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84 October Hill Road, Holliston, Massachusetts 01746</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jc w:val="center"/>
              <w:ind w:right="301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r>
        <w:trPr>
          <w:trHeight w:val="395"/>
        </w:trPr>
        <w:tc>
          <w:tcPr>
            <w:tcW w:w="3540" w:type="dxa"/>
            <w:vAlign w:val="bottom"/>
          </w:tcPr>
          <w:p>
            <w:pPr>
              <w:spacing w:after="0"/>
              <w:rPr>
                <w:sz w:val="24"/>
                <w:szCs w:val="24"/>
                <w:color w:val="auto"/>
              </w:rPr>
            </w:pPr>
          </w:p>
        </w:tc>
        <w:tc>
          <w:tcPr>
            <w:tcW w:w="32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(508) 893-8999</w:t>
            </w:r>
          </w:p>
        </w:tc>
        <w:tc>
          <w:tcPr>
            <w:tcW w:w="4460" w:type="dxa"/>
            <w:vAlign w:val="bottom"/>
          </w:tcPr>
          <w:p>
            <w:pPr>
              <w:spacing w:after="0"/>
              <w:rPr>
                <w:sz w:val="24"/>
                <w:szCs w:val="24"/>
                <w:color w:val="auto"/>
              </w:rPr>
            </w:pPr>
          </w:p>
        </w:tc>
      </w:tr>
      <w:tr>
        <w:trPr>
          <w:trHeight w:val="234"/>
        </w:trPr>
        <w:tc>
          <w:tcPr>
            <w:tcW w:w="3540" w:type="dxa"/>
            <w:vAlign w:val="bottom"/>
          </w:tcPr>
          <w:p>
            <w:pPr>
              <w:spacing w:after="0"/>
              <w:rPr>
                <w:sz w:val="20"/>
                <w:szCs w:val="20"/>
                <w:color w:val="auto"/>
              </w:rPr>
            </w:pPr>
          </w:p>
        </w:tc>
        <w:tc>
          <w:tcPr>
            <w:tcW w:w="7700" w:type="dxa"/>
            <w:vAlign w:val="bottom"/>
            <w:gridSpan w:val="3"/>
          </w:tcPr>
          <w:p>
            <w:pPr>
              <w:jc w:val="center"/>
              <w:ind w:right="30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6780" w:type="dxa"/>
            <w:vAlign w:val="bottom"/>
            <w:gridSpan w:val="3"/>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r>
              <w:rPr>
                <w:rFonts w:ascii="Times New Roman" w:cs="Times New Roman" w:eastAsia="Times New Roman" w:hAnsi="Times New Roman"/>
                <w:sz w:val="18"/>
                <w:szCs w:val="18"/>
                <w:color w:val="auto"/>
                <w:w w:val="99"/>
              </w:rPr>
              <w:t>:</w:t>
            </w:r>
          </w:p>
        </w:tc>
        <w:tc>
          <w:tcPr>
            <w:tcW w:w="4460" w:type="dxa"/>
            <w:vAlign w:val="bottom"/>
          </w:tcPr>
          <w:p>
            <w:pPr>
              <w:spacing w:after="0"/>
              <w:rPr>
                <w:sz w:val="24"/>
                <w:szCs w:val="24"/>
                <w:color w:val="auto"/>
              </w:rPr>
            </w:pPr>
          </w:p>
        </w:tc>
      </w:tr>
      <w:tr>
        <w:trPr>
          <w:trHeight w:val="253"/>
        </w:trPr>
        <w:tc>
          <w:tcPr>
            <w:tcW w:w="3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tcPr>
          <w:p>
            <w:pPr>
              <w:spacing w:after="0"/>
              <w:rPr>
                <w:sz w:val="21"/>
                <w:szCs w:val="21"/>
                <w:color w:val="auto"/>
              </w:rPr>
            </w:pPr>
          </w:p>
        </w:tc>
      </w:tr>
      <w:tr>
        <w:trPr>
          <w:trHeight w:val="189"/>
        </w:trPr>
        <w:tc>
          <w:tcPr>
            <w:tcW w:w="3540" w:type="dxa"/>
            <w:vAlign w:val="bottom"/>
            <w:tcBorders>
              <w:left w:val="single" w:sz="8" w:color="auto"/>
              <w:bottom w:val="single" w:sz="8" w:color="auto"/>
            </w:tcBorders>
          </w:tcPr>
          <w:p>
            <w:pPr>
              <w:jc w:val="center"/>
              <w:ind w:left="870"/>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96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446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3540" w:type="dxa"/>
            <w:vAlign w:val="bottom"/>
            <w:tcBorders>
              <w:left w:val="single" w:sz="8" w:color="auto"/>
              <w:bottom w:val="single" w:sz="8" w:color="auto"/>
            </w:tcBorders>
          </w:tcPr>
          <w:p>
            <w:pPr>
              <w:jc w:val="center"/>
              <w:ind w:left="890"/>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96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HBIO</w:t>
            </w:r>
          </w:p>
        </w:tc>
        <w:tc>
          <w:tcPr>
            <w:tcW w:w="44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11" w:right="339" w:bottom="1440"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040" w:space="720"/>
            <w:col w:w="7480"/>
          </w:cols>
          <w:pgMar w:left="320" w:top="711" w:right="339" w:bottom="1440" w:gutter="0" w:footer="0" w:header="0"/>
          <w:type w:val="continuous"/>
        </w:sectPr>
      </w:pPr>
    </w:p>
    <w:p>
      <w:pPr>
        <w:spacing w:after="0" w:line="1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29, 2022, there were 41,636,502 shares of the registrant’s common stock issued and outstanding.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96"/>
        </w:trPr>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80" w:type="dxa"/>
            <w:vAlign w:val="bottom"/>
            <w:gridSpan w:val="6"/>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391"/>
        </w:trPr>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18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Pr>
          <w:p>
            <w:pPr>
              <w:spacing w:after="0"/>
              <w:rPr>
                <w:sz w:val="24"/>
                <w:szCs w:val="24"/>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 1.</w:t>
            </w:r>
          </w:p>
        </w:tc>
        <w:tc>
          <w:tcPr>
            <w:tcW w:w="81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18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Pr>
          <w:p>
            <w:pPr>
              <w:spacing w:after="0"/>
              <w:rPr>
                <w:sz w:val="24"/>
                <w:szCs w:val="24"/>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3860" w:type="dxa"/>
            <w:vAlign w:val="bottom"/>
            <w:gridSpan w:val="4"/>
          </w:tcPr>
          <w:p>
            <w:pPr>
              <w:spacing w:after="0"/>
              <w:rPr>
                <w:sz w:val="24"/>
                <w:szCs w:val="24"/>
                <w:color w:val="auto"/>
              </w:rPr>
            </w:pPr>
          </w:p>
        </w:tc>
        <w:tc>
          <w:tcPr>
            <w:tcW w:w="18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5180" w:type="dxa"/>
            <w:vAlign w:val="bottom"/>
            <w:gridSpan w:val="8"/>
          </w:tcPr>
          <w:p>
            <w:pPr>
              <w:spacing w:after="0"/>
              <w:rPr>
                <w:sz w:val="24"/>
                <w:szCs w:val="24"/>
                <w:color w:val="auto"/>
              </w:rPr>
            </w:pPr>
          </w:p>
        </w:tc>
        <w:tc>
          <w:tcPr>
            <w:tcW w:w="18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0000EE"/>
                <w:w w:val="88"/>
              </w:rPr>
              <w:t>4</w:t>
            </w:r>
          </w:p>
        </w:tc>
        <w:tc>
          <w:tcPr>
            <w:tcW w:w="1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8"/>
              </w:rPr>
              <w:t>Consolidated Statements of Comprehensive Loss</w:t>
            </w:r>
          </w:p>
        </w:tc>
        <w:tc>
          <w:tcPr>
            <w:tcW w:w="4480" w:type="dxa"/>
            <w:vAlign w:val="bottom"/>
            <w:gridSpan w:val="6"/>
          </w:tcPr>
          <w:p>
            <w:pPr>
              <w:spacing w:after="0"/>
              <w:rPr>
                <w:sz w:val="24"/>
                <w:szCs w:val="24"/>
                <w:color w:val="auto"/>
              </w:rPr>
            </w:pPr>
          </w:p>
        </w:tc>
        <w:tc>
          <w:tcPr>
            <w:tcW w:w="18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0000EE"/>
                <w:w w:val="88"/>
              </w:rPr>
              <w:t>5</w:t>
            </w:r>
          </w:p>
        </w:tc>
        <w:tc>
          <w:tcPr>
            <w:tcW w:w="1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8"/>
              </w:rPr>
              <w:t>Consolidated Statements of Stockholders' Equity</w:t>
            </w:r>
          </w:p>
        </w:tc>
        <w:tc>
          <w:tcPr>
            <w:tcW w:w="4480" w:type="dxa"/>
            <w:vAlign w:val="bottom"/>
            <w:gridSpan w:val="6"/>
          </w:tcPr>
          <w:p>
            <w:pPr>
              <w:spacing w:after="0"/>
              <w:rPr>
                <w:sz w:val="24"/>
                <w:szCs w:val="24"/>
                <w:color w:val="auto"/>
              </w:rPr>
            </w:pPr>
          </w:p>
        </w:tc>
        <w:tc>
          <w:tcPr>
            <w:tcW w:w="18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0000EE"/>
                <w:w w:val="88"/>
              </w:rPr>
              <w:t>6</w:t>
            </w:r>
          </w:p>
        </w:tc>
        <w:tc>
          <w:tcPr>
            <w:tcW w:w="1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4480" w:type="dxa"/>
            <w:vAlign w:val="bottom"/>
            <w:gridSpan w:val="6"/>
          </w:tcPr>
          <w:p>
            <w:pPr>
              <w:spacing w:after="0"/>
              <w:rPr>
                <w:sz w:val="24"/>
                <w:szCs w:val="24"/>
                <w:color w:val="auto"/>
              </w:rPr>
            </w:pPr>
          </w:p>
        </w:tc>
        <w:tc>
          <w:tcPr>
            <w:tcW w:w="18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0000EE"/>
                <w:w w:val="88"/>
              </w:rPr>
              <w:t>7</w:t>
            </w:r>
          </w:p>
        </w:tc>
        <w:tc>
          <w:tcPr>
            <w:tcW w:w="1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18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0000EE"/>
                <w:w w:val="88"/>
              </w:rPr>
              <w:t>8</w:t>
            </w:r>
          </w:p>
        </w:tc>
        <w:tc>
          <w:tcPr>
            <w:tcW w:w="140" w:type="dxa"/>
            <w:vAlign w:val="bottom"/>
          </w:tcPr>
          <w:p>
            <w:pPr>
              <w:spacing w:after="0"/>
              <w:rPr>
                <w:sz w:val="24"/>
                <w:szCs w:val="24"/>
                <w:color w:val="auto"/>
              </w:rPr>
            </w:pPr>
          </w:p>
        </w:tc>
      </w:tr>
      <w:tr>
        <w:trPr>
          <w:trHeight w:val="20"/>
        </w:trPr>
        <w:tc>
          <w:tcPr>
            <w:tcW w:w="82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72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17</w:t>
            </w:r>
          </w:p>
        </w:tc>
        <w:tc>
          <w:tcPr>
            <w:tcW w:w="140" w:type="dxa"/>
            <w:vAlign w:val="bottom"/>
          </w:tcPr>
          <w:p>
            <w:pPr>
              <w:spacing w:after="0"/>
              <w:rPr>
                <w:sz w:val="24"/>
                <w:szCs w:val="24"/>
                <w:color w:val="auto"/>
              </w:rPr>
            </w:pPr>
          </w:p>
        </w:tc>
      </w:tr>
      <w:tr>
        <w:trPr>
          <w:trHeight w:val="412"/>
        </w:trPr>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84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color w:val="0000EE"/>
                <w:w w:val="99"/>
              </w:rPr>
              <w:t>23</w:t>
            </w:r>
          </w:p>
        </w:tc>
        <w:tc>
          <w:tcPr>
            <w:tcW w:w="140" w:type="dxa"/>
            <w:vAlign w:val="bottom"/>
          </w:tcPr>
          <w:p>
            <w:pPr>
              <w:spacing w:after="0"/>
              <w:rPr>
                <w:sz w:val="24"/>
                <w:szCs w:val="24"/>
                <w:color w:val="auto"/>
              </w:rPr>
            </w:pPr>
          </w:p>
        </w:tc>
      </w:tr>
      <w:tr>
        <w:trPr>
          <w:trHeight w:val="412"/>
        </w:trPr>
        <w:tc>
          <w:tcPr>
            <w:tcW w:w="25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2500" w:type="dxa"/>
            <w:vAlign w:val="bottom"/>
            <w:tcBorders>
              <w:top w:val="single" w:sz="8" w:color="0000EE"/>
            </w:tcBorders>
            <w:gridSpan w:val="9"/>
          </w:tcPr>
          <w:p>
            <w:pPr>
              <w:spacing w:after="0"/>
              <w:rPr>
                <w:sz w:val="24"/>
                <w:szCs w:val="24"/>
                <w:color w:val="auto"/>
              </w:rPr>
            </w:pPr>
          </w:p>
        </w:tc>
        <w:tc>
          <w:tcPr>
            <w:tcW w:w="3780" w:type="dxa"/>
            <w:vAlign w:val="bottom"/>
            <w:gridSpan w:val="3"/>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23</w:t>
            </w:r>
          </w:p>
        </w:tc>
        <w:tc>
          <w:tcPr>
            <w:tcW w:w="140" w:type="dxa"/>
            <w:vAlign w:val="bottom"/>
          </w:tcPr>
          <w:p>
            <w:pPr>
              <w:spacing w:after="0"/>
              <w:rPr>
                <w:sz w:val="24"/>
                <w:szCs w:val="24"/>
                <w:color w:val="auto"/>
              </w:rPr>
            </w:pPr>
          </w:p>
        </w:tc>
      </w:tr>
      <w:tr>
        <w:trPr>
          <w:trHeight w:val="412"/>
        </w:trPr>
        <w:tc>
          <w:tcPr>
            <w:tcW w:w="2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PART II - OTHER INFORMATION</w:t>
            </w:r>
          </w:p>
        </w:tc>
        <w:tc>
          <w:tcPr>
            <w:tcW w:w="6180" w:type="dxa"/>
            <w:vAlign w:val="bottom"/>
            <w:gridSpan w:val="11"/>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24</w:t>
            </w:r>
          </w:p>
        </w:tc>
        <w:tc>
          <w:tcPr>
            <w:tcW w:w="140" w:type="dxa"/>
            <w:vAlign w:val="bottom"/>
          </w:tcPr>
          <w:p>
            <w:pPr>
              <w:spacing w:after="0"/>
              <w:rPr>
                <w:sz w:val="24"/>
                <w:szCs w:val="24"/>
                <w:color w:val="auto"/>
              </w:rPr>
            </w:pPr>
          </w:p>
        </w:tc>
      </w:tr>
      <w:tr>
        <w:trPr>
          <w:trHeight w:val="412"/>
        </w:trPr>
        <w:tc>
          <w:tcPr>
            <w:tcW w:w="6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1.</w:t>
            </w:r>
          </w:p>
        </w:tc>
        <w:tc>
          <w:tcPr>
            <w:tcW w:w="1420" w:type="dxa"/>
            <w:vAlign w:val="bottom"/>
            <w:tcBorders>
              <w:bottom w:val="single" w:sz="8" w:color="0000EE"/>
            </w:tcBorders>
            <w:gridSpan w:val="7"/>
          </w:tcPr>
          <w:p>
            <w:pPr>
              <w:ind w:left="8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740" w:type="dxa"/>
            <w:vAlign w:val="bottom"/>
            <w:gridSpan w:val="14"/>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24</w:t>
            </w:r>
          </w:p>
        </w:tc>
        <w:tc>
          <w:tcPr>
            <w:tcW w:w="140" w:type="dxa"/>
            <w:vAlign w:val="bottom"/>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Item1A.</w:t>
            </w:r>
          </w:p>
        </w:tc>
        <w:tc>
          <w:tcPr>
            <w:tcW w:w="8160" w:type="dxa"/>
            <w:vAlign w:val="bottom"/>
            <w:gridSpan w:val="21"/>
          </w:tcPr>
          <w:p>
            <w:pPr>
              <w:ind w:left="80"/>
              <w:spacing w:after="0"/>
              <w:rPr>
                <w:sz w:val="20"/>
                <w:szCs w:val="20"/>
                <w:color w:val="auto"/>
              </w:rPr>
            </w:pPr>
            <w:r>
              <w:rPr>
                <w:rFonts w:ascii="Times New Roman" w:cs="Times New Roman" w:eastAsia="Times New Roman" w:hAnsi="Times New Roman"/>
                <w:sz w:val="18"/>
                <w:szCs w:val="18"/>
                <w:color w:val="0000EE"/>
              </w:rPr>
              <w:t>Risk Factors</w:t>
            </w:r>
          </w:p>
        </w:tc>
        <w:tc>
          <w:tcPr>
            <w:tcW w:w="184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24"/>
                <w:szCs w:val="24"/>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7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51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368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24</w:t>
            </w:r>
          </w:p>
        </w:tc>
        <w:tc>
          <w:tcPr>
            <w:tcW w:w="140" w:type="dxa"/>
            <w:vAlign w:val="bottom"/>
          </w:tcPr>
          <w:p>
            <w:pPr>
              <w:spacing w:after="0"/>
              <w:rPr>
                <w:sz w:val="24"/>
                <w:szCs w:val="24"/>
                <w:color w:val="auto"/>
              </w:rPr>
            </w:pPr>
          </w:p>
        </w:tc>
      </w:tr>
      <w:tr>
        <w:trPr>
          <w:trHeight w:val="412"/>
        </w:trPr>
        <w:tc>
          <w:tcPr>
            <w:tcW w:w="88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184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24"/>
                <w:szCs w:val="24"/>
                <w:color w:val="auto"/>
              </w:rPr>
            </w:pPr>
          </w:p>
        </w:tc>
      </w:tr>
      <w:tr>
        <w:trPr>
          <w:trHeight w:val="412"/>
        </w:trPr>
        <w:tc>
          <w:tcPr>
            <w:tcW w:w="25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760" w:type="dxa"/>
            <w:vAlign w:val="bottom"/>
            <w:gridSpan w:val="9"/>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24</w:t>
            </w:r>
          </w:p>
        </w:tc>
        <w:tc>
          <w:tcPr>
            <w:tcW w:w="140" w:type="dxa"/>
            <w:vAlign w:val="bottom"/>
          </w:tcPr>
          <w:p>
            <w:pPr>
              <w:spacing w:after="0"/>
              <w:rPr>
                <w:sz w:val="24"/>
                <w:szCs w:val="24"/>
                <w:color w:val="auto"/>
              </w:rPr>
            </w:pPr>
          </w:p>
        </w:tc>
      </w:tr>
      <w:tr>
        <w:trPr>
          <w:trHeight w:val="412"/>
        </w:trPr>
        <w:tc>
          <w:tcPr>
            <w:tcW w:w="6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Item 5.</w:t>
            </w:r>
          </w:p>
        </w:tc>
        <w:tc>
          <w:tcPr>
            <w:tcW w:w="1400" w:type="dxa"/>
            <w:vAlign w:val="bottom"/>
            <w:tcBorders>
              <w:bottom w:val="single" w:sz="8" w:color="0000EE"/>
            </w:tcBorders>
            <w:gridSpan w:val="6"/>
          </w:tcPr>
          <w:p>
            <w:pPr>
              <w:ind w:left="8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760" w:type="dxa"/>
            <w:vAlign w:val="bottom"/>
            <w:gridSpan w:val="15"/>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24</w:t>
            </w:r>
          </w:p>
        </w:tc>
        <w:tc>
          <w:tcPr>
            <w:tcW w:w="140" w:type="dxa"/>
            <w:vAlign w:val="bottom"/>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 6.</w:t>
            </w:r>
          </w:p>
        </w:tc>
        <w:tc>
          <w:tcPr>
            <w:tcW w:w="8160" w:type="dxa"/>
            <w:vAlign w:val="bottom"/>
            <w:gridSpan w:val="21"/>
          </w:tcPr>
          <w:p>
            <w:pPr>
              <w:ind w:left="80"/>
              <w:spacing w:after="0"/>
              <w:rPr>
                <w:sz w:val="20"/>
                <w:szCs w:val="20"/>
                <w:color w:val="auto"/>
              </w:rPr>
            </w:pPr>
            <w:r>
              <w:rPr>
                <w:rFonts w:ascii="Times New Roman" w:cs="Times New Roman" w:eastAsia="Times New Roman" w:hAnsi="Times New Roman"/>
                <w:sz w:val="18"/>
                <w:szCs w:val="18"/>
                <w:color w:val="0000EE"/>
              </w:rPr>
              <w:t>Exhibits</w:t>
            </w:r>
          </w:p>
        </w:tc>
        <w:tc>
          <w:tcPr>
            <w:tcW w:w="184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color w:val="0000EE"/>
                <w:w w:val="99"/>
              </w:rPr>
              <w:t>24</w:t>
            </w:r>
          </w:p>
        </w:tc>
        <w:tc>
          <w:tcPr>
            <w:tcW w:w="140" w:type="dxa"/>
            <w:vAlign w:val="bottom"/>
          </w:tcPr>
          <w:p>
            <w:pPr>
              <w:spacing w:after="0"/>
              <w:rPr>
                <w:sz w:val="24"/>
                <w:szCs w:val="24"/>
                <w:color w:val="auto"/>
              </w:rPr>
            </w:pPr>
          </w:p>
        </w:tc>
      </w:tr>
      <w:tr>
        <w:trPr>
          <w:trHeight w:val="412"/>
        </w:trPr>
        <w:tc>
          <w:tcPr>
            <w:tcW w:w="13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480" w:type="dxa"/>
            <w:vAlign w:val="bottom"/>
            <w:gridSpan w:val="17"/>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w w:val="70"/>
              </w:rPr>
              <w:t>25</w:t>
            </w:r>
          </w:p>
        </w:tc>
        <w:tc>
          <w:tcPr>
            <w:tcW w:w="140" w:type="dxa"/>
            <w:vAlign w:val="bottom"/>
          </w:tcPr>
          <w:p>
            <w:pPr>
              <w:spacing w:after="0"/>
              <w:rPr>
                <w:sz w:val="24"/>
                <w:szCs w:val="24"/>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08" w:right="7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6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9"/>
        </w:trPr>
        <w:tc>
          <w:tcPr>
            <w:tcW w:w="48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752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7,821</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21,834</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27,587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4,341</w:t>
            </w:r>
          </w:p>
        </w:tc>
      </w:tr>
      <w:tr>
        <w:trPr>
          <w:trHeight w:val="209"/>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61,583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3,415</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6,897</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57,689</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27,385</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8,694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5,375</w:t>
            </w:r>
          </w:p>
        </w:tc>
      </w:tr>
      <w:tr>
        <w:trPr>
          <w:trHeight w:val="250"/>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162,344</w:t>
            </w:r>
          </w:p>
        </w:tc>
      </w:tr>
      <w:tr>
        <w:trPr>
          <w:trHeight w:val="156"/>
        </w:trPr>
        <w:tc>
          <w:tcPr>
            <w:tcW w:w="8000" w:type="dxa"/>
            <w:vAlign w:val="bottom"/>
            <w:tcBorders>
              <w:top w:val="single" w:sz="8" w:color="CCEEFF"/>
            </w:tcBorders>
            <w:gridSpan w:val="3"/>
          </w:tcPr>
          <w:p>
            <w:pPr>
              <w:spacing w:after="0" w:line="15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3,235</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4,911</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4,266</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10,762</w:t>
            </w:r>
          </w:p>
        </w:tc>
      </w:tr>
      <w:tr>
        <w:trPr>
          <w:trHeight w:val="210"/>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25,316</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45,095</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6,488</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r>
        <w:trPr>
          <w:trHeight w:val="210"/>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77,769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78,943</w:t>
            </w: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Note 12</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80,000,000 shares authorized: 41,499,741 shares issued and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outstanding at June 30, 2022; 41,142,876 shares issued and outstanding at December 31, 2021</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227,413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225,650</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(132,674)</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r>
      <w:tr>
        <w:trPr>
          <w:trHeight w:val="210"/>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77,504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83,401</w:t>
            </w:r>
          </w:p>
        </w:tc>
      </w:tr>
      <w:tr>
        <w:trPr>
          <w:trHeight w:val="250"/>
        </w:trPr>
        <w:tc>
          <w:tcPr>
            <w:tcW w:w="80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162,344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87"/>
        </w:trPr>
        <w:tc>
          <w:tcPr>
            <w:tcW w:w="128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41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620" w:type="dxa"/>
            <w:vAlign w:val="bottom"/>
            <w:gridSpan w:val="5"/>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6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29,208</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29,197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57,986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56,186</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12,571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25,172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24,402</w:t>
            </w:r>
          </w:p>
        </w:tc>
      </w:tr>
      <w:tr>
        <w:trPr>
          <w:trHeight w:val="209"/>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16,637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32,814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31,784</w:t>
            </w:r>
          </w:p>
        </w:tc>
      </w:tr>
      <w:tr>
        <w:trPr>
          <w:trHeight w:val="209"/>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11,116</w:t>
            </w:r>
          </w:p>
        </w:tc>
      </w:tr>
      <w:tr>
        <w:trPr>
          <w:trHeight w:val="216"/>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12,732</w:t>
            </w: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5,188</w:t>
            </w:r>
          </w:p>
        </w:tc>
      </w:tr>
      <w:tr>
        <w:trPr>
          <w:trHeight w:val="216"/>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2,929</w:t>
            </w:r>
          </w:p>
        </w:tc>
      </w:tr>
      <w:tr>
        <w:trPr>
          <w:trHeight w:val="216"/>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litigation, net - Note 13</w:t>
            </w:r>
          </w:p>
        </w:tc>
        <w:tc>
          <w:tcPr>
            <w:tcW w:w="2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12,639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16,295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35,528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31,965</w:t>
            </w:r>
          </w:p>
        </w:tc>
      </w:tr>
      <w:tr>
        <w:trPr>
          <w:trHeight w:val="209"/>
        </w:trPr>
        <w:tc>
          <w:tcPr>
            <w:tcW w:w="1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3,998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0"/>
        </w:trPr>
        <w:tc>
          <w:tcPr>
            <w:tcW w:w="1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0"/>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09"/>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5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196"/>
        </w:trPr>
        <w:tc>
          <w:tcPr>
            <w:tcW w:w="12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2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210"/>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r>
      <w:tr>
        <w:trPr>
          <w:trHeight w:val="209"/>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Diluted income (loss) per common share</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41,304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39,960</w:t>
            </w:r>
          </w:p>
        </w:tc>
      </w:tr>
      <w:tr>
        <w:trPr>
          <w:trHeight w:val="216"/>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42,560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39,960</w:t>
            </w:r>
          </w:p>
        </w:tc>
      </w:tr>
      <w:tr>
        <w:trPr>
          <w:trHeight w:val="432"/>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6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88"/>
              </w:rPr>
              <w:t>4</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87"/>
        </w:trPr>
        <w:tc>
          <w:tcPr>
            <w:tcW w:w="128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35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20" w:type="dxa"/>
            <w:vAlign w:val="bottom"/>
            <w:gridSpan w:val="7"/>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5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2,435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0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87"/>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7"/>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40" w:type="dxa"/>
            <w:vAlign w:val="bottom"/>
            <w:gridSpan w:val="1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7"/>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7"/>
        </w:trPr>
        <w:tc>
          <w:tcPr>
            <w:tcW w:w="2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226,203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(139,554)</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76,375</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2,435</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49"/>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227,413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77,504</w:t>
            </w:r>
          </w:p>
        </w:tc>
      </w:tr>
      <w:tr>
        <w:trPr>
          <w:trHeight w:val="390"/>
        </w:trPr>
        <w:tc>
          <w:tcPr>
            <w:tcW w:w="2840" w:type="dxa"/>
            <w:vAlign w:val="bottom"/>
            <w:tcBorders>
              <w:top w:val="single" w:sz="8" w:color="CCEEFF"/>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234,781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77,115</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r>
      <w:tr>
        <w:trPr>
          <w:trHeight w:val="210"/>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40,486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225,583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(133,465)</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78,701</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90"/>
        </w:trPr>
        <w:tc>
          <w:tcPr>
            <w:tcW w:w="2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225,650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(132,674)</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83,401</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2,262</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5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227,413</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77,504</w:t>
            </w:r>
          </w:p>
        </w:tc>
      </w:tr>
      <w:tr>
        <w:trPr>
          <w:trHeight w:val="390"/>
        </w:trPr>
        <w:tc>
          <w:tcPr>
            <w:tcW w:w="2840" w:type="dxa"/>
            <w:vAlign w:val="bottom"/>
            <w:tcBorders>
              <w:top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2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232,357</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76,681</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2,557</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16"/>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0"/>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40,486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225,583</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(133,465)</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78,701</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68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 and other</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Convertible Preferred Stock - Note 13</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1,805</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 on bank line of credit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on bank line of credit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8,317</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4,259</w:t>
            </w:r>
          </w:p>
        </w:tc>
        <w:tc>
          <w:tcPr>
            <w:tcW w:w="1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6,237</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1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w:t>
            </w: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right="3360" w:hanging="449"/>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1. Basis of Presentation and Summary of Significant Accounting Policies, and Risks and Uncertainties </w:t>
      </w:r>
      <w:r>
        <w:rPr>
          <w:rFonts w:ascii="Times New Roman" w:cs="Times New Roman" w:eastAsia="Times New Roman" w:hAnsi="Times New Roman"/>
          <w:sz w:val="18"/>
          <w:szCs w:val="18"/>
          <w:b w:val="1"/>
          <w:bCs w:val="1"/>
          <w:i w:val="1"/>
          <w:iCs w:val="1"/>
          <w:color w:val="auto"/>
        </w:rPr>
        <w:t>Basis of Presentation and Summary of Significant Accounting Policies</w:t>
      </w: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of Harvard Bioscience, Inc. and its wholly-owned subsidiaries (collectively, the “Company”) as of June 30, 2022 and for the three and six months ended June 30, 2022 and 2021,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2021,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2021.</w:t>
      </w:r>
    </w:p>
    <w:p>
      <w:pPr>
        <w:spacing w:after="0" w:line="19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normal recurring adjustments necessary to present a fair statement of financial position as of June 30, 2022, results of operations and comprehensive loss and cash flows for the three and six months ended June 30, 2022 and 2021, as applicable, have been made. The results of operations for the three and six months ended June 30, 2022, are not necessarily indicative of the operating results for the full fiscal year or any future periods.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accounting policies underlying the accompanying unaudited consolidated financial statements are set forth in Note 2 to the consolidated financial statements included in the Company’s Annual Report on Form 10-K for the year ended December 31, 2021. There have been no material changes in the Company’s significant accounting policies during the three and six months ended June 30, 2022.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COVID-19 pandemic has had a negative impact on the Company’s operations to date and the future impacts of the pandemic and any resulting economic impact are largely unknown and continuously evolving. Since the global outbreak of COVID-19, many customers, particularly academic research institutions, have reduced laboratory work which has negatively impacted, and will continue to negatively impact, the Company’s sales. Also, countries world-wide continue to issue COVID-19 related policies in an attempt to control the pandemic. In particular, during the beginning of 2022, China implemented area-wide shutdowns in order to control the spread of COVID-19, which have continued for different parts of China throughout the first half of 2022. To ensure business continuity while maintaining a safe environment for employees aligned with guidance from government and health organizations, the Company transitioned a significant portion of its workforce to work-from-home and while a portion of the workforce has returned to in-office work, travel is still being managed and the Company continues to have restrictions which can impact productivity including sales and marketing activities.</w:t>
      </w:r>
    </w:p>
    <w:p>
      <w:pPr>
        <w:spacing w:after="0" w:line="18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Accordingly, these conditions in addition to the overall impact on the global economy have negatively impacted results of operations and cash flows.</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Additionally, during 2022 the global economy has experienced high levels of inflation, rising interest rates and significant fluctuations in currency values. The Company’s results of operations have been negatively impacted by higher costs of raw materials, labor and freight resulting from inflationary pressures and the ongoing military conflict between Russia and Ukraine, and we expect the interest paid on our debt will continue to increase in the current rising interest rate environment.</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If business interruptions resulting from COVID-19 or current macroeconomic conditions described above were to be prolonged or expanded in scope, the Company’s business, financial condition, results of operations and cash flows would be negatively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225"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2021, the Financial Accounting Standards Board (“FASB”) issued Accounting Standards Update (“ASU”) 2021-10, </w:t>
      </w:r>
      <w:r>
        <w:rPr>
          <w:rFonts w:ascii="Times New Roman" w:cs="Times New Roman" w:eastAsia="Times New Roman" w:hAnsi="Times New Roman"/>
          <w:sz w:val="18"/>
          <w:szCs w:val="18"/>
          <w:i w:val="1"/>
          <w:iCs w:val="1"/>
          <w:color w:val="auto"/>
        </w:rPr>
        <w:t>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Assistance (Topic 832), Disclosures by Business Entities About Government Assistance</w:t>
      </w:r>
      <w:r>
        <w:rPr>
          <w:rFonts w:ascii="Times New Roman" w:cs="Times New Roman" w:eastAsia="Times New Roman" w:hAnsi="Times New Roman"/>
          <w:sz w:val="18"/>
          <w:szCs w:val="18"/>
          <w:color w:val="auto"/>
        </w:rPr>
        <w:t>, which requires entities to provide disclosures on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impacts footnote disclosures and is effective for the Company’s December 31, 2022 annual financial statements. The Company is currently evaluating the potential impact of adopting ASU 2021-10 will have on its consolidated financial statements.</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xml:space="preserve"> (ASU 2017-04), which eliminates the performance of Step 2 from the goodwill impairment test. In performing its annual or interim impairment testing, an entity will instead compare the fair value of the reporting unit with its carrying amount and recognize any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ASU 2017-04 is effective for the Company for fiscal years beginning after December 15, 2022. The Company is currently evaluating the potential impact that adopting ASU 2017-04 will have on its consolidated financial statements.</w:t>
      </w:r>
    </w:p>
    <w:p>
      <w:pPr>
        <w:spacing w:after="0" w:line="183"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2016, the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(ASU 2016-13), </w:t>
      </w:r>
      <w:r>
        <w:rPr>
          <w:rFonts w:ascii="Times New Roman" w:cs="Times New Roman" w:eastAsia="Times New Roman" w:hAnsi="Times New Roman"/>
          <w:sz w:val="18"/>
          <w:szCs w:val="18"/>
          <w:color w:val="auto"/>
        </w:rPr>
        <w:t>which amends the impairment model by requiring entities to use a forward-looking approach based on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that adopting ASU 2016-13 and related amendments will have on its consolidated financial statements.</w:t>
      </w:r>
    </w:p>
    <w:p>
      <w:pPr>
        <w:spacing w:after="0" w:line="207" w:lineRule="exact"/>
        <w:rPr>
          <w:sz w:val="20"/>
          <w:szCs w:val="20"/>
          <w:color w:val="auto"/>
        </w:rPr>
      </w:pPr>
    </w:p>
    <w:p>
      <w:pPr>
        <w:ind w:left="460" w:right="8600" w:hanging="452"/>
        <w:spacing w:after="0" w:line="503" w:lineRule="auto"/>
        <w:tabs>
          <w:tab w:leader="none" w:pos="25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i w:val="1"/>
          <w:iCs w:val="1"/>
          <w:color w:val="auto"/>
        </w:rPr>
        <w:t>Goodwill</w:t>
      </w: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for the six months ended June 30, 2022, were as follows: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December 31, 2021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57,689</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49"/>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June 30, 2022</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56,232</w:t>
            </w: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Identifiable intangible assets at June 30, 2022 and December 31, 2021 consist of the following:</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60" w:type="dxa"/>
            <w:vAlign w:val="bottom"/>
            <w:vMerge w:val="continue"/>
          </w:tcPr>
          <w:p>
            <w:pPr>
              <w:spacing w:after="0"/>
              <w:rPr>
                <w:sz w:val="16"/>
                <w:szCs w:val="16"/>
                <w:color w:val="auto"/>
              </w:rPr>
            </w:pPr>
          </w:p>
        </w:tc>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Average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Life*</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191"/>
        </w:trPr>
        <w:tc>
          <w:tcPr>
            <w:tcW w:w="25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Distribution agreements/customer</w:t>
            </w: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17,182</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Existing technology</w:t>
            </w:r>
          </w:p>
        </w:tc>
        <w:tc>
          <w:tcPr>
            <w:tcW w:w="72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patents</w:t>
            </w:r>
          </w:p>
        </w:tc>
        <w:tc>
          <w:tcPr>
            <w:tcW w:w="7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191"/>
        </w:trPr>
        <w:tc>
          <w:tcPr>
            <w:tcW w:w="2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amortizable intangible</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63,726</w:t>
            </w: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23,997</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64,892</w:t>
            </w: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(37,745)</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27,147</w:t>
            </w:r>
          </w:p>
        </w:tc>
        <w:tc>
          <w:tcPr>
            <w:tcW w:w="0" w:type="dxa"/>
            <w:vAlign w:val="bottom"/>
          </w:tcPr>
          <w:p>
            <w:pPr>
              <w:spacing w:after="0"/>
              <w:rPr>
                <w:sz w:val="1"/>
                <w:szCs w:val="1"/>
                <w:color w:val="auto"/>
              </w:rPr>
            </w:pPr>
          </w:p>
        </w:tc>
      </w:tr>
      <w:tr>
        <w:trPr>
          <w:trHeight w:val="194"/>
        </w:trPr>
        <w:tc>
          <w:tcPr>
            <w:tcW w:w="2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7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27,385</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Weighted average life in years as of June 30, 2022</w:t>
      </w:r>
    </w:p>
    <w:p>
      <w:pPr>
        <w:spacing w:after="0" w:line="225"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Intangible asset amortization expense was $1.5 million for each of the three months ended June 30, 2022 and 2021, and $2.9 million for each of the six months ended June 30, 2022 and 2021. Estimated amortization expense of existing amortizable intangible assets for each of the five succeeding years and thereafter as of June 30, 2022, is as follows: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5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year)</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w:t>
            </w: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provide details of selected balance sheet items as of the periods indicated:</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6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27,587</w:t>
            </w: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6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related costs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related</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w:t>
            </w: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and Other Exit Costs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restructuring-type activities from time to time to transform its business. A portion of these transformation activities are considered restructuring costs under </w:t>
      </w:r>
      <w:r>
        <w:rPr>
          <w:rFonts w:ascii="Times New Roman" w:cs="Times New Roman" w:eastAsia="Times New Roman" w:hAnsi="Times New Roman"/>
          <w:sz w:val="18"/>
          <w:szCs w:val="18"/>
          <w:i w:val="1"/>
          <w:iCs w:val="1"/>
          <w:color w:val="auto"/>
        </w:rPr>
        <w:t>ASC 420</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and are discussed below.</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During 2019, the Company initiated a restructuring program to improve operational efficiency and reduce costs which entailed consolidating and downsizing several sites and headcount reductions in Europe and North America. This program was completed in 2021. Restructuring costs under this program were $0.7 million and $1.2 million for the three and six months ended June 30, 2021, respectively, substantially all of which have been included as a component of general and administrative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connection with the 2014 acquisitions of Multi Channel Systems MCS GmbH (“MCS”), the Company entered into a facility lease agreement with the former principal owner of MCS who became an employee of the Company at the time of the acquisition and subsequently retired in 2021. The MCS agreement expires on December 31, 2024. Pursuant to this lease agreement, the Company made rent payments of approximately $0.1million for each of the three months ended June 30, 2022 and 2021, and $0.2 million for each of the six months ended June 30, 2022 and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noncancelable operating leases for offices, manufacturing facilities, warehouse space, automobiles and equipment expiring at various dates through 2030.</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lease expense for the three and six months ended June 30, 2022 and 2021, are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0"/>
        </w:trPr>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Borders>
              <w:bottom w:val="single" w:sz="8" w:color="auto"/>
            </w:tcBorders>
          </w:tcPr>
          <w:p>
            <w:pPr>
              <w:spacing w:after="0"/>
              <w:rPr>
                <w:sz w:val="20"/>
                <w:szCs w:val="20"/>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was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6,236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6,897</w:t>
            </w:r>
          </w:p>
        </w:tc>
      </w:tr>
      <w:tr>
        <w:trPr>
          <w:trHeight w:val="216"/>
        </w:trPr>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2,142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5,806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6,488</w:t>
            </w:r>
          </w:p>
        </w:tc>
      </w:tr>
      <w:tr>
        <w:trPr>
          <w:trHeight w:val="24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7,914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8,630</w:t>
            </w:r>
          </w:p>
        </w:tc>
      </w:tr>
      <w:tr>
        <w:trPr>
          <w:trHeight w:val="197"/>
        </w:trPr>
        <w:tc>
          <w:tcPr>
            <w:tcW w:w="57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lease payments for operating leases for each twelve-month period subsequent to June 30, 2022, are as follows: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year)</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c>
          <w:tcPr>
            <w:tcW w:w="51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2,105</w:t>
            </w:r>
          </w:p>
        </w:tc>
        <w:tc>
          <w:tcPr>
            <w:tcW w:w="51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1,747</w:t>
            </w:r>
          </w:p>
        </w:tc>
        <w:tc>
          <w:tcPr>
            <w:tcW w:w="51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c>
          <w:tcPr>
            <w:tcW w:w="51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w:t>
            </w:r>
          </w:p>
        </w:tc>
        <w:tc>
          <w:tcPr>
            <w:tcW w:w="51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3,871</w:t>
            </w:r>
          </w:p>
        </w:tc>
        <w:tc>
          <w:tcPr>
            <w:tcW w:w="51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10,788</w:t>
            </w:r>
          </w:p>
        </w:tc>
        <w:tc>
          <w:tcPr>
            <w:tcW w:w="51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518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7,914</w:t>
            </w:r>
          </w:p>
        </w:tc>
        <w:tc>
          <w:tcPr>
            <w:tcW w:w="5180" w:type="dxa"/>
            <w:vAlign w:val="bottom"/>
          </w:tcPr>
          <w:p>
            <w:pPr>
              <w:spacing w:after="0"/>
              <w:rPr>
                <w:sz w:val="21"/>
                <w:szCs w:val="21"/>
                <w:color w:val="auto"/>
              </w:rPr>
            </w:pPr>
          </w:p>
        </w:tc>
      </w:tr>
      <w:tr>
        <w:trPr>
          <w:trHeight w:val="413"/>
        </w:trPr>
        <w:tc>
          <w:tcPr>
            <w:tcW w:w="4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518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460" w:right="7460" w:hanging="452"/>
        <w:spacing w:after="0" w:line="503" w:lineRule="auto"/>
        <w:tabs>
          <w:tab w:leader="none" w:pos="25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and Stock-Based Compensation </w:t>
      </w:r>
      <w:r>
        <w:rPr>
          <w:rFonts w:ascii="Times New Roman" w:cs="Times New Roman" w:eastAsia="Times New Roman" w:hAnsi="Times New Roman"/>
          <w:sz w:val="18"/>
          <w:szCs w:val="18"/>
          <w:i w:val="1"/>
          <w:iCs w:val="1"/>
          <w:color w:val="auto"/>
        </w:rPr>
        <w:t>Stock-Based Payment Awards</w:t>
      </w:r>
    </w:p>
    <w:p>
      <w:pPr>
        <w:ind w:left="460"/>
        <w:spacing w:after="0"/>
        <w:rPr>
          <w:sz w:val="20"/>
          <w:szCs w:val="20"/>
          <w:color w:val="auto"/>
        </w:rPr>
      </w:pPr>
      <w:r>
        <w:rPr>
          <w:rFonts w:ascii="Times New Roman" w:cs="Times New Roman" w:eastAsia="Times New Roman" w:hAnsi="Times New Roman"/>
          <w:sz w:val="18"/>
          <w:szCs w:val="18"/>
          <w:color w:val="auto"/>
        </w:rPr>
        <w:t>Stock-based awards consist of stock options, time-based restricted stock units (“RSUs”), performance-based RSUs and shares issued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employee stock purchase plan. Activity under the Company’s equity incentive plans for the six months ended June 30, 2022 was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Time-Based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Based RSUs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2460" w:type="dxa"/>
            <w:vAlign w:val="bottom"/>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1,404,816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1,141,164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690,051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Vested (RSUs)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1,359,291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1,544,427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894,231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24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Stock-based compensation expense for the three and six months ended June 30, 2022 and 2021 was allocated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w:t>
            </w:r>
          </w:p>
        </w:tc>
      </w:tr>
    </w:tbl>
    <w:p>
      <w:pPr>
        <w:spacing w:after="0" w:line="198"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As of June 30, 2022, the total compensation costs related to unvested awards not yet recognized is $7.4 million and the weighted average period over which it is expected to be recognized is approximately 1.9 years. The Company did not capitalize any stock-based compensation.</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weighted average estimated fair value of the performance-based RSUs that were granted during the six months ended June 30, 2022 was $5.92 per unit. The following assumptions were used to estimate the fair value of the performance-based RSUs granted during the six months ended June 30, 2022 using a Monte-Carlo valuation simulation: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1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51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1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Correlation coefficient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518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518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Basic earnings (loss) per share (EPS) is calculated by dividing net income (loss) by the number of weighted average shares of common stock outstanding during the period. The calculation of diluted earnings per share assumes conversion of stock options, time-based RSUs, and performance-based RSUs into common stock using the treasury method. The weighted average number of shares used to compute basic and diluted EPS consists of the following: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7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41,304</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40,152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41,256</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39,960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42,560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40,152</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39,960</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excludes from the calculation of diluted EPS the weighted average shares of underlying stock-based awards if the impact of including these potential shares would be anti-dilutive. The Company has excluded the impact of approximately 0.9 million shares and 4.8 million shares for the three months ended June 30, 2022 and 2021, and 3.7 million shares and 4.7 million shares for the six months ended June 30, 2022 and 2021,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2022 and December 31, 2021, the Company’s borrowings were comprised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24765</wp:posOffset>
            </wp:positionV>
            <wp:extent cx="57003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9"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color w:val="auto"/>
        </w:rPr>
        <w:t>Long-term debt:</w:t>
      </w:r>
    </w:p>
    <w:p>
      <w:pPr>
        <w:spacing w:after="0" w:line="9"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5715</wp:posOffset>
            </wp:positionV>
            <wp:extent cx="570039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Revolving line</w:t>
      </w:r>
    </w:p>
    <w:p>
      <w:pPr>
        <w:spacing w:after="0" w:line="9" w:lineRule="exact"/>
        <w:rPr>
          <w:sz w:val="20"/>
          <w:szCs w:val="20"/>
          <w:color w:val="auto"/>
        </w:rPr>
      </w:pPr>
    </w:p>
    <w:p>
      <w:pPr>
        <w:ind w:left="460" w:right="1860" w:firstLine="162"/>
        <w:spacing w:after="0" w:line="258" w:lineRule="auto"/>
        <w:rPr>
          <w:sz w:val="20"/>
          <w:szCs w:val="20"/>
          <w:color w:val="auto"/>
        </w:rPr>
      </w:pPr>
      <w:r>
        <w:rPr>
          <w:rFonts w:ascii="Times New Roman" w:cs="Times New Roman" w:eastAsia="Times New Roman" w:hAnsi="Times New Roman"/>
          <w:sz w:val="18"/>
          <w:szCs w:val="18"/>
          <w:color w:val="auto"/>
        </w:rPr>
        <w:t>Less: unamortized deferred financing costs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-136525</wp:posOffset>
            </wp:positionV>
            <wp:extent cx="57003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Less: current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5715</wp:posOffset>
            </wp:positionV>
            <wp:extent cx="570039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color w:val="auto"/>
        </w:rPr>
        <w:t>Current unamortized deferred financing costs</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7"/>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16"/>
        </w:trPr>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r>
      <w:tr>
        <w:trPr>
          <w:trHeight w:val="234"/>
        </w:trPr>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191"/>
        </w:trPr>
        <w:tc>
          <w:tcPr>
            <w:tcW w:w="26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48,484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48,330</w:t>
            </w:r>
          </w:p>
        </w:tc>
      </w:tr>
      <w:tr>
        <w:trPr>
          <w:trHeight w:val="216"/>
        </w:trPr>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34"/>
        </w:trPr>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45,095</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580" w:space="720"/>
            <w:col w:w="4940"/>
          </w:cols>
          <w:pgMar w:left="320" w:top="121" w:right="339" w:bottom="1440" w:gutter="0" w:footer="0" w:header="0"/>
          <w:type w:val="continuous"/>
        </w:sect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On December 22, 2020, the Company entered into a Credit Agreement (the “Credit Agreement”) with Citizens Bank, N.A., Wells Fargo Bank, National Association, and Silicon Valley Bank (together, the “Lenders”).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Available and unused borrowing capacity under the revolving line of credit was $2.9 million as of June 30, 2022. Total revolver borrowing capacity is limited by the consolidated net leverage ratio as defined under the Credit Agreement. The Credit Facility replaced the Company’s prior credit facility, which was repaid with borrowings under the Credit Facility.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Borrowings under the Credit Facility will, at the option of the Company, bear interest at either (i) a rate per annum based on LIBOR for an interest period of one, two, three or six months, plus an applicable interest rate margin determined as provided in the Credit Agreement (a “LIBOR Loan”), or (ii) an alternative base rate plus an applicable interest rate margin, each as determined as provided in the Credit Agreement (an “ABR Loan”). LIBOR interest under the Credit Agreement is subject to applicable market rates and a floor of 0.50%. The alternative base rate is based on the Citizens Bank prime rate or the federal funds effective rate of the Federal Reserve Bank of New York and is subject to a floor of 1.0%. The applicable interest rate margin varies from 2.0% per annum to 3.25% per annum for LIBOR Loans, and from 1.5% per annum to 3.0% per annum for ABR Loans, in each case depending on the Company’s consolidated leverage ratio and is determined in accordance with a pricing grid set forth in the Credit Agreement. The LIBOR benchmark is expected to be phased out over time and the terms of the Credit Agreement provide for a transition to an alternate benchmark rate when that occurs. Interest on LIBOR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LIBOR breakage and redeployment costs in certain circumstances.</w:t>
      </w:r>
    </w:p>
    <w:p>
      <w:pPr>
        <w:spacing w:after="0" w:line="19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effective interest rate for the three months ended June 30, 2022 and 2021, was 4.0% and 3.4%, respectively, and for the six months ended June 30, 2022 and 2021, was 3.6% and 3.3%, respectively. The carrying value of the debt approximates fair value because the interest rate under the obligation approximates market rates of interest available to the Company for similar instruments.</w:t>
      </w:r>
    </w:p>
    <w:p>
      <w:pPr>
        <w:spacing w:after="0" w:line="17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Commencing on March 31, 2021, the outstanding term loans amortizes in quarterly installments of $0.5 million per quarter on such date and during each of the next three quarters thereafter, $0.75 million per quarter during the next eight quarters thereafter and $1.0 million per quarter thereafter, with a balloon payment at maturity. Furthermore, within ninety days after the end of the Company’s fiscal year,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Amounts outstanding under the revolving credit facility can be repaid at any time but are due in full at maturity.</w:t>
      </w:r>
    </w:p>
    <w:p>
      <w:pPr>
        <w:spacing w:after="0" w:line="18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Credit Agreement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also includes customary events of default.</w:t>
      </w:r>
    </w:p>
    <w:p>
      <w:pPr>
        <w:spacing w:after="0" w:line="18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On April 28, 2022, the Company entered into an amendment to the Credit Agreement and Pledge and Security Agreement (the “Amendment”), pursuant to which the Lenders and the Administrative Agent have agreed, among other things, (i) to modify the financial covenant relating to the consolidated net leverage ratio and (ii) to consent to the settlement described in Note 13- </w:t>
      </w:r>
      <w:r>
        <w:rPr>
          <w:rFonts w:ascii="Times New Roman" w:cs="Times New Roman" w:eastAsia="Times New Roman" w:hAnsi="Times New Roman"/>
          <w:sz w:val="18"/>
          <w:szCs w:val="18"/>
          <w:i w:val="1"/>
          <w:iCs w:val="1"/>
          <w:color w:val="auto"/>
        </w:rPr>
        <w:t>Litigation Settlement</w:t>
      </w:r>
      <w:r>
        <w:rPr>
          <w:rFonts w:ascii="Times New Roman" w:cs="Times New Roman" w:eastAsia="Times New Roman" w:hAnsi="Times New Roman"/>
          <w:sz w:val="18"/>
          <w:szCs w:val="18"/>
          <w:color w:val="auto"/>
        </w:rPr>
        <w:t>. In consideration for the Amendment, the Company paid a fee of $0.2 million to the Lenders and the Administrative Agent. The Company was in compliance with the covenants of the Credit Agreement, as amended by the Amendment, as of June 30, 2022.</w:t>
      </w:r>
    </w:p>
    <w:p>
      <w:pPr>
        <w:spacing w:after="0" w:line="20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represent a disaggregation of revenue from contracts with customers for the three and six months ended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27,765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53,819</w:t>
            </w:r>
          </w:p>
        </w:tc>
        <w:tc>
          <w:tcPr>
            <w:tcW w:w="6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2,367</w:t>
            </w:r>
          </w:p>
        </w:tc>
        <w:tc>
          <w:tcPr>
            <w:tcW w:w="68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29,208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29,197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56,186</w:t>
            </w:r>
          </w:p>
        </w:tc>
        <w:tc>
          <w:tcPr>
            <w:tcW w:w="680" w:type="dxa"/>
            <w:vAlign w:val="bottom"/>
          </w:tcPr>
          <w:p>
            <w:pPr>
              <w:spacing w:after="0"/>
              <w:rPr>
                <w:sz w:val="21"/>
                <w:szCs w:val="21"/>
                <w:color w:val="auto"/>
              </w:rPr>
            </w:pPr>
          </w:p>
        </w:tc>
      </w:tr>
      <w:tr>
        <w:trPr>
          <w:trHeight w:val="413"/>
        </w:trPr>
        <w:tc>
          <w:tcPr>
            <w:tcW w:w="46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represent a disaggregation of revenue by geographic destination for the three and six months ended June 30, 2022 and 2021:</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24,328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16,615</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4,010</w:t>
            </w:r>
          </w:p>
        </w:tc>
      </w:tr>
      <w:tr>
        <w:trPr>
          <w:trHeight w:val="249"/>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56,186</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provide details of deferred revenue as of the periods indicated:</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contracts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1,653</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1,959</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49"/>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3,612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and 2021, the Company recognized revenue of $0.6 million and $0.3 million from contract liabilities existing at December 31, 2021 and 2020, respectively. During the six months ended June 30, 2022 and 2021 the Company recognized revenue of $1.3 million and $1.5 million from contract liabilities existing at December 31, 2021 and 2020,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Allowance for doubtful accounts is based on the Company’s assessment of the collectability of accounts receivable. Activity in the allowance for doubtful accounts is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Balance, beginning of period</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Bad debt (credit) expense</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Charge-offs and other</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227</w:t>
            </w:r>
          </w:p>
        </w:tc>
      </w:tr>
      <w:tr>
        <w:trPr>
          <w:trHeight w:val="216"/>
        </w:trPr>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-582295</wp:posOffset>
            </wp:positionV>
            <wp:extent cx="57003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-307975</wp:posOffset>
            </wp:positionV>
            <wp:extent cx="570039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5580" w:space="720"/>
            <w:col w:w="4940"/>
          </w:cols>
          <w:pgMar w:left="320" w:top="121" w:right="339" w:bottom="1440" w:gutter="0" w:footer="0" w:header="0"/>
          <w:type w:val="continuous"/>
        </w:sectPr>
      </w:pPr>
    </w:p>
    <w:p>
      <w:pPr>
        <w:spacing w:after="0" w:line="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revenues for the three and six months ended June 30, 2022 and 2021. At June 30, 2022 and December 21, 2021, no customer accounted for more than 10% of net accounts receivable.</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Income Tax</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Income tax expense (benefit) was $1.0 million and $(0.2) million for the three months ended June 30, 2022 and 2021, respectively, and was $0.8 million and $(0.2) million for the six months ended June 30, 2022 and 2021, respectively. The effective tax rates for the three months ended June 30, 2022 and 2021, were 28.8% and 35.1%, respectively. The effective tax rates for the six months ended June 30, 2022 and 2021, were (23.6)% and 18.0%, respectively.</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difference between the Company’s effective tax rates in 2022 and 2021 compared to the U.S. statutory tax rate of 21% is primarily due to changes in valuation allowances associated with the Company’s assessment of the likelihood of the recoverability of deferred tax assets. The Company currently has valuation allowances against substantially all of its net operating loss carryforwards and tax credit carryforwards.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On April 27, 2022, the Company and Biostage, Inc. (f/k/a Harvard Apparatus Regenerative Technology, Inc.) (“Biostage”) executed a settlement with the plaintiffs which resolves all claims relating to the litigation as described in Note 13 – “Litigation Settlement”.</w:t>
      </w:r>
    </w:p>
    <w:p>
      <w:pPr>
        <w:spacing w:after="0" w:line="162"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for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2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Litigation Settlement</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On April 14, 2017, representatives for the estate of an individual plaintiff filed a wrongful death complaint with the Suffolk Superior Court, in the County of Suffolk, Massachusetts, against the Company and other defendants, including Biostage, a former subsidiary of the Company that was spun off in 2013, as well as another third party. The complaint seeks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83"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On April 27, 2022, the Company and Biostage executed a settlement with the plaintiffs of the litigation and Biostage’s products liability insurance carriers (the “Settlement”), which resolved all claims by and between the parties and Biostage’s product liability insurance carriers and resulted in the dismissal with prejudice of the wrongful death claim and all claims between the Company, Biostage and the insurance carriers. The Settlement was entered into solely by way of compromise and settlement and is not in any way an admission of liability or fault by the Company or Biostage. Biostage has indemnified the Company for all losses and expenses, including legal expenses, that the Company incurs in connection with the litigation and the Settlement.</w:t>
      </w:r>
    </w:p>
    <w:p>
      <w:pPr>
        <w:spacing w:after="0" w:line="18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accrued $5.2 million of costs related to legal fees and the Settlement. Additionally, during the year ended December 31, 2021, the Company had incurred $0.3 million in legal fees in connection with the litigation. Due to the financial condition of Biostage, the Company determined that it was uncertain as to whether Biostage would be able to meet its indemnification obligation and had fully reserved any receivable from Biostage.</w:t>
      </w:r>
    </w:p>
    <w:p>
      <w:pPr>
        <w:spacing w:after="0" w:line="18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2022, the Company recorded a credit of $4.9 million as a result of adjustments to the reserves against the indemnification receivable from Biostage. The adjustments reflect: i) the issuance by Biostage of 4,000 shares of its Series E Convertible Preferred Stock (the “Series E Preferred Stock”) to the Company on June 10, 2022, in satisfaction of $4.0 million of Biostage’s total indemnification obligation, ii) the payment by Biostage of a portion of the legal fees associated with the Settlement, and iii) other accrual adjustments. As of June 30, 2022, the Company has fully reserved approximately $0.5 million of unpaid indemnification obligation receivables from Biostage.</w:t>
      </w:r>
    </w:p>
    <w:p>
      <w:pPr>
        <w:spacing w:after="0" w:line="18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The Series E Preferred Stock was recorded at an estimated fair value of $3.9 million, and is included in the June 30, 2022 Consolidated Balance Sheet as a component of Other Long-Term Assets. The Series E Preferred Stock ranks senior to all classes of common stock of Biostage and all classes of preferred stock of Biostage (unless the Company consents to Biostage’s issuance of other preferred stock that is senior to or pari passu with the Series E Preferred Stock) and accrues dividends at a rate of 8% per annum that are payable in additional shares of Series E Preferred Stock. Each share of Series E Preferred Stock is convertible at any time at the option of the Company into such number of shares of Biostage common stock determined by dividing (x) the $1,000 face value of the Series E Preferred Stock plus all accrued and unpaid dividends thereon by (b) the average of the volume weighted average trading prices of Biostage’s common stock, which is currently quoted on the OTCQB Marketplace, for the 60 consecutive trading days prior to the conversion. In the event Biostage has a subsequent qualified offering of its common stock, (which is defined as an offering of Biostage common stock that coincides with its uplisting onto Nasdaq, the first subsequent public offering by Biostage, or the first subsequent private placement by Biostage resulting in gross proceeds to Biostage of at least $4,000,000), the Series E Preferred Stock is mandatorily converted into Biostage common stock at the applicable qualified offering price. Due to Biostage’s limited operating history, their overall financial condition and the limited trading volume and liquidity of Biostage’s common stock, the value of the Series E Preferred Stock could fluctuate considerably from time to time. The Company intends to liquidate its position in Biostage following future qualifying events but does not anticipate any material cash inflows in the next twelve months.</w:t>
      </w:r>
    </w:p>
    <w:p>
      <w:pPr>
        <w:spacing w:after="0" w:line="185"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elected the provisions within </w:t>
      </w:r>
      <w:r>
        <w:rPr>
          <w:rFonts w:ascii="Times New Roman" w:cs="Times New Roman" w:eastAsia="Times New Roman" w:hAnsi="Times New Roman"/>
          <w:sz w:val="18"/>
          <w:szCs w:val="18"/>
          <w:i w:val="1"/>
          <w:iCs w:val="1"/>
          <w:color w:val="auto"/>
        </w:rPr>
        <w:t>ASC 321 Investment Securities</w:t>
      </w:r>
      <w:r>
        <w:rPr>
          <w:rFonts w:ascii="Times New Roman" w:cs="Times New Roman" w:eastAsia="Times New Roman" w:hAnsi="Times New Roman"/>
          <w:sz w:val="18"/>
          <w:szCs w:val="18"/>
          <w:color w:val="auto"/>
        </w:rPr>
        <w:t xml:space="preserve"> to subsequently measure the Series E Preferred Stock at its original cost minus impairment, if any, plus or minus changes resulting from observable price changes in orderly transactions for the identical or a similar investment of Biostage.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forward-looking statements are principally, but not exclusively, contained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confidence or expectations, and our plans, objectives, expectations, and intentions that are not historical facts. In some cases, you can identify forward-looking statements by terms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think,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objectives,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optimistic,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guidance,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develop,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possible,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emerging,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opportunity,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pursue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similar expressions intended to identify forward-looking statements. These statements reflect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year ended December 31, 2021.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COVID-19 pandemic has had a negative impact on our operations to date and the future impacts of the pandemic and any resulting economic impact are largely unknown and continuously evolving. Since the global outbreak of COVID-19, many customers, particularly academic research institutions, reduced laboratory work which has negatively impacted, and will continue to negatively impact, our sales. Also, countries world-wide continue to issue COVID-19 related policies in an attempt to control the pandemic. In particular, during the beginning of 2022, China implemented area-wide shutdowns in order to control the spread of COVID-19, which have continued for different parts of China throughout the first half of 2022. To ensure business continuity while maintaining a safe environment for employees aligned with guidance from government and health organizations, we transitioned a significant portion of our workforce to work-from-home and while a portion of the workforce has returned to in-office work, travel is still being managed and the Company continues to have restrictions which can impact productivity including sales and marketing activities.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Global Supply Chain and Economic Environment</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We believe these supply chain trends will continue through the rest of 2022. These conditions in addition to the overall impact on the global economy have negatively impacted our results of operations and cash flows.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Additionally, during 2022 the global economy has experienced high levels of inflation, rising interest rates and significant fluctuations in currency values. Our results of operations have been negatively impacted by higher labor costs associated with inflation, and we expect the interest paid on our debt will continue to increase as a result of these conditions.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If business interruptions resulting from COVID-19 or the current macroeconomic conditions described above were to be prolonged or expanded in scope, our business, financial condition, results of operations and cash flows would be negatively impacted. We will continue to actively monitor this situation and will implement actions necessary to maintain business continuity.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29,208</w:t>
            </w:r>
          </w:p>
        </w:tc>
        <w:tc>
          <w:tcPr>
            <w:tcW w:w="1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29,197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16,353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litigation,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June 30, 2022, were $29.2 million as compared to revenues of $29.2 million for the three months ended June 30, 2021. Revenue from our cellular and molecular products increased due to improvements in order fulfillment processes which reduced order backlog. These increases were offset by decreases from our preclinical product family related to lower order volume in Europe and China. Also, revenue was negatively impacted in the three months ended June 30, 2022, by unfavorable currency adjustments.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Gross profit increased $0.3 million, or 1.7%, to $16.6 million for the three months ended June 30, 2022, compared with $16.4 million for the three months ended June 30, 2021. Gross margin increased to 57.0% for the three months ended June 30, 2022, compared with 56.0% for the three months ended June 30, 2021. The increase in gross margin percentage was due to a pricing improvements over last year.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$0.9 million, or 15.0%, to $6.6 million for the three months ended June 30, 2022, compared to $5.7 million during the same period in 2021. The increase was due to new marketing and sales support personnel and increases in travel and attendance at in-person trade shows. Travel and tradeshow costs were lower in the prior year quarter due to COVID restrictions.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$0.4 million, or 6.5%, to $6.0 million for the three months ended June 30, 2022, compared to $6.4 million during the same period in 2021. The decrease was primarily due to lower restructuring expenses and variable compensation.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$3.5 million for the three months ended June 30, 2022, an increase of $0.8 million, or 29.5%, compared with $2.7 million for the three months ended June 30, 2021. The increase was primarily due to higher costs associated with new product development for our preclinical product lines.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of $1.5 million for the three months ended June 30, 2022, was  comparable to the three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Settlement of litigation</w:t>
      </w:r>
    </w:p>
    <w:p>
      <w:pPr>
        <w:spacing w:after="0" w:line="227"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2022, we accrued $5.2 million of costs related to the Settlement as discussed in Note </w:t>
      </w:r>
      <w:r>
        <w:rPr>
          <w:rFonts w:ascii="Times New Roman" w:cs="Times New Roman" w:eastAsia="Times New Roman" w:hAnsi="Times New Roman"/>
          <w:sz w:val="18"/>
          <w:szCs w:val="18"/>
          <w:i w:val="1"/>
          <w:iCs w:val="1"/>
          <w:color w:val="auto"/>
        </w:rPr>
        <w:t>13 Litigation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Settlement </w:t>
      </w:r>
      <w:r>
        <w:rPr>
          <w:rFonts w:ascii="Times New Roman" w:cs="Times New Roman" w:eastAsia="Times New Roman" w:hAnsi="Times New Roman"/>
          <w:sz w:val="18"/>
          <w:szCs w:val="18"/>
          <w:color w:val="auto"/>
        </w:rPr>
        <w:t>to our Consolidated Financial Statements. Due to the financial condition of Biostage, we determined that it was uncertain as to whether Biostage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 able to satisfy its indemnification obligations to us and had fully reserved any receivable from Biostage.</w:t>
      </w:r>
    </w:p>
    <w:p>
      <w:pPr>
        <w:spacing w:after="0" w:line="17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we recorded a credit of $4.9 million as a result of adjustments to the reserves against the indemnification receivable from Biostage. These adjustments reflect: i) the issuance by Biostage of Series E Preferred Convertible Stock to us on June 10, 2022, in satisfaction of $4.0 million of Biostage’s total indemnification obligations, ii) the payment by Biostage of a portion of the legal fees associated with the Settlement, and iii) other accrual adjustments.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Interest expense was $0.5 million for the three months ended June 30, 2022, and $0.4 million for the three months ended June 30, 2021. The increase was the result of higher interest rates under our Credit Agreement as well as higher average borrowing balances.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Income tax expense (benefit) for the three months ended June 30, 2022 was $1.0 million and was $(0.2) million for the three months ended June 30, 2021. The effective tax rates for the three months ended June 30, 2022 and 2021 were 28.8% and 35.1%, respectively. The difference between our effective tax rates in 2022 and 2021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57,986</w:t>
            </w:r>
          </w:p>
        </w:tc>
        <w:tc>
          <w:tcPr>
            <w:tcW w:w="1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56,186</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31,784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litigation, net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Revenues for the six months ended June 30, 2022 were $58.0 million, an increase of approximately $1.8 million, or 3.2% compared to revenues of $56.2 million for the six months ended June 30, 2021. Revenue improved in the first half of 2022 due to improvements in order fulfillment processes which reduced backlog. Revenue was negatively impacted by lower orders outside the United States. Orders from customers in Asia continue to be lower than the prior year due to COVID lockdowns in China. We expect sales to China customers to remain at reduced levels until lockdown conditions are removed. Also, revenue was negatively impacted in the six months ended June 30, 2022 by unfavorable currency adjustments.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Gross profit increased $1.0 million, or 3.2%, to $32.8 million for the six months ended June 30, 2022, compared with $31.8 million for the six months ended June 30, 2021 due primarily to the increase in revenue noted. Gross margin was 56.6% for both the three months ended June 30, 2022 and June 30, 2021. Increases in gross margin percentage due to pricing improvements and volume were offset by the impact of supply chain disruption. The global supply chain has experienced significant disruptions due to electronic component and labor shortages and other macroeconomic factors, leading to increased costs. We believe these supply chain trends will continue to impact our results of operations through the rest of 2022.</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$2.2 million, or 19.4%, to $13.3 million for the six months ended June 30, 2022, compared to $11.1 million during the same period in 2021. The increase was primarily due to new marketing and sales support personnel and increases in travel and attendance at in-person trade shows offset by lower variable compensation. Travel and tradeshow costs were lower in the prior year quarter due to COVID restrictions.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$0.4 million, or 3.3%, to $12.3 million for the six months ended June 30, 2022, compared to $12.7 million during the same period in 2021. The decrease was primarily due to lower variable compensation.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$6.7 million for the six months ended June 30, 2022, an increase of $1.5 million, or 29.5%, compared with $5.2 million for the six months ended June 30, 2021. The increase was primarily due to higher costs associated with new product development in our preclinical product lines.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 expenses were $2.9 million for both the six months ended June 30, 2022, and June 30, 2021.</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Settlement of litigation</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2022, we incurred a net expense of $0.3 million related to the Settlement consisting of $5.2 million in settlement and legal expenses accrued during the three months ended March 31, 2022 offsets by a credit recorded during the three months ended June 30, 2022 of $4.9 million as a result of adjustments to the reserves against the indemnification receivable from Biostage. These adjustments reflect: i) the issuance by Biostage of Series E Convertible Preferred Stock to us on June 10, 2022, in satisfaction of $4.0 million of Biostage’s total indemnification obligations, ii) the payment by Biostage of a portion of the legal fees associated with the Settlement, and iii) other accrual adjustments.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Interest expense was $0.9 million for the six months ended June 30, 2022, and $0.8 million for the six months ended June 30, 2021. The increase was the results of both higher interest rates under our Credit Agreement as well as higher average borrowing balances.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Income tax expense (benefit) for the six months ended June 30, 2022 was $0.8 million and was $(0.2) million for the six months ended June 30, 2021. The effective tax rates for the six months ended June 30, 2022 and 2021 were (23.6)% and 18.0%, respectively. The difference between our effective tax rates in 2022 and 2021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and payments associated with ongoing business improvement initiatives.</w:t>
      </w:r>
    </w:p>
    <w:p>
      <w:pPr>
        <w:spacing w:after="0" w:line="176"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As of June 30, 2022, we held cash and cash equivalents of $4.3 million, compared with $7.8 million at December 31, 2021. Borrowings outstanding was $49.5 million and $49.4 million as of June 30, 2022 and December 31, 2021, respectively.</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On December 22, 2020, we entered into a Credit Agreement which provides for a term loan of $40.0 million and a $25.0 million senior revolving credit facility and matures on December 22, 2025 (See Note 9 to our Condensed Consolidated Financial Statements included in “Part I, Item 1. Financial Statement” of this report). As of June 30, 2022, the weighted average interest rate on our borrowings was 5.3%, and the available and unused borrowing capacity under the revolving line of credit was $2.9 million. Total revolver borrowing capacity is limited by our consolidated net leverage ratio as defined under the Credit Agreement.</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On April 28, 2022, we entered into an amendment to the Credit Agreement and Pledge and Security Agreement (see Note 9 to our Condensed Consolidated Financial Statements included in “Part I, Item 1. Financial Statements” of this report). We are in compliance with the covenants of the Credit Agreement, as amended, as of June 30, 2022.</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plans,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and other macroeconomic trends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7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CONDENSED CONSOLIDATED CASH FLOW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Cash (used in) provided by operating activities</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5715</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Cash used in financing activities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570039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(2,176)</w:t>
            </w:r>
          </w:p>
        </w:tc>
        <w:tc>
          <w:tcPr>
            <w:tcW w:w="8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1,805</w:t>
            </w:r>
          </w:p>
        </w:tc>
      </w:tr>
      <w:tr>
        <w:trPr>
          <w:trHeight w:val="216"/>
        </w:trPr>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34"/>
        </w:trPr>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580" w:space="720"/>
            <w:col w:w="4940"/>
          </w:cols>
          <w:pgMar w:left="320" w:top="121" w:right="339" w:bottom="1440" w:gutter="0" w:footer="0" w:header="0"/>
          <w:type w:val="continuous"/>
        </w:sect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Cash (used in) provided by operating activities was $(2.2) million and $1.8 million for the six months ended June 30, 2022 and 2021, respectively. Cash flow from operations for the six months ended June 30, 2022 was lower than the comparable period in the prior year due to increased operating losses as noted, and offset by the positive impact of improved accounts receivable collections. Also, during the six months ended June 30, 2022, we paid approximately $4.0 million in connection with the Settlement.</w:t>
      </w:r>
    </w:p>
    <w:p>
      <w:pPr>
        <w:spacing w:after="0" w:line="180"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$0.9 million and $0.5 million for the six months ended June 30, 2022 and 2021, respectively, and primarily consisted of capital expenditures in manufacturing and information technology infrastructure.</w:t>
      </w:r>
    </w:p>
    <w:p>
      <w:pPr>
        <w:spacing w:after="0" w:line="162"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was $0.5 million and $3.3 million for the six months ended June 30, 2022 and 2021, respectively. During the six months ended June 30, 2022, total debt outstanding under our credit facility was unchanged. Payments of $1.7 million paid against the term loan were offset by net drawings against our revolver of $1.7 million. We also paid $0.5 million for taxes related to net share settlement of equity awards. During the six months ended June 30, 2021, we repaid $5.0 million of debt, which included a term loan installment payment of $1.0 million and paydown of debt under our revolving facility of $4.0 million, we received proceeds of $2.8 million from the exercise of stock options and we paid $1.0 million for taxes related to net share settlements of equity awards.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Our international operations in some instances operate in a natural hedge as we sell our products in many countries and a substantial portion of our revenues, costs and expenses are denominated in foreign currencies, especially the British pound, the euro, the Canadian dollar, and the Swedish krona.</w:t>
      </w:r>
    </w:p>
    <w:p>
      <w:pPr>
        <w:spacing w:after="0" w:line="16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changes in foreign currency exchange rates resulted in an unfavorable translation effect on our consolidated revenues of approximately $0.9 million and a favorable effect on expense of approximately $0.9 million. During the six months ended June 30, 2022, changes in foreign currency exchange rates resulted in an unfavorable translation effect on our consolidated revenues of approximately $1.3 million and a favorable effect on expenses of approximately $1.3 million.</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loss associated with the translation of foreign equity into U.S. dollars included as a component of comprehensive (loss) income during the three months ended June 30, 2022 was $(2.5) million, compared to gain of approximately $0.5 million for the three months ended June 30, 2021. The loss associated with the translation of foreign equity into U.S. dollars included as a component of comprehensive loss during the six months ended June 30, 2022 was $(3.2) million, compared to loss of $(0.8) million for the six months ended June 30, 2021.</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addition, currency exchange rate fluctuations included as a component of net income resulted in currency losses of approximately $(0.2) million and $(0.2) million during each of the three months ended June 30, 2022 and 2021, and $(0.2) million and $(0.1) million during each of the six months ended June 30, 2022 and 2021,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critical accounting policies underlying the accompanying unaudited consolidated financial statements are those set forth in Part II, Item 7 included in our Annual Report on Form 10-K for the fiscal year ended December 31, 2021.</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“Recently Issued Accounting Pronouncements” included in Note 2 to our Condensed Consolidated Financial Statements included in “Part I, Item 1. Financial Statements”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As of June 30, 2022,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second quarter of fiscal 2022 that have materially affected, or are reasonably likely to materially affect, our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information included in Note 12 and Note 13 to the Condensed Consolidated Financial Statements (Unaudited) included in Part I, Item 1 of this quarterly report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 factors set forth below together with the risk factors discussed in Part I, “Item 1A. Risk Factors” in our Annual Report on Form 10-K for the fiscal year ended December 31, 2021, which could materially affect our business, financial position, or future results of operations. The risks described below and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r>
        <w:rPr>
          <w:rFonts w:ascii="Times New Roman" w:cs="Times New Roman" w:eastAsia="Times New Roman" w:hAnsi="Times New Roman"/>
          <w:sz w:val="17"/>
          <w:szCs w:val="17"/>
          <w:b w:val="1"/>
          <w:bCs w:val="1"/>
          <w:i w:val="1"/>
          <w:iCs w:val="1"/>
          <w:color w:val="auto"/>
        </w:rPr>
        <w: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420" w:type="dxa"/>
            <w:vAlign w:val="bottom"/>
            <w:gridSpan w:val="2"/>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440" w:type="dxa"/>
            <w:vAlign w:val="bottom"/>
          </w:tcPr>
          <w:p>
            <w:pPr>
              <w:spacing w:after="0"/>
              <w:rPr>
                <w:sz w:val="24"/>
                <w:szCs w:val="24"/>
                <w:color w:val="auto"/>
              </w:rPr>
            </w:pPr>
          </w:p>
        </w:tc>
        <w:tc>
          <w:tcPr>
            <w:tcW w:w="10340" w:type="dxa"/>
            <w:vAlign w:val="bottom"/>
            <w:gridSpan w:val="10"/>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First Amendment to Credit Agreement and Amendment to Pledge and Security Agreement, dated April 28, 2022, among Harvard Bioscience,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Inc., Citizens Bank, N.A., as the administrative agent, and the lenders party thereto (previously filed as an exhibit to the Company’s Current</w:t>
              </w:r>
            </w:hyperlink>
          </w:p>
        </w:tc>
        <w:tc>
          <w:tcPr>
            <w:tcW w:w="140" w:type="dxa"/>
            <w:vAlign w:val="bottom"/>
            <w:tcBorders>
              <w:top w:val="single" w:sz="8" w:color="0000EE"/>
            </w:tcBorders>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340" w:type="dxa"/>
            <w:vAlign w:val="bottom"/>
            <w:gridSpan w:val="10"/>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Report on Form 8-K on April 28, 2022 and incorporated by reference thereto).</w:t>
              </w:r>
            </w:hyperlink>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440" w:type="dxa"/>
            <w:vAlign w:val="bottom"/>
          </w:tcPr>
          <w:p>
            <w:pPr>
              <w:spacing w:after="0"/>
              <w:rPr>
                <w:sz w:val="17"/>
                <w:szCs w:val="17"/>
                <w:color w:val="auto"/>
              </w:rPr>
            </w:pPr>
          </w:p>
        </w:tc>
        <w:tc>
          <w:tcPr>
            <w:tcW w:w="10340" w:type="dxa"/>
            <w:vAlign w:val="bottom"/>
            <w:gridSpan w:val="10"/>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Harvard Bioscience, Inc. Employee Stock Purchase Plan, as amended (previously filed as an exhibit to the Company’s Current Report on Form</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3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8-K on May 17, 2022 and incorporated by reference thereto).</w:t>
              </w:r>
            </w:hyperlink>
          </w:p>
        </w:tc>
        <w:tc>
          <w:tcPr>
            <w:tcW w:w="2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40" w:type="dxa"/>
            <w:vAlign w:val="bottom"/>
          </w:tcPr>
          <w:p>
            <w:pPr>
              <w:spacing w:after="0"/>
              <w:rPr>
                <w:sz w:val="17"/>
                <w:szCs w:val="17"/>
                <w:color w:val="auto"/>
              </w:rPr>
            </w:pPr>
          </w:p>
        </w:tc>
        <w:tc>
          <w:tcPr>
            <w:tcW w:w="103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of Harvard Bioscience, Inc., pursuant to Rules 13a-14(a) and 15d-14(a), as adopted pursuant to Section</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302 of the Sarbanes-Oxley Act of 2002.</w:t>
            </w:r>
          </w:p>
        </w:tc>
        <w:tc>
          <w:tcPr>
            <w:tcW w:w="742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40" w:type="dxa"/>
            <w:vAlign w:val="bottom"/>
          </w:tcPr>
          <w:p>
            <w:pPr>
              <w:spacing w:after="0"/>
              <w:rPr>
                <w:sz w:val="17"/>
                <w:szCs w:val="17"/>
                <w:color w:val="auto"/>
              </w:rPr>
            </w:pPr>
          </w:p>
        </w:tc>
        <w:tc>
          <w:tcPr>
            <w:tcW w:w="103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of Harvard Bioscience, Inc., pursuant to Rules 13a-14(a) and 15d-14(a), as adopted pursuant to Section</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302 of the Sarbanes-Oxley Act of 2002.</w:t>
            </w:r>
          </w:p>
        </w:tc>
        <w:tc>
          <w:tcPr>
            <w:tcW w:w="7460" w:type="dxa"/>
            <w:vAlign w:val="bottom"/>
            <w:tcBorders>
              <w:top w:val="single" w:sz="8" w:color="0000EE"/>
            </w:tcBorders>
            <w:gridSpan w:val="8"/>
          </w:tcPr>
          <w:p>
            <w:pPr>
              <w:spacing w:after="0"/>
              <w:rPr>
                <w:sz w:val="17"/>
                <w:szCs w:val="17"/>
                <w:color w:val="auto"/>
              </w:rPr>
            </w:pPr>
          </w:p>
        </w:tc>
      </w:tr>
      <w:tr>
        <w:trPr>
          <w:trHeight w:val="196"/>
        </w:trPr>
        <w:tc>
          <w:tcPr>
            <w:tcW w:w="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32.</w:t>
            </w:r>
            <w:r>
              <w:rPr>
                <w:rFonts w:ascii="Times New Roman" w:cs="Times New Roman" w:eastAsia="Times New Roman" w:hAnsi="Times New Roman"/>
                <w:sz w:val="18"/>
                <w:szCs w:val="18"/>
                <w:u w:val="single" w:color="auto"/>
                <w:color w:val="0000EE"/>
                <w:w w:val="98"/>
              </w:rPr>
              <w:t>1*</w:t>
            </w:r>
          </w:p>
        </w:tc>
        <w:tc>
          <w:tcPr>
            <w:tcW w:w="440" w:type="dxa"/>
            <w:vAlign w:val="bottom"/>
          </w:tcPr>
          <w:p>
            <w:pPr>
              <w:spacing w:after="0"/>
              <w:rPr>
                <w:sz w:val="17"/>
                <w:szCs w:val="17"/>
                <w:color w:val="auto"/>
              </w:rPr>
            </w:pPr>
          </w:p>
        </w:tc>
        <w:tc>
          <w:tcPr>
            <w:tcW w:w="103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of Harvard Bioscience, Inc., pursuant to 18 U.S.C. Section 1350, as adopted pursuant to Section 906 of</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60" w:type="dxa"/>
            <w:vAlign w:val="bottom"/>
            <w:gridSpan w:val="3"/>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980" w:type="dxa"/>
            <w:vAlign w:val="bottom"/>
            <w:gridSpan w:val="9"/>
          </w:tcPr>
          <w:p>
            <w:pPr>
              <w:spacing w:after="0" w:line="20" w:lineRule="exact"/>
              <w:rPr>
                <w:sz w:val="1"/>
                <w:szCs w:val="1"/>
                <w:color w:val="auto"/>
              </w:rPr>
            </w:pPr>
          </w:p>
        </w:tc>
      </w:tr>
      <w:tr>
        <w:trPr>
          <w:trHeight w:val="196"/>
        </w:trPr>
        <w:tc>
          <w:tcPr>
            <w:tcW w:w="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32.</w:t>
            </w:r>
            <w:r>
              <w:rPr>
                <w:rFonts w:ascii="Times New Roman" w:cs="Times New Roman" w:eastAsia="Times New Roman" w:hAnsi="Times New Roman"/>
                <w:sz w:val="18"/>
                <w:szCs w:val="18"/>
                <w:u w:val="single" w:color="auto"/>
                <w:color w:val="0000EE"/>
                <w:w w:val="98"/>
              </w:rPr>
              <w:t>2*</w:t>
            </w:r>
          </w:p>
        </w:tc>
        <w:tc>
          <w:tcPr>
            <w:tcW w:w="440" w:type="dxa"/>
            <w:vAlign w:val="bottom"/>
          </w:tcPr>
          <w:p>
            <w:pPr>
              <w:spacing w:after="0"/>
              <w:rPr>
                <w:sz w:val="17"/>
                <w:szCs w:val="17"/>
                <w:color w:val="auto"/>
              </w:rPr>
            </w:pPr>
          </w:p>
        </w:tc>
        <w:tc>
          <w:tcPr>
            <w:tcW w:w="103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of Harvard Bioscience, Inc., pursuant to 18 U.S.C. Section 1350, as adopted pursuant to Section 906 of</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60" w:type="dxa"/>
            <w:vAlign w:val="bottom"/>
            <w:gridSpan w:val="3"/>
          </w:tcPr>
          <w:p>
            <w:pPr>
              <w:spacing w:after="0"/>
              <w:rPr>
                <w:sz w:val="17"/>
                <w:szCs w:val="17"/>
                <w:color w:val="auto"/>
              </w:rPr>
            </w:pPr>
          </w:p>
        </w:tc>
      </w:tr>
      <w:tr>
        <w:trPr>
          <w:trHeight w:val="20"/>
        </w:trPr>
        <w:tc>
          <w:tcPr>
            <w:tcW w:w="860" w:type="dxa"/>
            <w:vAlign w:val="bottom"/>
            <w:gridSpan w:val="3"/>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980" w:type="dxa"/>
            <w:vAlign w:val="bottom"/>
            <w:gridSpan w:val="9"/>
          </w:tcPr>
          <w:p>
            <w:pPr>
              <w:spacing w:after="0" w:line="20" w:lineRule="exact"/>
              <w:rPr>
                <w:sz w:val="1"/>
                <w:szCs w:val="1"/>
                <w:color w:val="auto"/>
              </w:rPr>
            </w:pPr>
          </w:p>
        </w:tc>
      </w:tr>
      <w:tr>
        <w:trPr>
          <w:trHeight w:val="43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ind w:left="860" w:right="120" w:hanging="852"/>
        <w:spacing w:after="0" w:line="255"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undersigned thereunto duly authorized.</w:t>
      </w:r>
    </w:p>
    <w:p>
      <w:pPr>
        <w:spacing w:after="0" w:line="16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7"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91"/>
        </w:trPr>
        <w:tc>
          <w:tcPr>
            <w:tcW w:w="56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James Green</w:t>
            </w:r>
          </w:p>
        </w:tc>
      </w:tr>
      <w:tr>
        <w:trPr>
          <w:trHeight w:val="234"/>
        </w:trPr>
        <w:tc>
          <w:tcPr>
            <w:tcW w:w="5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 MICHAEL A. ROSSI</w:t>
            </w:r>
          </w:p>
        </w:tc>
      </w:tr>
      <w:tr>
        <w:trPr>
          <w:trHeight w:val="191"/>
        </w:trPr>
        <w:tc>
          <w:tcPr>
            <w:tcW w:w="56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Michael A. Rossi</w:t>
            </w:r>
          </w:p>
        </w:tc>
      </w:tr>
      <w:tr>
        <w:trPr>
          <w:trHeight w:val="234"/>
        </w:trPr>
        <w:tc>
          <w:tcPr>
            <w:tcW w:w="5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Rossi, certify that:</w:t>
      </w:r>
    </w:p>
    <w:p>
      <w:pPr>
        <w:spacing w:after="0" w:line="225" w:lineRule="exact"/>
        <w:rPr>
          <w:sz w:val="20"/>
          <w:szCs w:val="20"/>
          <w:color w:val="auto"/>
        </w:rPr>
      </w:pPr>
    </w:p>
    <w:p>
      <w:pPr>
        <w:ind w:left="580" w:hanging="343"/>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jc w:val="both"/>
        <w:ind w:left="580" w:hanging="343"/>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hanging="343"/>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20" w:hanging="343"/>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00" w:hanging="333"/>
        <w:spacing w:after="0" w:line="266"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00" w:hanging="333"/>
        <w:spacing w:after="0" w:line="266"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00" w:hanging="333"/>
        <w:spacing w:after="0" w:line="266"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20" w:hanging="343"/>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00" w:right="80" w:hanging="333"/>
        <w:spacing w:after="0" w:line="282"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/s/ MICHAEL A. ROSSI</w:t>
      </w:r>
    </w:p>
    <w:p>
      <w:pPr>
        <w:spacing w:after="0" w:line="22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Michael A. Rossi</w:t>
      </w:r>
    </w:p>
    <w:p>
      <w:pPr>
        <w:spacing w:after="0" w:line="27"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25" w:lineRule="exact"/>
        <w:rPr>
          <w:sz w:val="20"/>
          <w:szCs w:val="20"/>
          <w:color w:val="auto"/>
        </w:rPr>
      </w:pPr>
    </w:p>
    <w:p>
      <w:pPr>
        <w:ind w:left="580" w:hanging="343"/>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jc w:val="both"/>
        <w:ind w:left="580" w:hanging="343"/>
        <w:spacing w:after="0" w:line="266"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hanging="343"/>
        <w:spacing w:after="0" w:line="28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20" w:hanging="343"/>
        <w:spacing w:after="0" w:line="266"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00" w:hanging="333"/>
        <w:spacing w:after="0" w:line="266" w:lineRule="auto"/>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00" w:hanging="333"/>
        <w:spacing w:after="0" w:line="266" w:lineRule="auto"/>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00" w:hanging="333"/>
        <w:spacing w:after="0" w:line="266" w:lineRule="auto"/>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20" w:hanging="343"/>
        <w:spacing w:after="0" w:line="28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/s/ JAMES GREEN</w:t>
      </w:r>
    </w:p>
    <w:p>
      <w:pPr>
        <w:spacing w:after="0" w:line="22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James Green</w:t>
      </w:r>
    </w:p>
    <w:p>
      <w:pPr>
        <w:spacing w:after="0" w:line="27"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Quarterly Report on Form 10-Q for the quarterly period ended June 30, 2022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4"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/s/ MICHAEL A. ROSSI</w:t>
      </w:r>
    </w:p>
    <w:p>
      <w:pPr>
        <w:spacing w:after="0" w:line="22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Name: Michael A. Rossi</w:t>
      </w:r>
    </w:p>
    <w:p>
      <w:pPr>
        <w:spacing w:after="0" w:line="27"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Quarterly Report on Form 10-Q for the quarterly period ended June 30, 2022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4" w:lineRule="exact"/>
        <w:rPr>
          <w:sz w:val="20"/>
          <w:szCs w:val="20"/>
          <w:color w:val="auto"/>
        </w:rPr>
      </w:pPr>
    </w:p>
    <w:p>
      <w:pPr>
        <w:spacing w:after="0"/>
        <w:tabs>
          <w:tab w:leader="none" w:pos="90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/s/ JAMES GREEN</w:t>
      </w:r>
    </w:p>
    <w:p>
      <w:pPr>
        <w:spacing w:after="0" w:line="225"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Name: James Green</w:t>
      </w:r>
    </w:p>
    <w:p>
      <w:pPr>
        <w:spacing w:after="0" w:line="27"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Title: Chief Executive</w:t>
      </w:r>
    </w:p>
    <w:p>
      <w:pPr>
        <w:spacing w:after="0" w:line="9"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8"/>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6" Type="http://schemas.openxmlformats.org/officeDocument/2006/relationships/hyperlink" Target="http://www.sec.gov/Archives/edgar/data/1123494/000119380522000698/e621557_ex10-1.htm" TargetMode="External"/><Relationship Id="rId37" Type="http://schemas.openxmlformats.org/officeDocument/2006/relationships/hyperlink" Target="http://www.sec.gov/Archives/edgar/data/1123494/000119380522000823/e621669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2022-08-04T16:53:40Z</dcterms:created>
  <dcterms:modified xsi:type="dcterms:W3CDTF">2022-08-04T16:53:40Z</dcterms:modified>
</cp:coreProperties>
</file>