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169545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866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163195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HARVARD BIOSCIENCE,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04-3306140</w:t>
            </w:r>
          </w:p>
        </w:tc>
      </w:t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(State or Other Jurisdiction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Incorporation or Organization)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84 October Hill Road, Holliston, MA</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01746</w:t>
            </w:r>
          </w:p>
        </w:tc>
      </w:tr>
      <w:tr>
        <w:trPr>
          <w:trHeight w:val="234"/>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480" w:type="dxa"/>
            <w:vAlign w:val="bottom"/>
          </w:tcPr>
          <w:p>
            <w:pPr>
              <w:jc w:val="right"/>
              <w:ind w:right="1430"/>
              <w:spacing w:after="0"/>
              <w:rPr>
                <w:sz w:val="20"/>
                <w:szCs w:val="20"/>
                <w:color w:val="auto"/>
              </w:rPr>
            </w:pPr>
            <w:r>
              <w:rPr>
                <w:rFonts w:ascii="Arial" w:cs="Arial" w:eastAsia="Arial" w:hAnsi="Arial"/>
                <w:sz w:val="18"/>
                <w:szCs w:val="18"/>
                <w:b w:val="1"/>
                <w:bCs w:val="1"/>
                <w:color w:val="auto"/>
              </w:rPr>
              <w:t>(508) 893-8999</w:t>
            </w:r>
          </w:p>
        </w:tc>
        <w:tc>
          <w:tcPr>
            <w:tcW w:w="1480" w:type="dxa"/>
            <w:vAlign w:val="bottom"/>
          </w:tcPr>
          <w:p>
            <w:pPr>
              <w:spacing w:after="0"/>
              <w:rPr>
                <w:sz w:val="24"/>
                <w:szCs w:val="24"/>
                <w:color w:val="auto"/>
              </w:rPr>
            </w:pPr>
          </w:p>
        </w:tc>
      </w:tr>
      <w:tr>
        <w:trPr>
          <w:trHeight w:val="234"/>
        </w:trPr>
        <w:tc>
          <w:tcPr>
            <w:tcW w:w="648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146050</wp:posOffset>
            </wp:positionV>
            <wp:extent cx="230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80" w:firstLine="441"/>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620" w:val="left"/>
          <w:tab w:leader="none" w:pos="1440" w:val="left"/>
        </w:tabs>
        <w:rPr>
          <w:sz w:val="20"/>
          <w:szCs w:val="20"/>
          <w:color w:val="auto"/>
        </w:rPr>
      </w:pPr>
      <w:r>
        <w:rPr>
          <w:rFonts w:ascii="Arial" w:cs="Arial" w:eastAsia="Arial" w:hAnsi="Arial"/>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ab/>
        <w:t xml:space="preserve">☐ </w:t>
      </w:r>
      <w:r>
        <w:rPr>
          <w:rFonts w:ascii="Arial" w:cs="Arial" w:eastAsia="Arial" w:hAnsi="Arial"/>
          <w:sz w:val="18"/>
          <w:szCs w:val="18"/>
          <w:color w:val="auto"/>
        </w:rPr>
        <w:t>NO</w:t>
      </w:r>
    </w:p>
    <w:p>
      <w:pPr>
        <w:spacing w:after="0" w:line="21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820"/>
              <w:spacing w:after="0"/>
              <w:rPr>
                <w:sz w:val="20"/>
                <w:szCs w:val="20"/>
                <w:color w:val="auto"/>
              </w:rPr>
            </w:pPr>
            <w:r>
              <w:rPr>
                <w:rFonts w:ascii="Arial" w:cs="Arial" w:eastAsia="Arial" w:hAnsi="Arial"/>
                <w:sz w:val="18"/>
                <w:szCs w:val="18"/>
                <w:color w:val="auto"/>
                <w:w w:val="92"/>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w w:val="97"/>
              </w:rPr>
              <w:t>Emerging growth company</w:t>
            </w:r>
          </w:p>
        </w:tc>
        <w:tc>
          <w:tcPr>
            <w:tcW w:w="3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82" w:lineRule="exact"/>
        <w:rPr>
          <w:sz w:val="24"/>
          <w:szCs w:val="24"/>
          <w:color w:val="auto"/>
        </w:rPr>
      </w:pPr>
    </w:p>
    <w:p>
      <w:pPr>
        <w:ind w:right="220" w:firstLine="441"/>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ab/>
        <w:t xml:space="preserve">☒ </w:t>
      </w:r>
      <w:r>
        <w:rPr>
          <w:rFonts w:ascii="Arial" w:cs="Arial" w:eastAsia="Arial" w:hAnsi="Arial"/>
          <w:sz w:val="18"/>
          <w:szCs w:val="18"/>
          <w:color w:val="auto"/>
        </w:rPr>
        <w:t>NO</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October 25, 2018, there were 37,293,918 shares of common stock, par value $0.01 per share, outstanding.</w:t>
      </w: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rPr>
              <w:t>HARVARD BIOSCIENCE, INC.</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w w:val="99"/>
              </w:rPr>
              <w:t>FORM 10-Q</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w w:val="91"/>
              </w:rPr>
              <w:t>For the Quarter Ended September 30, 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rPr>
              <w:t>INDEX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296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74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7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gridSpan w:val="2"/>
          </w:tcPr>
          <w:p>
            <w:pPr>
              <w:jc w:val="center"/>
              <w:ind w:left="33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2018 and December 31, 2017 (unaudited)</w:t>
              </w:r>
            </w:hyperlink>
          </w:p>
        </w:tc>
        <w:tc>
          <w:tcPr>
            <w:tcW w:w="520" w:type="dxa"/>
            <w:vAlign w:val="bottom"/>
            <w:gridSpan w:val="2"/>
          </w:tcPr>
          <w:p>
            <w:pPr>
              <w:jc w:val="center"/>
              <w:ind w:left="33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(Loss) for the Nine Months Ended September 30,</w:t>
              </w:r>
            </w:hyperlink>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2018 and 2017 (unaudited)</w:t>
              </w:r>
            </w:hyperlink>
          </w:p>
        </w:tc>
        <w:tc>
          <w:tcPr>
            <w:tcW w:w="682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4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for the Nine Months Ended September 30, 2018 and 2017 (unaudited)</w:t>
              </w:r>
            </w:hyperlink>
          </w:p>
        </w:tc>
        <w:tc>
          <w:tcPr>
            <w:tcW w:w="8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4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Consolidated Financial Statements</w:t>
              </w:r>
            </w:hyperlink>
          </w:p>
        </w:tc>
        <w:tc>
          <w:tcPr>
            <w:tcW w:w="482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4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876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20" w:type="dxa"/>
            <w:vAlign w:val="bottom"/>
            <w:gridSpan w:val="2"/>
          </w:tcPr>
          <w:p>
            <w:pPr>
              <w:jc w:val="center"/>
              <w:ind w:left="2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87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520" w:type="dxa"/>
            <w:vAlign w:val="bottom"/>
            <w:gridSpan w:val="2"/>
          </w:tcPr>
          <w:p>
            <w:pPr>
              <w:jc w:val="center"/>
              <w:ind w:left="25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1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76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20" w:type="dxa"/>
            <w:vAlign w:val="bottom"/>
            <w:gridSpan w:val="2"/>
          </w:tcPr>
          <w:p>
            <w:pPr>
              <w:jc w:val="center"/>
              <w:ind w:left="25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1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38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 - OTHER INFORMATION</w:t>
              </w:r>
            </w:hyperlink>
          </w:p>
        </w:tc>
        <w:tc>
          <w:tcPr>
            <w:tcW w:w="520" w:type="dxa"/>
            <w:vAlign w:val="bottom"/>
            <w:gridSpan w:val="2"/>
          </w:tcPr>
          <w:p>
            <w:pPr>
              <w:jc w:val="center"/>
              <w:ind w:left="25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140" w:type="dxa"/>
            <w:vAlign w:val="bottom"/>
          </w:tcPr>
          <w:p>
            <w:pPr>
              <w:spacing w:after="0"/>
              <w:rPr>
                <w:sz w:val="24"/>
                <w:szCs w:val="24"/>
                <w:color w:val="auto"/>
              </w:rPr>
            </w:pPr>
          </w:p>
        </w:tc>
      </w:tr>
      <w:tr>
        <w:trPr>
          <w:trHeight w:val="412"/>
        </w:trPr>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620" w:type="dxa"/>
            <w:vAlign w:val="bottom"/>
            <w:tcBorders>
              <w:top w:val="single" w:sz="8" w:color="0000EE"/>
            </w:tcBorders>
            <w:gridSpan w:val="2"/>
          </w:tcPr>
          <w:p>
            <w:pPr>
              <w:spacing w:after="0"/>
              <w:rPr>
                <w:sz w:val="24"/>
                <w:szCs w:val="24"/>
                <w:color w:val="auto"/>
              </w:rPr>
            </w:pPr>
          </w:p>
        </w:tc>
        <w:tc>
          <w:tcPr>
            <w:tcW w:w="1020" w:type="dxa"/>
            <w:vAlign w:val="bottom"/>
            <w:tcBorders>
              <w:top w:val="single" w:sz="8" w:color="0000EE"/>
            </w:tcBorders>
            <w:gridSpan w:val="3"/>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Risk Factors</w:t>
              </w:r>
            </w:hyperlink>
          </w:p>
        </w:tc>
        <w:tc>
          <w:tcPr>
            <w:tcW w:w="774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37">
              <w:r>
                <w:rPr>
                  <w:rFonts w:ascii="Arial" w:cs="Arial" w:eastAsia="Arial" w:hAnsi="Arial"/>
                  <w:sz w:val="17"/>
                  <w:szCs w:val="17"/>
                  <w:color w:val="0000EE"/>
                  <w:w w:val="73"/>
                </w:rPr>
                <w:t>37</w:t>
              </w:r>
            </w:hyperlink>
          </w:p>
        </w:tc>
        <w:tc>
          <w:tcPr>
            <w:tcW w:w="14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620" w:type="dxa"/>
            <w:vAlign w:val="bottom"/>
            <w:gridSpan w:val="2"/>
          </w:tcPr>
          <w:p>
            <w:pPr>
              <w:spacing w:after="0"/>
              <w:rPr>
                <w:sz w:val="24"/>
                <w:szCs w:val="24"/>
                <w:color w:val="auto"/>
              </w:rPr>
            </w:pP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86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38">
              <w:r>
                <w:rPr>
                  <w:rFonts w:ascii="Arial" w:cs="Arial" w:eastAsia="Arial" w:hAnsi="Arial"/>
                  <w:sz w:val="17"/>
                  <w:szCs w:val="17"/>
                  <w:color w:val="0000EE"/>
                  <w:w w:val="73"/>
                </w:rPr>
                <w:t>38</w:t>
              </w:r>
            </w:hyperlink>
          </w:p>
        </w:tc>
        <w:tc>
          <w:tcPr>
            <w:tcW w:w="1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62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jc w:val="center"/>
              <w:ind w:left="25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14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40"/>
          </w:cols>
          <w:pgMar w:left="240" w:top="337" w:right="6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HARVARD BIOSCIENCE,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b w:val="1"/>
          <w:bCs w:val="1"/>
          <w:color w:val="auto"/>
        </w:rPr>
        <w:t>(Unaudited, 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for doubtful accounts of $301 and $193,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17,880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Other receivables and other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assets held for sale</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54,528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Amortizable intangible assets,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46,110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Other indefinite lived intangible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Long term assets held for sale</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165,040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5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long-term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Other liabilities - current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liabilities held for sale</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19,261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Long-term debt, less current installments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59,247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Other long term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liabilities held for sale</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84,081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89"/>
              </w:rPr>
              <w:t>Common stock, par value $0.01 per share, 80,000,000 shares authorized; 45,032,925 and 42,763,985 shares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issued and 37,287,418 and 35,018,478 shares outstanding, respectively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225,530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(122,751)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Treasury stock at cost, 7,745,507 common shares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165,040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unaudited consolidated financial statements.</w:t>
      </w:r>
    </w:p>
    <w:p>
      <w:pPr>
        <w:sectPr>
          <w:pgSz w:w="11900" w:h="16838" w:orient="portrait"/>
          <w:cols w:equalWidth="0" w:num="1">
            <w:col w:w="11420"/>
          </w:cols>
          <w:pgMar w:left="240" w:top="233"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HARVARD BIOSCIENCE,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22"/>
          <w:szCs w:val="22"/>
          <w:b w:val="1"/>
          <w:bCs w:val="1"/>
          <w:color w:val="auto"/>
        </w:rPr>
        <w:t>(Unaudited,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4"/>
          </w:tcPr>
          <w:p>
            <w:pPr>
              <w:jc w:val="right"/>
              <w:ind w:right="165"/>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b w:val="1"/>
                <w:bCs w:val="1"/>
                <w:color w:val="auto"/>
                <w:w w:val="97"/>
              </w:rPr>
              <w:t>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28,635</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18,717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86,916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12,818</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15,817</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4,655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15,297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1,468</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14,927</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(1,798)</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Income from discontinued operations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Basic loss per common share from continuing operations</w:t>
            </w:r>
          </w:p>
        </w:tc>
        <w:tc>
          <w:tcPr>
            <w:tcW w:w="11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rPr>
              <w:t>Basic earnings per common share from discontinued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loss per common share</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Diluted loss per common share from continuing operations</w:t>
            </w:r>
          </w:p>
        </w:tc>
        <w:tc>
          <w:tcPr>
            <w:tcW w:w="11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rPr>
              <w:t>Diluted earnings per common share from discontinued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loss per common share</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36,947</w:t>
            </w:r>
          </w:p>
        </w:tc>
        <w:tc>
          <w:tcPr>
            <w:tcW w:w="1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34,840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36,170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36,947</w:t>
            </w:r>
          </w:p>
        </w:tc>
        <w:tc>
          <w:tcPr>
            <w:tcW w:w="1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34,840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36,170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Derivatives qualifying as hedges, net of tax:</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rPr>
              <w:t>Gain (loss) on derivative instruments designated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qualifying as cash flow hedges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loss to net loss</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unaudited consolidated financial statements.</w:t>
      </w:r>
    </w:p>
    <w:p>
      <w:pPr>
        <w:sectPr>
          <w:pgSz w:w="11900" w:h="16838" w:orient="portrait"/>
          <w:cols w:equalWidth="0" w:num="1">
            <w:col w:w="11420"/>
          </w:cols>
          <w:pgMar w:left="240" w:top="233" w:right="239" w:bottom="658"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658"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HARVARD BIOSCIENCE,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2"/>
          <w:szCs w:val="22"/>
          <w:b w:val="1"/>
          <w:bCs w:val="1"/>
          <w:color w:val="auto"/>
        </w:rPr>
        <w:t>(Unaudited,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(5,784)</w:t>
            </w: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Gain on sale of Denville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fixed assets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Amortization of catalog costs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allowance for doubtful accounts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520"/>
              <w:spacing w:after="0"/>
              <w:rPr>
                <w:sz w:val="20"/>
                <w:szCs w:val="20"/>
                <w:color w:val="auto"/>
              </w:rPr>
            </w:pPr>
            <w:r>
              <w:rPr>
                <w:rFonts w:ascii="Arial" w:cs="Arial" w:eastAsia="Arial" w:hAnsi="Arial"/>
                <w:sz w:val="18"/>
                <w:szCs w:val="18"/>
                <w:color w:val="auto"/>
              </w:rPr>
              <w:t>Decrease in accounts receivable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(increase) in inventories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520"/>
              <w:spacing w:after="0"/>
              <w:rPr>
                <w:sz w:val="20"/>
                <w:szCs w:val="20"/>
                <w:color w:val="auto"/>
              </w:rPr>
            </w:pPr>
            <w:r>
              <w:rPr>
                <w:rFonts w:ascii="Arial" w:cs="Arial" w:eastAsia="Arial" w:hAnsi="Arial"/>
                <w:sz w:val="18"/>
                <w:szCs w:val="18"/>
                <w:color w:val="auto"/>
              </w:rPr>
              <w:t>Increase in other receivables and other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trade accounts payable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520"/>
              <w:spacing w:after="0"/>
              <w:rPr>
                <w:sz w:val="20"/>
                <w:szCs w:val="20"/>
                <w:color w:val="auto"/>
              </w:rPr>
            </w:pPr>
            <w:r>
              <w:rPr>
                <w:rFonts w:ascii="Arial" w:cs="Arial" w:eastAsia="Arial" w:hAnsi="Arial"/>
                <w:sz w:val="18"/>
                <w:szCs w:val="18"/>
                <w:color w:val="auto"/>
              </w:rPr>
              <w:t>Increase in accrued income taxes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accrued expenses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520"/>
              <w:spacing w:after="0"/>
              <w:rPr>
                <w:sz w:val="20"/>
                <w:szCs w:val="20"/>
                <w:color w:val="auto"/>
              </w:rPr>
            </w:pPr>
            <w:r>
              <w:rPr>
                <w:rFonts w:ascii="Arial" w:cs="Arial" w:eastAsia="Arial" w:hAnsi="Arial"/>
                <w:sz w:val="18"/>
                <w:szCs w:val="18"/>
                <w:color w:val="auto"/>
              </w:rPr>
              <w:t>Increase in deferred revenue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increase in other liabilities</w:t>
            </w:r>
          </w:p>
        </w:tc>
        <w:tc>
          <w:tcPr>
            <w:tcW w:w="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Additions to catalog costs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net of cash acquired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Disposition, net of cash sold</w:t>
            </w: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15,754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financing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70,800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Payments of debt issuance costs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(net taxes paid for) issuance of common stock</w:t>
            </w:r>
          </w:p>
        </w:tc>
        <w:tc>
          <w:tcPr>
            <w:tcW w:w="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53,407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Cash and cash equivalents at the beginning of period, including cash included in assets held for sale</w:t>
            </w: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6,661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3,509</w:t>
            </w: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refunded for income taxes</w:t>
            </w:r>
          </w:p>
        </w:tc>
        <w:tc>
          <w:tcPr>
            <w:tcW w:w="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left="1100" w:hanging="1092"/>
        <w:spacing w:after="0"/>
        <w:tabs>
          <w:tab w:leader="none" w:pos="11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September 30, 2018 and for the nine months ended September 30, 2018 and 2017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2017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2017, which was filed with the SEC on March 16, 2018.</w:t>
      </w:r>
    </w:p>
    <w:p>
      <w:pPr>
        <w:spacing w:after="0" w:line="16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 the opinion of management, all adjustments, which include normal recurring adjustments necessary to present a fair statement of financial position as of September 30, 2018, results of operations and comprehensive income (loss) for the three and nine months ended September 30, 2018 and 2017 and cash flows for the nine months ended September 30, 2018 and 2017, as applicable, have been made. The results of operations for the three and nine months ended September 30, 2018 are not necessarily indicative of the operating results for the full fiscal year or any future periods.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As disclosed in Note 5, on January 22, 2018, the Company sold substantially all the assets of its operating subsidiary, Denville Scientific, Inc. (Denville). The sale of Denville represented a strategic shift that has and will have a major effect on the Company’s operations and financial results. As such and pursuant to Accounting Standards Codification (ASC) 205-20 –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xml:space="preserve"> the operating results of Denville for the three and nine months ended September 30, 2018 and 2017 have been presented in discontinued operations in the consolidated statements of operations. Additionally, the assets and liabilities of Denville as of December 31, 2017 have been recast in the consolidated balance sheet and presented as held for sale. These reclassifications and adjustments had no effect on total amounts within the consolidated balance sheet, consolidated statements of operations and comprehensive income (loss), consolidated statements of cash flows for any of the periods presented.</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2017, which was filed with the SEC on March 16, 2018. Except for the accounting for revenue arising from contracts with customers as noted below there have been no material changes in the company’s significant accounting policies during the nine months ended September 30, 2018.</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Nature of contracts and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customers are primarily research scientists at universities, hospitals, government laboratories, including the United States National Institute of Health (NIH), contract research organizations, pharmaceutical and biotechnology companies. The Company also has global and regional distribution partners, and original equipment manufacturer (OEM) customers who incorporate its products into their products under their own brands.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performance obligations under its revenue contracts consist of its instruments, equipment, accessories, services,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estimated relative standalone selling price, which does not materially differ from the stated price in the contract.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a right to payment, and the customer has legal title to the asset and the customer or their selected carrier has possession, which is typically upon shipment. Sales on these items are therefore generally recognized at a point in time.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equipment revenue also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 based on the applicable guidance within ASC 606.</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Service revenues consist of installation, training, data analysis, and surgeries performed on research animals. Maintenance revenue consists of post-contract support provided in relation to software that is embedded within the equipment that is sold to the customer. The Company provides standard warranties that promise the customer that the product will work as promised. These standard warranties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service, maintenance and warranty contracts are recognized over time. The Company uses the input method to recognize revenue over time, based on time elapsed, which is generally on a straight-line basis over the service period. The period over which maintenance and warranty contracts is recognized is typically one year. The period over which service revenues is recognized is generally less than one month.</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Revenues expected to be recognized related to any and all remaining performance obligations are generally expected to be recognized in one year or less, as the majority of the Company's contracts have a term of less than one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payment terms are generally from zero to sixty days from the time of invoicing, which generally occurs at the time of shipment or prior to services being performed. Payment terms vary by the type of its customers and the products or services offered.</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deferred revenue when cash is collected from customers prior to satisfaction of the Company’s performance obligation to the customer. Deferred revenue consists of amounts deferred related to service contracts and revenue deferred as a result of payments received in advance from customers. Deferred revenue is generally expected to be recognized within one year.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amounts included in deferred revenue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that they have made a prepayment for.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Advanced payments received from customers are recorded as a liability, and revenue is recognized when the Company’s performance obligations are completed. Performance obligations are completed when the product is shipped or delivered to the customer, or at the end of the exchange program if goods are not acquired prior to the termination of the contract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allowance for doubtful accounts reflects the Company’s best estimate of probable losses inherent in the accounts receivable balance. The Company determines the allowance based on known troubled accounts, historical experience, and other currently available evidence.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Refer to Note 17 for revenue disaggregated by type and by geographic region as well as further information about the allowance for doubtful accounts and deferred revenue balances.</w:t>
      </w:r>
    </w:p>
    <w:p>
      <w:pPr>
        <w:spacing w:after="0" w:line="153" w:lineRule="exact"/>
        <w:rPr>
          <w:sz w:val="20"/>
          <w:szCs w:val="20"/>
          <w:color w:val="auto"/>
        </w:rPr>
      </w:pPr>
    </w:p>
    <w:p>
      <w:pPr>
        <w:ind w:left="1100" w:hanging="1092"/>
        <w:spacing w:after="0"/>
        <w:tabs>
          <w:tab w:leader="none" w:pos="11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The Company expects to utilize a practical expedient in its method of adoption of the standard. Under this expedient, which is a “current-period adjustment method,” the Company would apply ASC 842 as of January 2019 and record a cumulative-effect adjustment to retained earnings as of that date.</w:t>
      </w:r>
    </w:p>
    <w:p>
      <w:pPr>
        <w:spacing w:after="0" w:line="189"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The Company has collected information on its leases and is in the process of evaluating and applying the requirements of the standard to its leases. The Company has not yet concluded on the impact of the adoption on its consolidated financial position, results of operations and cash flows; however, the Company expects that the new standard will have a material effect on its consolidated balance sheet related to the recognition of new assets and lease liabilities. The Company expects to finalize its classification of leases as well as the effective interest rate to be applied in determining the lease liabilities during the fourth quarter of 2018. The Company’s future commitments under lease obligations are summarized in Note 12.</w:t>
      </w:r>
    </w:p>
    <w:p>
      <w:pPr>
        <w:spacing w:after="0" w:line="173"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The Company is evaluating the requirements of this guidance and has not yet determined the impact of the adoption on its consolidated financial position, results of operations and cash flows.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 new accounting standard that provides for a comprehensive model to use in the accounting for revenue arising from contracts with customers 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the Company expects to be entitled in exchange for those goods or services.</w:t>
      </w:r>
    </w:p>
    <w:p>
      <w:pPr>
        <w:spacing w:after="0" w:line="154"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The Company adopted this standard as of January 1, 2018 using the modified retrospective approach, and applied the guidance to contracts that were not completed at the date of adoption. The Company’s significant revenue streams currently consist primarily of product revenue transactions, service, maintenance and extended warranty transactions on certain product sales. The timing of recognizing revenues for these revenue streams did not materially change. Additionally, the adoption of ASU 2014-09 did not have a material impact on the Company’s financial position, results of operations, equity or cash flows as of the adoption date or for the three months ended March 31, 2018. The Company’s updated revenue recognition policy is described in Note 1 and disaggregated revenue disclosures required under ASC 2014-09 are presented in Note 17.</w:t>
      </w:r>
    </w:p>
    <w:p>
      <w:pPr>
        <w:spacing w:after="0" w:line="17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The Company adopted this guidance on January 1, 2018, and the new standard did not have a material impact on its consolidated financial position, results of operations and cash flows.</w:t>
      </w:r>
    </w:p>
    <w:p>
      <w:pPr>
        <w:spacing w:after="0" w:line="185" w:lineRule="exact"/>
        <w:rPr>
          <w:sz w:val="20"/>
          <w:szCs w:val="20"/>
          <w:color w:val="auto"/>
        </w:rPr>
      </w:pPr>
    </w:p>
    <w:p>
      <w:pPr>
        <w:ind w:left="1100" w:hanging="1092"/>
        <w:spacing w:after="0"/>
        <w:tabs>
          <w:tab w:leader="none" w:pos="11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each component of accumulated other comprehensive loss, net of tax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1"/>
              </w:rPr>
              <w:t>Foreign currency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2"/>
              </w:rPr>
              <w:t>Derivatives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vMerge w:val="restart"/>
          </w:tcPr>
          <w:p>
            <w:pPr>
              <w:spacing w:after="0"/>
              <w:rPr>
                <w:sz w:val="20"/>
                <w:szCs w:val="20"/>
                <w:color w:val="auto"/>
              </w:rPr>
            </w:pPr>
            <w:r>
              <w:rPr>
                <w:rFonts w:ascii="Arial" w:cs="Arial" w:eastAsia="Arial" w:hAnsi="Arial"/>
                <w:sz w:val="18"/>
                <w:szCs w:val="18"/>
                <w:color w:val="auto"/>
                <w:w w:val="91"/>
              </w:rPr>
              <w:t>(in thousands)</w:t>
            </w:r>
          </w:p>
        </w:tc>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3"/>
              </w:rPr>
              <w:t>qualifying as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w w:val="95"/>
              </w:rPr>
              <w:t>Defined benefit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gridSpan w:val="2"/>
            <w:vMerge w:val="continue"/>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adjustments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hedges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pension plans</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Amounts reclassified from AOCI</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(10,792)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(958)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w:t>
            </w:r>
          </w:p>
        </w:tc>
        <w:tc>
          <w:tcPr>
            <w:tcW w:w="3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Acquisition</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60" w:type="dxa"/>
            <w:vAlign w:val="bottom"/>
            <w:gridSpan w:val="2"/>
            <w:vMerge w:val="continue"/>
          </w:tcPr>
          <w:p>
            <w:pPr>
              <w:spacing w:after="0"/>
              <w:rPr>
                <w:sz w:val="24"/>
                <w:szCs w:val="24"/>
                <w:color w:val="auto"/>
              </w:rPr>
            </w:pPr>
          </w:p>
        </w:tc>
        <w:tc>
          <w:tcPr>
            <w:tcW w:w="3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On January 31, 2018, the Company acquired all of the issued and outstanding shares of Data Sciences International, Inc. (DSI), a Delaware corporation, for approximately $70.6 million. The Company funded the acquisition from its existing cash balances, excess proceeds from the Denville Transaction discussed in Note 5, and proceeds from the Financing Agreement discussed in Note 14.</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the Company’s customer base into the biopharmaceutical and contract research organization markets.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purchase price for this acquisition was preliminarily allocated to tangible and intangible net assets acquired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w w:val="9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3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Liabilities assumed</w:t>
            </w:r>
          </w:p>
        </w:tc>
        <w:tc>
          <w:tcPr>
            <w:tcW w:w="3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Goodwill</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 name</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3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goodwill and intangible assets, net of tax</w:t>
            </w:r>
          </w:p>
        </w:tc>
        <w:tc>
          <w:tcPr>
            <w:tcW w:w="3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purchase price</w:t>
            </w:r>
          </w:p>
        </w:tc>
        <w:tc>
          <w:tcPr>
            <w:tcW w:w="3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70,584</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00" w:type="dxa"/>
            <w:vAlign w:val="bottom"/>
            <w:gridSpan w:val="2"/>
          </w:tcPr>
          <w:p>
            <w:pPr>
              <w:spacing w:after="0"/>
              <w:rPr>
                <w:sz w:val="20"/>
                <w:szCs w:val="20"/>
                <w:color w:val="auto"/>
              </w:rPr>
            </w:pPr>
            <w:r>
              <w:rPr>
                <w:rFonts w:ascii="Arial" w:cs="Arial" w:eastAsia="Arial" w:hAnsi="Arial"/>
                <w:sz w:val="18"/>
                <w:szCs w:val="18"/>
                <w:color w:val="auto"/>
                <w:w w:val="89"/>
              </w:rPr>
              <w:t>Tangible assets and liabilities assumed, as referenced above,</w:t>
            </w:r>
          </w:p>
        </w:tc>
        <w:tc>
          <w:tcPr>
            <w:tcW w:w="3380" w:type="dxa"/>
            <w:vAlign w:val="bottom"/>
            <w:gridSpan w:val="2"/>
          </w:tcPr>
          <w:p>
            <w:pPr>
              <w:jc w:val="right"/>
              <w:ind w:right="525"/>
              <w:spacing w:after="0"/>
              <w:rPr>
                <w:sz w:val="20"/>
                <w:szCs w:val="20"/>
                <w:color w:val="auto"/>
              </w:rPr>
            </w:pPr>
            <w:r>
              <w:rPr>
                <w:rFonts w:ascii="Arial" w:cs="Arial" w:eastAsia="Arial" w:hAnsi="Arial"/>
                <w:sz w:val="18"/>
                <w:szCs w:val="18"/>
                <w:color w:val="auto"/>
                <w:w w:val="96"/>
              </w:rPr>
              <w:t>preliminarily consist of the following:</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 net</w:t>
            </w:r>
          </w:p>
        </w:tc>
        <w:tc>
          <w:tcPr>
            <w:tcW w:w="3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3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 revenue including customer advances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3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Liabilities assumed</w:t>
            </w:r>
          </w:p>
        </w:tc>
        <w:tc>
          <w:tcPr>
            <w:tcW w:w="3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preliminary allocation of the purchase price for DSI was based on estimates of the fair value of the net assets acquired and is subject to adjustment upon finalization of the valuation of the acquired intangible assets and the related deferred taxes. Measurements of these items inherently require significant estimates and assumptions. During the three months ended June 30, 2018, the Company made adjustments to the preliminary allocation of the purchase price presented in the March 31, 2018 Form 10-Q. The adjustments included a decrease of $1.6 million to other long term liabilities, an increase of $1.4 million to deferred tax liabilities, an increase of $0.6 million to the purchase price related to a net working capital adjustment, and an increase of $0.6 million to goodwill.</w:t>
      </w:r>
    </w:p>
    <w:p>
      <w:pPr>
        <w:spacing w:after="0" w:line="193"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weighted-average amortization periods for definite-lived intangible assets acquired are 9.4 years for tradenames, 8.2 years for developed technology, 12.4 years for customer relationships and 7.4 years for in-process research and development assets. The weighted average amortization period for all definite-lived intangible assets acquired is 9.3 years.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recorded as a result of the acquisition of DSI is not deductible for tax purposes.</w:t>
      </w:r>
    </w:p>
    <w:p>
      <w:pPr>
        <w:spacing w:after="0" w:line="225"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The results of operations for DSI have been included in the Company’s consolidated financial statements from the date of acquisition. The revenues of DSI included in the Company’s consolidated statement of operations from the date of acquisition were approximately $29.3 million for the eight-month period ended September 30, 2018. The net loss of DSI included in the Company’s consolidated statement of operations for the same period was approximately $31 thousand. Included in the net loss was a $3.8 million charge recognized in cost of revenues related to purchase accounting inventory fair value step up amortization. The total inventory fair value step up was preliminarily valued at $3.8 million and was recognized into cost of revenues over one inventory turn, or approximately five and a half months. Also included in the net loss of DSI is $2.9 million of intangible asset amortization expense.</w:t>
      </w:r>
    </w:p>
    <w:p>
      <w:pPr>
        <w:spacing w:after="0" w:line="16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following consolidated pro forma information is based on the assumption that the acquisition of DSI occurred on January 1, 2017. Accordingly, the historical results have been adjusted to reflect amortization expense, interest expense and other purchase accounting adjustments that would have been recognized on such a pro forma basis. The pro forma information is presented for comparative purposes only and is not necessarily indicative of the financial position or results of operations which would have been reported had the Company completed the acquisition during these periods or which might be reported in the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8"/>
              </w:rPr>
              <w:t>(in thousands)</w:t>
            </w: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7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28,713</w:t>
            </w:r>
          </w:p>
        </w:tc>
        <w:tc>
          <w:tcPr>
            <w:tcW w:w="11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27,997</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90,384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88,547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Direct acquisition costs recorded in other expense, net in the Company’s consolidated statements of operations were $3.0 million and $0 for the nine months ended September 30, 2018 and 2017, respectively.</w:t>
      </w:r>
    </w:p>
    <w:p>
      <w:pPr>
        <w:spacing w:after="0" w:line="166" w:lineRule="exact"/>
        <w:rPr>
          <w:sz w:val="20"/>
          <w:szCs w:val="20"/>
          <w:color w:val="auto"/>
        </w:rPr>
      </w:pPr>
    </w:p>
    <w:p>
      <w:pPr>
        <w:ind w:left="1100" w:hanging="1092"/>
        <w:spacing w:after="0"/>
        <w:tabs>
          <w:tab w:leader="none" w:pos="11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On January 22, 2018, the Company sold substantially all the assets of its wholly owned subsidiary, Denville, for approximately $20.0 million, which includes a $3.0 million earn-out provision (the Denville Transaction). Upon the closing of the transaction, the Company received $15.7 million. The $3.0 million earn-out provision represents consideration that is contingent on Denville achieving certain performance metrics over a period of two years.</w:t>
      </w:r>
    </w:p>
    <w:p>
      <w:pPr>
        <w:spacing w:after="0" w:line="14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following table is a reconciliation of the carrying amounts of major assets and liabilities of Denville classified as held for sale in the Company’s consolidated balance sheet as of December 31, 2017.</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of major classes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receivables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Current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7975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Allocation of goodwill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 term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Total assets of the disposal group classified as held for sale in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579755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of major classes of liabilities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278"/>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2278"/>
        <w:spacing w:after="0"/>
        <w:rPr>
          <w:sz w:val="20"/>
          <w:szCs w:val="20"/>
          <w:color w:val="auto"/>
        </w:rPr>
      </w:pPr>
      <w:r>
        <w:rPr>
          <w:rFonts w:ascii="Arial" w:cs="Arial" w:eastAsia="Arial" w:hAnsi="Arial"/>
          <w:sz w:val="18"/>
          <w:szCs w:val="18"/>
          <w:b w:val="1"/>
          <w:bCs w:val="1"/>
          <w:color w:val="auto"/>
        </w:rPr>
        <w:t>2017</w:t>
      </w:r>
    </w:p>
    <w:p>
      <w:pPr>
        <w:spacing w:after="0" w:line="23" w:lineRule="exact"/>
        <w:rPr>
          <w:sz w:val="20"/>
          <w:szCs w:val="20"/>
          <w:color w:val="auto"/>
        </w:rPr>
      </w:pPr>
    </w:p>
    <w:p>
      <w:pPr>
        <w:jc w:val="center"/>
        <w:ind w:right="2278"/>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77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4" w:lineRule="exact"/>
        <w:rPr>
          <w:sz w:val="20"/>
          <w:szCs w:val="20"/>
          <w:color w:val="auto"/>
        </w:rPr>
      </w:pPr>
    </w:p>
    <w:p>
      <w:pPr>
        <w:ind w:left="1182" w:hanging="1182"/>
        <w:spacing w:after="0"/>
        <w:tabs>
          <w:tab w:leader="none" w:pos="1182" w:val="left"/>
        </w:tabs>
        <w:numPr>
          <w:ilvl w:val="0"/>
          <w:numId w:val="7"/>
        </w:numPr>
        <w:rPr>
          <w:rFonts w:ascii="Arial" w:cs="Arial" w:eastAsia="Arial" w:hAnsi="Arial"/>
          <w:sz w:val="16"/>
          <w:szCs w:val="16"/>
          <w:color w:val="auto"/>
        </w:rPr>
      </w:pPr>
      <w:r>
        <w:rPr>
          <w:rFonts w:ascii="Arial" w:cs="Arial" w:eastAsia="Arial" w:hAnsi="Arial"/>
          <w:sz w:val="16"/>
          <w:szCs w:val="16"/>
          <w:color w:val="auto"/>
        </w:rPr>
        <w:t>541</w:t>
      </w:r>
    </w:p>
    <w:p>
      <w:pPr>
        <w:spacing w:after="0" w:line="46" w:lineRule="exact"/>
        <w:rPr>
          <w:rFonts w:ascii="Arial" w:cs="Arial" w:eastAsia="Arial" w:hAnsi="Arial"/>
          <w:sz w:val="16"/>
          <w:szCs w:val="16"/>
          <w:color w:val="auto"/>
        </w:rPr>
      </w:pPr>
    </w:p>
    <w:p>
      <w:pPr>
        <w:ind w:left="1062"/>
        <w:spacing w:after="0"/>
        <w:rPr>
          <w:rFonts w:ascii="Arial" w:cs="Arial" w:eastAsia="Arial" w:hAnsi="Arial"/>
          <w:sz w:val="16"/>
          <w:szCs w:val="16"/>
          <w:color w:val="auto"/>
        </w:rPr>
      </w:pPr>
      <w:r>
        <w:rPr>
          <w:rFonts w:ascii="Arial" w:cs="Arial" w:eastAsia="Arial" w:hAnsi="Arial"/>
          <w:sz w:val="15"/>
          <w:szCs w:val="15"/>
          <w:color w:val="auto"/>
        </w:rPr>
        <w:t>2,854</w:t>
      </w:r>
    </w:p>
    <w:p>
      <w:pPr>
        <w:spacing w:after="0" w:line="43" w:lineRule="exact"/>
        <w:rPr>
          <w:rFonts w:ascii="Arial" w:cs="Arial" w:eastAsia="Arial" w:hAnsi="Arial"/>
          <w:sz w:val="16"/>
          <w:szCs w:val="16"/>
          <w:color w:val="auto"/>
        </w:rPr>
      </w:pPr>
    </w:p>
    <w:p>
      <w:pPr>
        <w:ind w:left="1062"/>
        <w:spacing w:after="0"/>
        <w:rPr>
          <w:rFonts w:ascii="Arial" w:cs="Arial" w:eastAsia="Arial" w:hAnsi="Arial"/>
          <w:sz w:val="16"/>
          <w:szCs w:val="16"/>
          <w:color w:val="auto"/>
        </w:rPr>
      </w:pPr>
      <w:r>
        <w:rPr>
          <w:rFonts w:ascii="Arial" w:cs="Arial" w:eastAsia="Arial" w:hAnsi="Arial"/>
          <w:sz w:val="15"/>
          <w:szCs w:val="15"/>
          <w:color w:val="auto"/>
        </w:rPr>
        <w:t>4,505</w:t>
      </w:r>
    </w:p>
    <w:p>
      <w:pPr>
        <w:spacing w:after="0" w:line="43"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504</w:t>
      </w:r>
    </w:p>
    <w:p>
      <w:pPr>
        <w:spacing w:after="0" w:line="45" w:lineRule="exact"/>
        <w:rPr>
          <w:rFonts w:ascii="Arial" w:cs="Arial" w:eastAsia="Arial" w:hAnsi="Arial"/>
          <w:sz w:val="16"/>
          <w:szCs w:val="16"/>
          <w:color w:val="auto"/>
        </w:rPr>
      </w:pPr>
    </w:p>
    <w:p>
      <w:pPr>
        <w:ind w:left="1062"/>
        <w:spacing w:after="0"/>
        <w:rPr>
          <w:rFonts w:ascii="Arial" w:cs="Arial" w:eastAsia="Arial" w:hAnsi="Arial"/>
          <w:sz w:val="16"/>
          <w:szCs w:val="16"/>
          <w:color w:val="auto"/>
        </w:rPr>
      </w:pPr>
      <w:r>
        <w:rPr>
          <w:rFonts w:ascii="Arial" w:cs="Arial" w:eastAsia="Arial" w:hAnsi="Arial"/>
          <w:sz w:val="15"/>
          <w:szCs w:val="15"/>
          <w:color w:val="auto"/>
        </w:rPr>
        <w:t>8,404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977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5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397</w:t>
      </w:r>
    </w:p>
    <w:p>
      <w:pPr>
        <w:spacing w:after="0" w:line="46" w:lineRule="exact"/>
        <w:rPr>
          <w:sz w:val="20"/>
          <w:szCs w:val="20"/>
          <w:color w:val="auto"/>
        </w:rPr>
      </w:pPr>
    </w:p>
    <w:p>
      <w:pPr>
        <w:ind w:left="1062"/>
        <w:spacing w:after="0"/>
        <w:rPr>
          <w:sz w:val="20"/>
          <w:szCs w:val="20"/>
          <w:color w:val="auto"/>
        </w:rPr>
      </w:pPr>
      <w:r>
        <w:rPr>
          <w:rFonts w:ascii="Arial" w:cs="Arial" w:eastAsia="Arial" w:hAnsi="Arial"/>
          <w:sz w:val="15"/>
          <w:szCs w:val="15"/>
          <w:color w:val="auto"/>
        </w:rPr>
        <w:t>5,930</w:t>
      </w:r>
    </w:p>
    <w:p>
      <w:pPr>
        <w:spacing w:after="0" w:line="44" w:lineRule="exact"/>
        <w:rPr>
          <w:sz w:val="20"/>
          <w:szCs w:val="20"/>
          <w:color w:val="auto"/>
        </w:rPr>
      </w:pPr>
    </w:p>
    <w:p>
      <w:pPr>
        <w:ind w:left="1062"/>
        <w:spacing w:after="0"/>
        <w:rPr>
          <w:sz w:val="20"/>
          <w:szCs w:val="20"/>
          <w:color w:val="auto"/>
        </w:rPr>
      </w:pPr>
      <w:r>
        <w:rPr>
          <w:rFonts w:ascii="Arial" w:cs="Arial" w:eastAsia="Arial" w:hAnsi="Arial"/>
          <w:sz w:val="15"/>
          <w:szCs w:val="15"/>
          <w:color w:val="auto"/>
        </w:rPr>
        <w:t>3,633</w:t>
      </w:r>
    </w:p>
    <w:p>
      <w:pPr>
        <w:spacing w:after="0" w:line="57" w:lineRule="exact"/>
        <w:rPr>
          <w:sz w:val="20"/>
          <w:szCs w:val="20"/>
          <w:color w:val="auto"/>
        </w:rPr>
      </w:pPr>
    </w:p>
    <w:p>
      <w:pPr>
        <w:ind w:left="1062"/>
        <w:spacing w:after="0"/>
        <w:rPr>
          <w:sz w:val="20"/>
          <w:szCs w:val="20"/>
          <w:color w:val="auto"/>
        </w:rPr>
      </w:pPr>
      <w:r>
        <w:rPr>
          <w:rFonts w:ascii="Arial" w:cs="Arial" w:eastAsia="Arial" w:hAnsi="Arial"/>
          <w:sz w:val="15"/>
          <w:szCs w:val="15"/>
          <w:color w:val="auto"/>
        </w:rPr>
        <w:t>9,960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977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50" w:lineRule="exact"/>
        <w:rPr>
          <w:sz w:val="20"/>
          <w:szCs w:val="20"/>
          <w:color w:val="auto"/>
        </w:rPr>
      </w:pPr>
    </w:p>
    <w:p>
      <w:pPr>
        <w:ind w:left="962" w:hanging="962"/>
        <w:spacing w:after="0"/>
        <w:tabs>
          <w:tab w:leader="none" w:pos="962" w:val="left"/>
        </w:tabs>
        <w:numPr>
          <w:ilvl w:val="0"/>
          <w:numId w:val="8"/>
        </w:numPr>
        <w:rPr>
          <w:rFonts w:ascii="Arial" w:cs="Arial" w:eastAsia="Arial" w:hAnsi="Arial"/>
          <w:sz w:val="16"/>
          <w:szCs w:val="16"/>
          <w:color w:val="auto"/>
        </w:rPr>
      </w:pPr>
      <w:r>
        <w:rPr>
          <w:rFonts w:ascii="Arial" w:cs="Arial" w:eastAsia="Arial" w:hAnsi="Arial"/>
          <w:sz w:val="16"/>
          <w:szCs w:val="16"/>
          <w:color w:val="auto"/>
        </w:rPr>
        <w:t>18,364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9779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2" w:hanging="1062"/>
        <w:spacing w:after="0"/>
        <w:tabs>
          <w:tab w:leader="none" w:pos="1062" w:val="left"/>
        </w:tabs>
        <w:numPr>
          <w:ilvl w:val="0"/>
          <w:numId w:val="9"/>
        </w:numPr>
        <w:rPr>
          <w:rFonts w:ascii="Arial" w:cs="Arial" w:eastAsia="Arial" w:hAnsi="Arial"/>
          <w:sz w:val="15"/>
          <w:szCs w:val="15"/>
          <w:color w:val="auto"/>
        </w:rPr>
      </w:pPr>
      <w:r>
        <w:rPr>
          <w:rFonts w:ascii="Arial" w:cs="Arial" w:eastAsia="Arial" w:hAnsi="Arial"/>
          <w:sz w:val="15"/>
          <w:szCs w:val="15"/>
          <w:color w:val="auto"/>
        </w:rPr>
        <w:t>1,736</w:t>
      </w:r>
    </w:p>
    <w:p>
      <w:pPr>
        <w:spacing w:after="0" w:line="57" w:lineRule="exact"/>
        <w:rPr>
          <w:rFonts w:ascii="Arial" w:cs="Arial" w:eastAsia="Arial" w:hAnsi="Arial"/>
          <w:sz w:val="15"/>
          <w:szCs w:val="15"/>
          <w:color w:val="auto"/>
        </w:rPr>
      </w:pPr>
    </w:p>
    <w:p>
      <w:pPr>
        <w:ind w:left="1182"/>
        <w:spacing w:after="0"/>
        <w:rPr>
          <w:rFonts w:ascii="Arial" w:cs="Arial" w:eastAsia="Arial" w:hAnsi="Arial"/>
          <w:sz w:val="15"/>
          <w:szCs w:val="15"/>
          <w:color w:val="auto"/>
        </w:rPr>
      </w:pPr>
      <w:r>
        <w:rPr>
          <w:rFonts w:ascii="Arial" w:cs="Arial" w:eastAsia="Arial" w:hAnsi="Arial"/>
          <w:sz w:val="16"/>
          <w:szCs w:val="16"/>
          <w:color w:val="auto"/>
        </w:rPr>
        <w:t>121</w:t>
      </w:r>
    </w:p>
    <w:p>
      <w:pPr>
        <w:spacing w:after="0" w:line="43" w:lineRule="exact"/>
        <w:rPr>
          <w:sz w:val="20"/>
          <w:szCs w:val="20"/>
          <w:color w:val="auto"/>
        </w:rPr>
      </w:pPr>
    </w:p>
    <w:p>
      <w:pPr>
        <w:sectPr>
          <w:pgSz w:w="11900" w:h="16838" w:orient="portrait"/>
          <w:cols w:equalWidth="0" w:num="2">
            <w:col w:w="6878" w:space="720"/>
            <w:col w:w="3822"/>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r>
      <w:tr>
        <w:trPr>
          <w:trHeight w:val="210"/>
        </w:trPr>
        <w:tc>
          <w:tcPr>
            <w:tcW w:w="7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liabilities</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10"/>
        </w:trPr>
        <w:tc>
          <w:tcPr>
            <w:tcW w:w="7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Long term liabilities held for sale</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r>
      <w:tr>
        <w:trPr>
          <w:trHeight w:val="223"/>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Total liabilities of the disposal group classified as held for sale in the consolidated balance sheet</w:t>
            </w: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r>
      <w:tr>
        <w:trPr>
          <w:trHeight w:val="20"/>
        </w:trPr>
        <w:tc>
          <w:tcPr>
            <w:tcW w:w="7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type w:val="continuous"/>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following table is a reconciliation of the major line items of income from discontinued operations presented within the Company’s consolidated statements of operations for the three and nine months ended September 30,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85"/>
              <w:spacing w:after="0"/>
              <w:rPr>
                <w:sz w:val="20"/>
                <w:szCs w:val="20"/>
                <w:color w:val="auto"/>
              </w:rPr>
            </w:pPr>
            <w:r>
              <w:rPr>
                <w:rFonts w:ascii="Arial" w:cs="Arial" w:eastAsia="Arial" w:hAnsi="Arial"/>
                <w:sz w:val="18"/>
                <w:szCs w:val="18"/>
                <w:b w:val="1"/>
                <w:bCs w:val="1"/>
                <w:color w:val="auto"/>
                <w:w w:val="89"/>
              </w:rPr>
              <w:t>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2017</w:t>
            </w:r>
          </w:p>
        </w:tc>
      </w:tr>
      <w:tr>
        <w:trPr>
          <w:trHeight w:val="210"/>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gridSpan w:val="3"/>
          </w:tcPr>
          <w:p>
            <w:pPr>
              <w:jc w:val="center"/>
              <w:ind w:right="385"/>
              <w:spacing w:after="0"/>
              <w:rPr>
                <w:sz w:val="20"/>
                <w:szCs w:val="20"/>
                <w:color w:val="auto"/>
              </w:rPr>
            </w:pPr>
            <w:r>
              <w:rPr>
                <w:rFonts w:ascii="Arial" w:cs="Arial" w:eastAsia="Arial" w:hAnsi="Arial"/>
                <w:sz w:val="18"/>
                <w:szCs w:val="18"/>
                <w:color w:val="auto"/>
                <w:w w:val="89"/>
              </w:rPr>
              <w:t>(in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center"/>
              <w:ind w:left="590"/>
              <w:spacing w:after="0"/>
              <w:rPr>
                <w:sz w:val="20"/>
                <w:szCs w:val="20"/>
                <w:color w:val="auto"/>
              </w:rPr>
            </w:pPr>
            <w:r>
              <w:rPr>
                <w:rFonts w:ascii="Arial" w:cs="Arial" w:eastAsia="Arial" w:hAnsi="Arial"/>
                <w:sz w:val="18"/>
                <w:szCs w:val="18"/>
                <w:color w:val="auto"/>
                <w:w w:val="89"/>
              </w:rPr>
              <w:t>(in thousands)</w:t>
            </w:r>
          </w:p>
        </w:tc>
        <w:tc>
          <w:tcPr>
            <w:tcW w:w="10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2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6,333</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66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18,658</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(4,194)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(12,383)</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and other expenses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r>
      <w:tr>
        <w:trPr>
          <w:trHeight w:val="230"/>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 on disposal of discontinued operations</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Income from discontinued operations before income taxes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30"/>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22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41"/>
        <w:spacing w:after="0" w:line="286" w:lineRule="auto"/>
        <w:rPr>
          <w:sz w:val="20"/>
          <w:szCs w:val="20"/>
          <w:color w:val="auto"/>
        </w:rPr>
      </w:pPr>
      <w:r>
        <w:rPr>
          <w:rFonts w:ascii="Arial" w:cs="Arial" w:eastAsia="Arial" w:hAnsi="Arial"/>
          <w:sz w:val="17"/>
          <w:szCs w:val="17"/>
          <w:color w:val="auto"/>
        </w:rPr>
        <w:t>Included within the adjustments to reconcile net loss to net cash provided by operating activities in the Company’s consolidated statements of cash flows for the nine months ended September 30, 2018 and 2017, was amortization of intangible assets for Denville of $47 thousand and $0.7 million, respectively. Depreciation and capital expenditures for Denville were immaterial for both periods presented.</w:t>
      </w:r>
    </w:p>
    <w:p>
      <w:pPr>
        <w:spacing w:after="0" w:line="162" w:lineRule="exact"/>
        <w:rPr>
          <w:sz w:val="20"/>
          <w:szCs w:val="20"/>
          <w:color w:val="auto"/>
        </w:rPr>
      </w:pPr>
    </w:p>
    <w:p>
      <w:pPr>
        <w:ind w:left="1100" w:hanging="1092"/>
        <w:spacing w:after="0"/>
        <w:tabs>
          <w:tab w:leader="none" w:pos="11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0"/>
              </w:rPr>
              <w:t>(a)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September 30, 2018</w:t>
            </w: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7"/>
              </w:rPr>
              <w:t>December 31, 2017</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660"/>
              <w:spacing w:after="0" w:line="195" w:lineRule="exact"/>
              <w:rPr>
                <w:sz w:val="20"/>
                <w:szCs w:val="20"/>
                <w:color w:val="auto"/>
              </w:rPr>
            </w:pPr>
            <w:r>
              <w:rPr>
                <w:rFonts w:ascii="Arial" w:cs="Arial" w:eastAsia="Arial" w:hAnsi="Arial"/>
                <w:sz w:val="18"/>
                <w:szCs w:val="18"/>
                <w:color w:val="auto"/>
                <w:w w:val="87"/>
              </w:rPr>
              <w:t>(in thousands)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Accumulated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Amortizable intangible assets:</w:t>
            </w:r>
          </w:p>
        </w:tc>
        <w:tc>
          <w:tcPr>
            <w:tcW w:w="2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83"/>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13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36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7.9</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agreements/customer</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relationships</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7.2</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amortizable intangible assets</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73,831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indefinite-lived intangible assets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goodwill and other indefinite-lived</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57,039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gross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130,870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Weighted average life as of September 30, 2018.</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The balances presented in the tables above and below exclude intangible assets and allocated goodwill of Denville as of December 31, 2017. Both balances are reported as long term assets held for sale as of December 31, 2017. Refer to Note 5 for further details.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nine months ended September 30, 2018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(in thousands)</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36,336</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Goodwill arising from business combination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19,348</w:t>
            </w: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55,801</w:t>
            </w: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Intangible asset amortization expense from continuing operations was $1.5 million and $0.4 million for the three months ended September 30, 2018 and 2017, respectively. Intangible asset amortization expense from continuing operations was $4.0 million and $1.2 million for the nine months ended September 30, 2018 and 2017, respectively. Amortization expense of existing amortizable intangible assets is currently estimated to be $5.6 million for the year ending December 31, 2018, $5.8 million for the year ending December 31, 2019, $5.8 million for the year ending December 31, 2020, $5.7 million for the year ending December 31, 2021 and $5.7 million for the year ending December 31, 2022.</w:t>
      </w:r>
    </w:p>
    <w:p>
      <w:pPr>
        <w:sectPr>
          <w:pgSz w:w="11900" w:h="16838" w:orient="portrait"/>
          <w:cols w:equalWidth="0" w:num="1">
            <w:col w:w="11400"/>
          </w:cols>
          <w:pgMar w:left="240" w:top="233" w:right="259" w:bottom="1440" w:gutter="0" w:footer="0" w:header="0"/>
        </w:sectPr>
      </w:pPr>
    </w:p>
    <w:p>
      <w:pPr>
        <w:spacing w:after="0" w:line="169" w:lineRule="exact"/>
        <w:rPr>
          <w:sz w:val="20"/>
          <w:szCs w:val="20"/>
          <w:color w:val="auto"/>
        </w:rPr>
      </w:pPr>
    </w:p>
    <w:p>
      <w:pPr>
        <w:ind w:left="1100" w:hanging="1092"/>
        <w:spacing w:after="0"/>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right"/>
        <w:ind w:right="332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Raw materials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jc w:val="right"/>
              <w:ind w:right="990"/>
              <w:spacing w:after="0" w:line="195" w:lineRule="exact"/>
              <w:rPr>
                <w:sz w:val="20"/>
                <w:szCs w:val="20"/>
                <w:color w:val="auto"/>
              </w:rPr>
            </w:pPr>
            <w:r>
              <w:rPr>
                <w:rFonts w:ascii="Arial" w:cs="Arial" w:eastAsia="Arial" w:hAnsi="Arial"/>
                <w:sz w:val="18"/>
                <w:szCs w:val="18"/>
                <w:color w:val="auto"/>
              </w:rPr>
              <w:t>(in thousands)</w:t>
            </w:r>
          </w:p>
        </w:tc>
      </w:tr>
      <w:tr>
        <w:trPr>
          <w:trHeight w:val="216"/>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7,569</w:t>
            </w:r>
          </w:p>
        </w:tc>
        <w:tc>
          <w:tcPr>
            <w:tcW w:w="8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5,779</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w:t>
            </w: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25,739</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16,848</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-599440</wp:posOffset>
            </wp:positionV>
            <wp:extent cx="57975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-325120</wp:posOffset>
            </wp:positionV>
            <wp:extent cx="57975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00"/>
          </w:cols>
          <w:pgMar w:left="240" w:top="233" w:right="259" w:bottom="1440" w:gutter="0" w:footer="0" w:header="0"/>
          <w:type w:val="continuous"/>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00" w:hanging="1092"/>
        <w:spacing w:after="0"/>
        <w:tabs>
          <w:tab w:leader="none" w:pos="11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and December 31, 2017, property, plant and equipment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right"/>
              <w:ind w:right="9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49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4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Related Party Transactions</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20" w:type="dxa"/>
            <w:vAlign w:val="bottom"/>
            <w:vMerge w:val="continue"/>
          </w:tcPr>
          <w:p>
            <w:pPr>
              <w:spacing w:after="0"/>
              <w:rPr>
                <w:sz w:val="24"/>
                <w:szCs w:val="24"/>
                <w:color w:val="auto"/>
              </w:rPr>
            </w:pPr>
          </w:p>
        </w:tc>
        <w:tc>
          <w:tcPr>
            <w:tcW w:w="4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As part of the acquisitions of Multi Channel Systems MCS GmbH (MCS) and Triangle BioSystems, Inc. (TBSI) in 2014, the Company signed lease agreements with the former owners of the acquired companies. The principals of such former owners of MCS and TBSI were employees of the Company as of September 30, 2018 and 2017. Pursuant to a lease agreement, the Company made rent payments of approximately $77 thousand and $64 thousand to the former owners of MCS for the three months ended September 30, 2018 and 2017, respectively. The Company made rent payments of approximately $10 thousand to the former owner of TBSI for both the three months ended September 30, 2018 and 2017.</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made rent payments of approximately $0.2 million to the former owners of MCS for both the nine months ended September 30, 2018 and 2017. The Company made rent payments of approximately $32 thousand to the former owner of TBSI for both the nine months ended September 30, 2018 and 2017.</w:t>
      </w:r>
    </w:p>
    <w:p>
      <w:pPr>
        <w:spacing w:after="0" w:line="177" w:lineRule="exact"/>
        <w:rPr>
          <w:sz w:val="20"/>
          <w:szCs w:val="20"/>
          <w:color w:val="auto"/>
        </w:rPr>
      </w:pPr>
    </w:p>
    <w:p>
      <w:pPr>
        <w:ind w:left="1100" w:hanging="1092"/>
        <w:spacing w:after="0"/>
        <w:tabs>
          <w:tab w:leader="none" w:pos="11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Beginning</w:t>
            </w:r>
          </w:p>
        </w:tc>
        <w:tc>
          <w:tcPr>
            <w:tcW w:w="2840" w:type="dxa"/>
            <w:vAlign w:val="bottom"/>
            <w:gridSpan w:val="2"/>
          </w:tcPr>
          <w:p>
            <w:pPr>
              <w:jc w:val="center"/>
              <w:ind w:right="1270"/>
              <w:spacing w:after="0"/>
              <w:rPr>
                <w:sz w:val="20"/>
                <w:szCs w:val="20"/>
                <w:color w:val="auto"/>
              </w:rPr>
            </w:pPr>
            <w:r>
              <w:rPr>
                <w:rFonts w:ascii="Arial" w:cs="Arial" w:eastAsia="Arial" w:hAnsi="Arial"/>
                <w:sz w:val="18"/>
                <w:szCs w:val="18"/>
                <w:b w:val="1"/>
                <w:bCs w:val="1"/>
                <w:color w:val="auto"/>
                <w:w w:val="90"/>
              </w:rPr>
              <w:t>(Payments)\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Balance</w:t>
            </w:r>
          </w:p>
        </w:tc>
        <w:tc>
          <w:tcPr>
            <w:tcW w:w="104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3"/>
              </w:rPr>
              <w:t>Credits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Additions</w:t>
            </w: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0" w:type="dxa"/>
            <w:vAlign w:val="bottom"/>
          </w:tcPr>
          <w:p>
            <w:pPr>
              <w:jc w:val="right"/>
              <w:ind w:right="670"/>
              <w:spacing w:after="0"/>
              <w:rPr>
                <w:sz w:val="20"/>
                <w:szCs w:val="20"/>
                <w:color w:val="auto"/>
              </w:rPr>
            </w:pPr>
            <w:r>
              <w:rPr>
                <w:rFonts w:ascii="Arial" w:cs="Arial" w:eastAsia="Arial" w:hAnsi="Arial"/>
                <w:sz w:val="18"/>
                <w:szCs w:val="18"/>
                <w:color w:val="auto"/>
                <w:w w:val="89"/>
              </w:rPr>
              <w:t>(in thousands)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193</w:t>
            </w:r>
          </w:p>
        </w:tc>
        <w:tc>
          <w:tcPr>
            <w:tcW w:w="10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246</w:t>
            </w:r>
          </w:p>
        </w:tc>
        <w:tc>
          <w:tcPr>
            <w:tcW w:w="10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140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00" w:hanging="1092"/>
        <w:spacing w:after="0"/>
        <w:tabs>
          <w:tab w:leader="none" w:pos="11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Company’s subsidiary in the United Kingdom, Biochrom Limited, maintains contributory, defined benefit pension plans for substantially all of its employees. These defined benefit pension plans have been closed to new employees since 2014, as well as closed to the future accrual of benefits for existing employees. The components of the Company’s defined benefit pension expense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80" w:type="dxa"/>
            <w:vAlign w:val="bottom"/>
            <w:gridSpan w:val="4"/>
          </w:tcPr>
          <w:p>
            <w:pPr>
              <w:jc w:val="right"/>
              <w:ind w:right="205"/>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4"/>
          </w:tcPr>
          <w:p>
            <w:pPr>
              <w:jc w:val="right"/>
              <w:ind w:right="265"/>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8"/>
                <w:szCs w:val="18"/>
                <w:b w:val="1"/>
                <w:bCs w:val="1"/>
                <w:color w:val="auto"/>
                <w:w w:val="92"/>
              </w:rPr>
              <w:t>September 30,</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8"/>
                <w:szCs w:val="18"/>
                <w:b w:val="1"/>
                <w:bCs w:val="1"/>
                <w:color w:val="auto"/>
                <w:w w:val="92"/>
              </w:rPr>
              <w:t>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vMerge w:val="restart"/>
          </w:tcPr>
          <w:p>
            <w:pPr>
              <w:spacing w:after="0"/>
              <w:rPr>
                <w:sz w:val="20"/>
                <w:szCs w:val="20"/>
                <w:color w:val="auto"/>
              </w:rPr>
            </w:pPr>
            <w:r>
              <w:rPr>
                <w:rFonts w:ascii="Arial" w:cs="Arial" w:eastAsia="Arial" w:hAnsi="Arial"/>
                <w:sz w:val="18"/>
                <w:szCs w:val="18"/>
                <w:color w:val="auto"/>
              </w:rPr>
              <w:t>Components of net periodic benefit cost:</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gridSpan w:val="3"/>
          </w:tcPr>
          <w:p>
            <w:pPr>
              <w:jc w:val="right"/>
              <w:ind w:right="515"/>
              <w:spacing w:after="0"/>
              <w:rPr>
                <w:sz w:val="20"/>
                <w:szCs w:val="20"/>
                <w:color w:val="auto"/>
              </w:rPr>
            </w:pPr>
            <w:r>
              <w:rPr>
                <w:rFonts w:ascii="Arial" w:cs="Arial" w:eastAsia="Arial" w:hAnsi="Arial"/>
                <w:sz w:val="18"/>
                <w:szCs w:val="18"/>
                <w:color w:val="auto"/>
                <w:w w:val="94"/>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9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160" w:type="dxa"/>
            <w:vAlign w:val="bottom"/>
            <w:gridSpan w:val="2"/>
            <w:shd w:val="clear" w:color="auto" w:fill="CCEEFF"/>
          </w:tcPr>
          <w:p>
            <w:pPr>
              <w:jc w:val="right"/>
              <w:ind w:right="8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1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160" w:type="dxa"/>
            <w:vAlign w:val="bottom"/>
            <w:gridSpan w:val="2"/>
            <w:shd w:val="clear" w:color="auto" w:fill="CCEEFF"/>
          </w:tcPr>
          <w:p>
            <w:pPr>
              <w:jc w:val="right"/>
              <w:ind w:right="9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loss</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Curtailment gain</w:t>
            </w:r>
          </w:p>
        </w:tc>
        <w:tc>
          <w:tcPr>
            <w:tcW w:w="8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(income) cost</w:t>
            </w:r>
          </w:p>
        </w:tc>
        <w:tc>
          <w:tcPr>
            <w:tcW w:w="8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For the three months ended September 30, 2018 and 2017, the Company contributed $0.2 million, for both periods, to its defined benefit pension plans. For the nine months ended September 30, 2018 and 2017, the Company contributed $0.5 million for both periods, to its defined benefit pension plans. The Company expects to contribute approximately $0.2 million to its defined benefit pension plans during the remainder of 2018.</w:t>
      </w:r>
    </w:p>
    <w:p>
      <w:pPr>
        <w:spacing w:after="0" w:line="166"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Company had an underfunded pension liability of approximately $1.2 million as of September 30, 2018 and December 31, 2017, respectively, included in the other long term liabilities line item in the consolidated balance sheets.</w:t>
      </w:r>
    </w:p>
    <w:p>
      <w:pPr>
        <w:spacing w:after="0" w:line="166" w:lineRule="exact"/>
        <w:rPr>
          <w:sz w:val="20"/>
          <w:szCs w:val="20"/>
          <w:color w:val="auto"/>
        </w:rPr>
      </w:pPr>
    </w:p>
    <w:p>
      <w:pPr>
        <w:ind w:left="1100" w:hanging="1092"/>
        <w:spacing w:after="0"/>
        <w:tabs>
          <w:tab w:leader="none" w:pos="11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Company has noncancelable operating leases for office and warehouse space expiring at various dates through 2023 and thereafter. Rent payments are estimated to be $3.4 million for the year ended December 31, 2018. Rent payments for continuing operations were approximately $0.9 million and $0.5 million for the three months ended September 30, 2018 and 2017, respectively. Rent payments for continuing operations were approximately $2.6 million and $1.3 million for the nine months ended September 30, 2018 and 2017,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September 30, 2018,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Operating</w:t>
            </w:r>
          </w:p>
        </w:tc>
      </w:tr>
      <w:tr>
        <w:trPr>
          <w:trHeight w:val="234"/>
        </w:trPr>
        <w:tc>
          <w:tcPr>
            <w:tcW w:w="3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Leases</w:t>
            </w:r>
          </w:p>
        </w:tc>
      </w:tr>
      <w:tr>
        <w:trPr>
          <w:trHeight w:val="210"/>
        </w:trPr>
        <w:tc>
          <w:tcPr>
            <w:tcW w:w="3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ind w:right="150"/>
              <w:spacing w:after="0"/>
              <w:rPr>
                <w:sz w:val="20"/>
                <w:szCs w:val="20"/>
                <w:color w:val="auto"/>
              </w:rPr>
            </w:pPr>
            <w:r>
              <w:rPr>
                <w:rFonts w:ascii="Arial" w:cs="Arial" w:eastAsia="Arial" w:hAnsi="Arial"/>
                <w:sz w:val="18"/>
                <w:szCs w:val="18"/>
                <w:color w:val="auto"/>
                <w:w w:val="89"/>
              </w:rPr>
              <w:t>(in thousands)</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2020</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2,317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2022</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30"/>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1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r>
      <w:tr>
        <w:trPr>
          <w:trHeight w:val="20"/>
        </w:trPr>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13.</w:t>
            </w:r>
          </w:p>
        </w:tc>
        <w:tc>
          <w:tcPr>
            <w:tcW w:w="1800" w:type="dxa"/>
            <w:vAlign w:val="bottom"/>
          </w:tcPr>
          <w:p>
            <w:pPr>
              <w:ind w:left="760"/>
              <w:spacing w:after="0"/>
              <w:rPr>
                <w:sz w:val="20"/>
                <w:szCs w:val="20"/>
                <w:color w:val="auto"/>
              </w:rPr>
            </w:pPr>
            <w:r>
              <w:rPr>
                <w:rFonts w:ascii="Arial" w:cs="Arial" w:eastAsia="Arial" w:hAnsi="Arial"/>
                <w:sz w:val="18"/>
                <w:szCs w:val="18"/>
                <w:b w:val="1"/>
                <w:bCs w:val="1"/>
                <w:color w:val="auto"/>
                <w:w w:val="89"/>
              </w:rPr>
              <w:t>Capital Stock</w:t>
            </w:r>
          </w:p>
        </w:tc>
      </w:tr>
      <w:tr>
        <w:trPr>
          <w:trHeight w:val="432"/>
        </w:trPr>
        <w:tc>
          <w:tcPr>
            <w:tcW w:w="340" w:type="dxa"/>
            <w:vAlign w:val="bottom"/>
          </w:tcPr>
          <w:p>
            <w:pPr>
              <w:spacing w:after="0"/>
              <w:rPr>
                <w:sz w:val="24"/>
                <w:szCs w:val="24"/>
                <w:color w:val="auto"/>
              </w:rPr>
            </w:pPr>
          </w:p>
        </w:tc>
        <w:tc>
          <w:tcPr>
            <w:tcW w:w="1800" w:type="dxa"/>
            <w:vAlign w:val="bottom"/>
          </w:tcPr>
          <w:p>
            <w:pPr>
              <w:ind w:left="100"/>
              <w:spacing w:after="0"/>
              <w:rPr>
                <w:sz w:val="20"/>
                <w:szCs w:val="20"/>
                <w:color w:val="auto"/>
              </w:rPr>
            </w:pPr>
            <w:r>
              <w:rPr>
                <w:rFonts w:ascii="Arial" w:cs="Arial" w:eastAsia="Arial" w:hAnsi="Arial"/>
                <w:sz w:val="18"/>
                <w:szCs w:val="18"/>
                <w:i w:val="1"/>
                <w:iCs w:val="1"/>
                <w:color w:val="auto"/>
              </w:rPr>
              <w:t>Common Stock</w:t>
            </w:r>
          </w:p>
        </w:tc>
      </w:tr>
    </w:tbl>
    <w:p>
      <w:pPr>
        <w:spacing w:after="0" w:line="202"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These rights were not initially exercisable and would trade with the shares of the Company’s common stock. The rights would become exercisable under various conditions according to the terms of the plan. The Shareholder Rights Plan expired, with no rights having become exercisable, in accordance with its terms on the close of business on February 6, 2018.</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September 30, 2018, the Company had no preferred stock issued or outstanding.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On May 18, 2017, the stockholders of the Company approved an increase of 300,000 shares of common stock in the number of shares available for issuance under the ESPP. Following such amendment, 1,050,000 shares of common stock are authorized for issuance, of which 826,361 shares were issued as of September 30, 2018. There were 24,907 and 36,902 shares issued under the ESPP during the nine months ended September 30, 2018 and 2017, respectively.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 and Equity Incentive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The Third Amendment to the Third A&amp;R Plan (the Amendment) was adopted by the Board of Directors on April 2, 2018. Such Amendment was approved by the stockholders at the Company’s 2018 Annual Meeting of Stockholders. Pursuant to the Amendment, the aggregate number of shares authorized for issuance under the Third A&amp;R Plan was increased by 3,400,000 shares to 20,908,929.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On August 3, 2015, the Compensation Committee of the Board of Directors of the Company approved and granted deferred stock awards of Market Condition RSUs (the 2015 Market Condition RSUs) to certain members of the Company’s management team under the Third A&amp;R Plan. The vesting of these 2015 Market Condition RSUs was cliff-based and linked to the achievement of a relative total shareholder return of the Company’s common stock from August 3, 2015 to the earlier of (i) August 3, 2018 or (ii) upon a change of control (measured relative to the Russell 3000 index and based on the 20-day trading average price before each such date). As of August 3, 2018, certain of the target total shareholder returns were achieved, and as a result, 69,667 of the 2015 Market Condition RSUs vested. The remaining 2015 Market Condition RSUs did not vest and were canceled.</w:t>
      </w:r>
    </w:p>
    <w:p>
      <w:pPr>
        <w:spacing w:after="0" w:line="178"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On May 24, 2018, the Compensation Committee of the Board of Directors of the Company approved and granted deferred stock awards of Market Condition RSUs (the 2018 Market Condition RSUs) to certain members of the Company’s management team under the Third A&amp;R Plan. The vesting of the 2018 Market Condition RSUs is based on a graded-vesting schedule (one third at the end of each year for three years) and linked to the achievement of a relative total shareholder return of the Company’s common stock from May 24, 2018 to the earlier of (i) May 24, 2019 or (ii) upon a change of control (measured relative to the NASDAQ Biotechnology index and based on the 20-day trading average price before each such date). As of September 30, 2018, the target number of these restricted stock units that may be earned is 116,944 shares; the maximum amount is 150% of the target number.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w:t>
      </w:r>
    </w:p>
    <w:p>
      <w:pPr>
        <w:spacing w:after="0" w:line="181"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The Company adopted ASU 2016-09 as of January 1, 2017. As a result of this adoption, the Company has elected as an accounting policy to account for forfeitures for service based awards as they occur, with no adjustment for estimated forfeitures. The Company recognized as of January 1, 2017, a cumulative effect adjustment of $0.1 million to reduce retained earnings as required under the modified retrospective approach.</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Stock option and restricted stock unit activity under the Company’s Third A&amp;R Plan for the nine months ended September 30, 2018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5"/>
          </w:tcPr>
          <w:p>
            <w:pPr>
              <w:ind w:left="800"/>
              <w:spacing w:after="0"/>
              <w:rPr>
                <w:sz w:val="20"/>
                <w:szCs w:val="20"/>
                <w:color w:val="auto"/>
              </w:rPr>
            </w:pPr>
            <w:r>
              <w:rPr>
                <w:rFonts w:ascii="Arial" w:cs="Arial" w:eastAsia="Arial" w:hAnsi="Arial"/>
                <w:sz w:val="18"/>
                <w:szCs w:val="18"/>
                <w:b w:val="1"/>
                <w:bCs w:val="1"/>
                <w:color w:val="auto"/>
              </w:rPr>
              <w:t>Stock Options</w:t>
            </w:r>
          </w:p>
        </w:tc>
        <w:tc>
          <w:tcPr>
            <w:tcW w:w="2700" w:type="dxa"/>
            <w:vAlign w:val="bottom"/>
            <w:gridSpan w:val="5"/>
          </w:tcPr>
          <w:p>
            <w:pPr>
              <w:ind w:left="440"/>
              <w:spacing w:after="0"/>
              <w:rPr>
                <w:sz w:val="20"/>
                <w:szCs w:val="20"/>
                <w:color w:val="auto"/>
              </w:rPr>
            </w:pPr>
            <w:r>
              <w:rPr>
                <w:rFonts w:ascii="Arial" w:cs="Arial" w:eastAsia="Arial" w:hAnsi="Arial"/>
                <w:sz w:val="18"/>
                <w:szCs w:val="18"/>
                <w:b w:val="1"/>
                <w:bCs w:val="1"/>
                <w:color w:val="auto"/>
              </w:rPr>
              <w:t>Restricted Stock Units</w:t>
            </w:r>
          </w:p>
        </w:tc>
        <w:tc>
          <w:tcPr>
            <w:tcW w:w="26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Condition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RSU's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3,780,244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1,796,927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164,127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608,189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156,944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(824,843)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Cancelled / 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1,936,098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1,233,811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116,944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 average fair value of the options granted under the Third A&amp;R Plan during the three months ended September 30, 2018 and 2017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$2.34 and $1.24, respectively. The weighted average fair value of the options granted under the Third A&amp;R Plan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and 2017 was $1.97 and $1.17, respectively. The following assumptions were used to estimate the fair value, using the Black-Scholes option pricing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model, of stock options granted during the three and nine months ended September 30, 2018 and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36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320" w:type="dxa"/>
            <w:vAlign w:val="bottom"/>
          </w:tcPr>
          <w:p>
            <w:pPr>
              <w:spacing w:after="0"/>
              <w:rPr>
                <w:sz w:val="20"/>
                <w:szCs w:val="20"/>
                <w:color w:val="auto"/>
              </w:rPr>
            </w:pPr>
          </w:p>
        </w:tc>
        <w:tc>
          <w:tcPr>
            <w:tcW w:w="23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4"/>
              </w:rPr>
              <w:t>41.99%</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8"/>
              </w:rPr>
              <w:t>41.30%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1.88%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2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4.77years</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5.10years</w:t>
            </w:r>
          </w:p>
        </w:tc>
        <w:tc>
          <w:tcPr>
            <w:tcW w:w="23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4.90years</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5.16years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Dividend yield</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weighted average fair value of the 2018 Market Condition RSUs which were granted under the Third A&amp;R Plan during the nine months ended September 30, 2018 was $4.19. There were no Market Condition RSUs granted during the three and nine months ended September 30, 2017. The following assumptions were used to estimate the fair value, using a Monte-Carlo valuation simulation, of the Market Condition RSUs granted during the nine months ended September 30,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Nine Months</w:t>
            </w:r>
          </w:p>
        </w:tc>
      </w:tr>
      <w:tr>
        <w:trPr>
          <w:trHeight w:val="230"/>
        </w:trPr>
        <w:tc>
          <w:tcPr>
            <w:tcW w:w="44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44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44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The Company used historical volatility to calculate the expected volatility for each grant as of the grant date. Historical volatility was determined by calculating the mean reversion of the daily adjusted closing stock price. The risk-free interest rate assumption is based upon observed U.S. Treasury bill interest rates (risk-free) appropriate for the term of the Company’s stock options and Market Condition RSUs. The expected holding period of stock options represents the period of time options are expected to be outstanding and is based on historical experience. The vesting period ranges from one to four years and the contractual life is ten years. The correlation coefficient, used to value the Market Condition RSUs, represents the way in which entities move in relation to the NASDAQ Biotechnology index as a whole.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Market Condition RSUs and the ESPP for the three and nine months ended September 30, 2018 and 2017 was allocated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80" w:type="dxa"/>
            <w:vAlign w:val="bottom"/>
            <w:gridSpan w:val="4"/>
          </w:tcPr>
          <w:p>
            <w:pPr>
              <w:jc w:val="right"/>
              <w:ind w:right="205"/>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6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8"/>
                <w:szCs w:val="18"/>
                <w:b w:val="1"/>
                <w:bCs w:val="1"/>
                <w:color w:val="auto"/>
                <w:w w:val="92"/>
              </w:rPr>
              <w:t>September 30,</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gridSpan w:val="3"/>
          </w:tcPr>
          <w:p>
            <w:pPr>
              <w:jc w:val="right"/>
              <w:ind w:right="5"/>
              <w:spacing w:after="0"/>
              <w:rPr>
                <w:sz w:val="20"/>
                <w:szCs w:val="20"/>
                <w:color w:val="auto"/>
              </w:rPr>
            </w:pPr>
            <w:r>
              <w:rPr>
                <w:rFonts w:ascii="Arial" w:cs="Arial" w:eastAsia="Arial" w:hAnsi="Arial"/>
                <w:sz w:val="18"/>
                <w:szCs w:val="18"/>
                <w:color w:val="auto"/>
                <w:w w:val="94"/>
              </w:rPr>
              <w:t>(in thousands)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8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118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9"/>
                <w:szCs w:val="19"/>
                <w:color w:val="auto"/>
              </w:rPr>
            </w:pP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 of assumed conversion of employee and director stock options, restricted stock units and Market Condition RSUs Diluted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30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2017</w:t>
            </w:r>
          </w:p>
        </w:tc>
      </w:tr>
      <w:tr>
        <w:trPr>
          <w:trHeight w:val="426"/>
        </w:trPr>
        <w:tc>
          <w:tcPr>
            <w:tcW w:w="1620" w:type="dxa"/>
            <w:vAlign w:val="bottom"/>
          </w:tcPr>
          <w:p>
            <w:pPr>
              <w:jc w:val="right"/>
              <w:ind w:right="30"/>
              <w:spacing w:after="0"/>
              <w:rPr>
                <w:sz w:val="20"/>
                <w:szCs w:val="20"/>
                <w:color w:val="auto"/>
              </w:rPr>
            </w:pPr>
            <w:r>
              <w:rPr>
                <w:rFonts w:ascii="Arial" w:cs="Arial" w:eastAsia="Arial" w:hAnsi="Arial"/>
                <w:sz w:val="18"/>
                <w:szCs w:val="18"/>
                <w:color w:val="auto"/>
              </w:rPr>
              <w:t>36,947,052</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34,840,324</w:t>
            </w:r>
          </w:p>
        </w:tc>
        <w:tc>
          <w:tcPr>
            <w:tcW w:w="12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36,169,536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34,705,947</w:t>
            </w:r>
          </w:p>
        </w:tc>
      </w:tr>
      <w:tr>
        <w:trPr>
          <w:trHeight w:val="446"/>
        </w:trPr>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36,947,052</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34,840,324</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36,169,536</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34,705,947</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-599440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-179705</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280"/>
            <w:col w:w="6720"/>
          </w:cols>
          <w:pgMar w:left="240" w:top="233" w:right="239" w:bottom="1440" w:gutter="0" w:footer="0" w:header="0"/>
          <w:type w:val="continuous"/>
        </w:sectPr>
      </w:pPr>
    </w:p>
    <w:p>
      <w:pPr>
        <w:spacing w:after="0" w:line="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3,286,853 and 5,789,838 shares of common stock for the three and nine months ended September 30, 2018 and 2017, respectively, as the impact of these shares would be anti-dilutive.</w:t>
      </w:r>
    </w:p>
    <w:p>
      <w:pPr>
        <w:spacing w:after="0" w:line="177" w:lineRule="exact"/>
        <w:rPr>
          <w:sz w:val="20"/>
          <w:szCs w:val="20"/>
          <w:color w:val="auto"/>
        </w:rPr>
      </w:pPr>
    </w:p>
    <w:p>
      <w:pPr>
        <w:ind w:left="1100" w:hanging="1092"/>
        <w:spacing w:after="0"/>
        <w:tabs>
          <w:tab w:leader="none" w:pos="11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On January 22, 2018, in connection with the closing of the Denville Transaction, the Company terminated the Third Amended and Restated Credit Agreement (the Credit Agreement), among the Company, Brown Brothers Harriman &amp; Co. and each of the other lenders party thereto, and Bank of America, as administrative agent. All outstanding amounts under the agreement were repaid in full using a portion of the proceeds of the Denville Transaction. At the time of repayment, there was approximately $11.9 million outstanding.</w:t>
      </w:r>
    </w:p>
    <w:p>
      <w:pPr>
        <w:spacing w:after="0" w:line="187"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On January 31, 2018, the Company entered into a financing agreement by and among the Company and certain subsidiaries of the Company parties thereto, as borrowers (collectively, the Borrower), certain subsidiaries of the Company parties thereto, as guarantors, various lenders from time to time party thereto (the Lenders), and Cerberus Business Finance, LLC, as collateral agent and administrative agent for the Lenders (the Financing Agreement). On August 16, 2018, the Company and Cerberus Business Finance, LLC entered into a First Amendment to the Financing Agreement, which such amendment modified certain provisions related to the borrowing base and reporting, among other things.</w:t>
      </w:r>
    </w:p>
    <w:p>
      <w:pPr>
        <w:spacing w:after="0" w:line="173"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Commencing on March 31, 2018, the outstanding term loans amortize in equal quarterly installments equal to $0.4 million per quarter on such date and during each of the next three quarters thereafter, $0.6 million per quarter during the next four quarters thereafter and $0.8 million per quarter thereafter, with a balloon payment at maturity.</w:t>
      </w:r>
    </w:p>
    <w:p>
      <w:pPr>
        <w:spacing w:after="0" w:line="181"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at the Borrower’s option, a base rate plus 4.75% or a London Interbank Offered Rate (LIBOR) rate plus 6.25%. The loans are also subject to a 1.25% interest rate floor for LIBOR loans and a 4.25% interest rate floor for base rate loans.</w:t>
      </w:r>
    </w:p>
    <w:p>
      <w:pPr>
        <w:spacing w:after="0" w:line="18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also contains customary events of default. As of September 30, 2018, the Company was in compliance with all financial covenants contained in the Financing Agreement, was subject to covenant and working capital borrowing restrictions and had available borrowing capacity under its Financing Agreement of $8.5 million.</w:t>
      </w:r>
    </w:p>
    <w:p>
      <w:pPr>
        <w:spacing w:after="0" w:line="17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As of September 30, 2018 and December 31, 2017, the Company had borrowings net of debt issuance costs of $61.0 million and $11.7 million respectively, outstanding. The carrying value of the debt approximates fair value because the interest rate under the obligation approximates market rates of interest available to the Company for similar instruments.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2018, the weighted effective interest rate, net of the impact of the Company’s interest rate swap, on its term loan was 8.76%.</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December 31, 2017, the Company’s borrowings were comprised of:</w:t>
      </w:r>
    </w:p>
    <w:p>
      <w:pPr>
        <w:spacing w:after="0" w:line="221" w:lineRule="exact"/>
        <w:rPr>
          <w:sz w:val="20"/>
          <w:szCs w:val="20"/>
          <w:color w:val="auto"/>
        </w:rPr>
      </w:pPr>
    </w:p>
    <w:p>
      <w:pPr>
        <w:ind w:left="8380"/>
        <w:spacing w:after="0"/>
        <w:tabs>
          <w:tab w:leader="none" w:pos="10080" w:val="left"/>
        </w:tabs>
        <w:rPr>
          <w:sz w:val="20"/>
          <w:szCs w:val="20"/>
          <w:color w:val="auto"/>
        </w:rPr>
      </w:pPr>
      <w:r>
        <w:rPr>
          <w:rFonts w:ascii="Arial" w:cs="Arial" w:eastAsia="Arial" w:hAnsi="Arial"/>
          <w:sz w:val="18"/>
          <w:szCs w:val="18"/>
          <w:b w:val="1"/>
          <w:bCs w:val="1"/>
          <w:color w:val="auto"/>
        </w:rPr>
        <w:t>September 30,</w:t>
      </w:r>
      <w:r>
        <w:rPr>
          <w:sz w:val="20"/>
          <w:szCs w:val="20"/>
          <w:color w:val="auto"/>
        </w:rPr>
        <w:tab/>
      </w:r>
      <w:r>
        <w:rPr>
          <w:rFonts w:ascii="Arial" w:cs="Arial" w:eastAsia="Arial" w:hAnsi="Arial"/>
          <w:sz w:val="16"/>
          <w:szCs w:val="16"/>
          <w:b w:val="1"/>
          <w:bCs w:val="1"/>
          <w:color w:val="auto"/>
        </w:rPr>
        <w:t>December 31,</w:t>
      </w:r>
    </w:p>
    <w:p>
      <w:pPr>
        <w:spacing w:after="0" w:line="27" w:lineRule="exact"/>
        <w:rPr>
          <w:sz w:val="20"/>
          <w:szCs w:val="20"/>
          <w:color w:val="auto"/>
        </w:rPr>
      </w:pPr>
    </w:p>
    <w:p>
      <w:pPr>
        <w:ind w:left="8740"/>
        <w:spacing w:after="0"/>
        <w:tabs>
          <w:tab w:leader="none" w:pos="104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ectPr>
          <w:pgSz w:w="11900" w:h="16838" w:orient="portrait"/>
          <w:cols w:equalWidth="0" w:num="1">
            <w:col w:w="11420"/>
          </w:cols>
          <w:pgMar w:left="240" w:top="233"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Total debt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Current unamortized deferred financing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ind w:left="1100" w:hanging="1092"/>
        <w:spacing w:after="0"/>
        <w:tabs>
          <w:tab w:leader="none" w:pos="11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(in thousands)</w:t>
            </w:r>
          </w:p>
        </w:tc>
        <w:tc>
          <w:tcPr>
            <w:tcW w:w="860" w:type="dxa"/>
            <w:vAlign w:val="bottom"/>
            <w:tcBorders>
              <w:top w:val="single" w:sz="8" w:color="auto"/>
            </w:tcBorders>
          </w:tcPr>
          <w:p>
            <w:pPr>
              <w:spacing w:after="0"/>
              <w:rPr>
                <w:sz w:val="20"/>
                <w:szCs w:val="20"/>
                <w:color w:val="auto"/>
              </w:rPr>
            </w:pPr>
          </w:p>
        </w:tc>
      </w:tr>
      <w:tr>
        <w:trPr>
          <w:trHeight w:val="411"/>
        </w:trPr>
        <w:tc>
          <w:tcPr>
            <w:tcW w:w="560" w:type="dxa"/>
            <w:vAlign w:val="bottom"/>
            <w:gridSpan w:val="2"/>
          </w:tcPr>
          <w:p>
            <w:pPr>
              <w:jc w:val="right"/>
              <w:ind w:right="38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62,752</w:t>
            </w:r>
          </w:p>
        </w:tc>
        <w:tc>
          <w:tcPr>
            <w:tcW w:w="100" w:type="dxa"/>
            <w:vAlign w:val="bottom"/>
          </w:tcPr>
          <w:p>
            <w:pPr>
              <w:spacing w:after="0"/>
              <w:rPr>
                <w:sz w:val="24"/>
                <w:szCs w:val="24"/>
                <w:color w:val="auto"/>
              </w:rPr>
            </w:pPr>
          </w:p>
        </w:tc>
        <w:tc>
          <w:tcPr>
            <w:tcW w:w="720" w:type="dxa"/>
            <w:vAlign w:val="bottom"/>
            <w:gridSpan w:val="2"/>
          </w:tcPr>
          <w:p>
            <w:pPr>
              <w:jc w:val="right"/>
              <w:ind w:right="59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11,899</w:t>
            </w:r>
          </w:p>
        </w:tc>
      </w:tr>
      <w:tr>
        <w:trPr>
          <w:trHeight w:val="230"/>
        </w:trPr>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19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61,046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11,748</w:t>
            </w:r>
          </w:p>
        </w:tc>
      </w:t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30"/>
        </w:trPr>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59,247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9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8,983</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400" w:space="720"/>
            <w:col w:w="3300"/>
          </w:cols>
          <w:pgMar w:left="240" w:top="233" w:right="239" w:bottom="1440" w:gutter="0" w:footer="0" w:header="0"/>
          <w:type w:val="continuous"/>
        </w:sectPr>
      </w:pPr>
    </w:p>
    <w:p>
      <w:pPr>
        <w:spacing w:after="0" w:line="29"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93"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As disclosed in Note 14, on January 31, 2018, the Company entered into a Financing Agreement comprised of a $64.0 million term loan and up to a $25.0 million revolving line of credit. Shortly after entering into this Credit Agreement, the Company entered into an interest rate swap contract with PNC Bank with a notional amount of $36.0 million and a termination date of January 1, 2023 in order to hedge the risk of changes in the effective benchmark interest rate (LIBOR) associated with the Company’s Term Loan. The swap contract converted specific variable-rate debt into fixed-rate debt and fixed the LIBOR rate associated with a portion of the term loan under the Financing Agreement at 2.72%. The interest rate swap was designated as a cash flow hedge instrument in accordance with ASC 815 “Derivatives and Hedging”.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notional amount of the Company’s derivative instruments as of September 30, 2018 was $34.7 million.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September 30,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September 30, 2018</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w w:val="92"/>
              </w:rPr>
              <w:t>Derivatives designated as hedging instruments under</w:t>
            </w:r>
          </w:p>
        </w:tc>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Notional Amount</w:t>
            </w: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w:t>
            </w:r>
          </w:p>
        </w:tc>
        <w:tc>
          <w:tcPr>
            <w:tcW w:w="0" w:type="dxa"/>
            <w:vAlign w:val="bottom"/>
          </w:tcPr>
          <w:p>
            <w:pPr>
              <w:spacing w:after="0"/>
              <w:rPr>
                <w:sz w:val="1"/>
                <w:szCs w:val="1"/>
                <w:color w:val="auto"/>
              </w:rPr>
            </w:pPr>
          </w:p>
        </w:tc>
      </w:tr>
      <w:tr>
        <w:trPr>
          <w:trHeight w:val="178"/>
        </w:trPr>
        <w:tc>
          <w:tcPr>
            <w:tcW w:w="4280" w:type="dxa"/>
            <w:vAlign w:val="bottom"/>
            <w:vMerge w:val="continue"/>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ASC 815</w:t>
            </w:r>
          </w:p>
        </w:tc>
        <w:tc>
          <w:tcPr>
            <w:tcW w:w="2860" w:type="dxa"/>
            <w:vAlign w:val="bottom"/>
          </w:tcPr>
          <w:p>
            <w:pPr>
              <w:ind w:left="200"/>
              <w:spacing w:after="0"/>
              <w:rPr>
                <w:sz w:val="20"/>
                <w:szCs w:val="20"/>
                <w:color w:val="auto"/>
              </w:rPr>
            </w:pPr>
            <w:r>
              <w:rPr>
                <w:rFonts w:ascii="Arial" w:cs="Arial" w:eastAsia="Arial" w:hAnsi="Arial"/>
                <w:sz w:val="18"/>
                <w:szCs w:val="18"/>
                <w:b w:val="1"/>
                <w:bCs w:val="1"/>
                <w:color w:val="auto"/>
              </w:rPr>
              <w:t>Balance sheet classification</w:t>
            </w:r>
          </w:p>
        </w:tc>
        <w:tc>
          <w:tcPr>
            <w:tcW w:w="300" w:type="dxa"/>
            <w:vAlign w:val="bottom"/>
          </w:tcPr>
          <w:p>
            <w:pPr>
              <w:spacing w:after="0"/>
              <w:rPr>
                <w:sz w:val="20"/>
                <w:szCs w:val="20"/>
                <w:color w:val="auto"/>
              </w:rPr>
            </w:pPr>
          </w:p>
        </w:tc>
        <w:tc>
          <w:tcPr>
            <w:tcW w:w="3980" w:type="dxa"/>
            <w:vAlign w:val="bottom"/>
            <w:gridSpan w:val="4"/>
          </w:tcPr>
          <w:p>
            <w:pPr>
              <w:jc w:val="right"/>
              <w:ind w:right="13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Other assets (long term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5" w:lineRule="exact"/>
        <w:rPr>
          <w:sz w:val="20"/>
          <w:szCs w:val="20"/>
          <w:color w:val="auto"/>
        </w:rPr>
      </w:pPr>
    </w:p>
    <w:p>
      <w:pPr>
        <w:ind w:left="7640"/>
        <w:spacing w:after="0"/>
        <w:rPr>
          <w:sz w:val="20"/>
          <w:szCs w:val="20"/>
          <w:color w:val="auto"/>
        </w:rPr>
      </w:pPr>
      <w:r>
        <w:rPr>
          <w:rFonts w:ascii="Arial" w:cs="Arial" w:eastAsia="Arial" w:hAnsi="Arial"/>
          <w:sz w:val="15"/>
          <w:szCs w:val="15"/>
          <w:b w:val="1"/>
          <w:bCs w:val="1"/>
          <w:color w:val="auto"/>
        </w:rPr>
        <w:t>December 31, 2017</w:t>
      </w:r>
    </w:p>
    <w:p>
      <w:pPr>
        <w:spacing w:after="0" w:line="62" w:lineRule="exact"/>
        <w:rPr>
          <w:sz w:val="20"/>
          <w:szCs w:val="20"/>
          <w:color w:val="auto"/>
        </w:rPr>
      </w:pPr>
    </w:p>
    <w:p>
      <w:pPr>
        <w:ind w:left="7700"/>
        <w:spacing w:after="0"/>
        <w:rPr>
          <w:sz w:val="20"/>
          <w:szCs w:val="20"/>
          <w:color w:val="auto"/>
        </w:rPr>
      </w:pPr>
      <w:r>
        <w:rPr>
          <w:rFonts w:ascii="Arial" w:cs="Arial" w:eastAsia="Arial" w:hAnsi="Arial"/>
          <w:sz w:val="17"/>
          <w:szCs w:val="17"/>
          <w:b w:val="1"/>
          <w:bCs w:val="1"/>
          <w:color w:val="auto"/>
        </w:rPr>
        <w:t>Notional Amount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December 31, 2017</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Fair Value (a)</w:t>
      </w:r>
    </w:p>
    <w:p>
      <w:pPr>
        <w:spacing w:after="0" w:line="9" w:lineRule="exact"/>
        <w:rPr>
          <w:sz w:val="20"/>
          <w:szCs w:val="20"/>
          <w:color w:val="auto"/>
        </w:rPr>
      </w:pPr>
    </w:p>
    <w:p>
      <w:pPr>
        <w:sectPr>
          <w:pgSz w:w="11900" w:h="16838" w:orient="portrait"/>
          <w:cols w:equalWidth="0" w:num="2">
            <w:col w:w="9080" w:space="680"/>
            <w:col w:w="166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280" w:type="dxa"/>
            <w:vAlign w:val="bottom"/>
          </w:tcPr>
          <w:p>
            <w:pPr>
              <w:spacing w:after="0" w:line="178" w:lineRule="exact"/>
              <w:rPr>
                <w:sz w:val="20"/>
                <w:szCs w:val="20"/>
                <w:color w:val="auto"/>
              </w:rPr>
            </w:pPr>
            <w:r>
              <w:rPr>
                <w:rFonts w:ascii="Arial" w:cs="Arial" w:eastAsia="Arial" w:hAnsi="Arial"/>
                <w:sz w:val="18"/>
                <w:szCs w:val="18"/>
                <w:b w:val="1"/>
                <w:bCs w:val="1"/>
                <w:color w:val="auto"/>
                <w:w w:val="92"/>
              </w:rPr>
              <w:t>Derivatives designated as hedging instruments under</w:t>
            </w: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ASC 815</w:t>
            </w:r>
          </w:p>
        </w:tc>
        <w:tc>
          <w:tcPr>
            <w:tcW w:w="2860" w:type="dxa"/>
            <w:vAlign w:val="bottom"/>
          </w:tcPr>
          <w:p>
            <w:pPr>
              <w:ind w:left="200"/>
              <w:spacing w:after="0"/>
              <w:rPr>
                <w:sz w:val="20"/>
                <w:szCs w:val="20"/>
                <w:color w:val="auto"/>
              </w:rPr>
            </w:pPr>
            <w:r>
              <w:rPr>
                <w:rFonts w:ascii="Arial" w:cs="Arial" w:eastAsia="Arial" w:hAnsi="Arial"/>
                <w:sz w:val="18"/>
                <w:szCs w:val="18"/>
                <w:b w:val="1"/>
                <w:bCs w:val="1"/>
                <w:color w:val="auto"/>
              </w:rPr>
              <w:t>Balance sheet classification</w:t>
            </w:r>
          </w:p>
        </w:tc>
        <w:tc>
          <w:tcPr>
            <w:tcW w:w="300" w:type="dxa"/>
            <w:vAlign w:val="bottom"/>
          </w:tcPr>
          <w:p>
            <w:pPr>
              <w:spacing w:after="0"/>
              <w:rPr>
                <w:sz w:val="20"/>
                <w:szCs w:val="20"/>
                <w:color w:val="auto"/>
              </w:rPr>
            </w:pPr>
          </w:p>
        </w:tc>
        <w:tc>
          <w:tcPr>
            <w:tcW w:w="3160" w:type="dxa"/>
            <w:vAlign w:val="bottom"/>
            <w:gridSpan w:val="3"/>
          </w:tcPr>
          <w:p>
            <w:pPr>
              <w:ind w:left="1480"/>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20"/>
                <w:szCs w:val="20"/>
                <w:color w:val="auto"/>
              </w:rPr>
            </w:pPr>
          </w:p>
        </w:tc>
      </w:tr>
      <w:tr>
        <w:trPr>
          <w:trHeight w:val="21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Other assets (long term liabilities)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right="4860" w:hanging="72"/>
        <w:spacing w:after="0" w:line="563" w:lineRule="auto"/>
        <w:tabs>
          <w:tab w:leader="none" w:pos="6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Note 16 for the fair value measurements related to these financial instruments. All of the Company’s derivative instruments are designated as hedging instruments.</w:t>
      </w:r>
    </w:p>
    <w:p>
      <w:pPr>
        <w:spacing w:after="0" w:line="1"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and nine months ended September 30,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46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0"/>
              </w:rPr>
              <w:t>Amount of gain (loss) recognized in OCI on</w:t>
            </w: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derivative (effective portion)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80" w:type="dxa"/>
            <w:vAlign w:val="bottom"/>
            <w:gridSpan w:val="3"/>
          </w:tcPr>
          <w:p>
            <w:pPr>
              <w:jc w:val="center"/>
              <w:ind w:left="152"/>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0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132"/>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10"/>
        </w:trPr>
        <w:tc>
          <w:tcPr>
            <w:tcW w:w="4500" w:type="dxa"/>
            <w:vAlign w:val="bottom"/>
          </w:tcPr>
          <w:p>
            <w:pPr>
              <w:spacing w:after="0"/>
              <w:rPr>
                <w:sz w:val="18"/>
                <w:szCs w:val="18"/>
                <w:color w:val="auto"/>
              </w:rPr>
            </w:pPr>
          </w:p>
        </w:tc>
        <w:tc>
          <w:tcPr>
            <w:tcW w:w="208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740" w:type="dxa"/>
            <w:vAlign w:val="bottom"/>
            <w:shd w:val="clear" w:color="auto" w:fill="CCEEFF"/>
          </w:tcPr>
          <w:p>
            <w:pPr>
              <w:jc w:val="right"/>
              <w:ind w:right="57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126</w:t>
            </w: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reclassifications out of accumulated other comprehensive loss for the nine months ended September 30, 2018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840" w:type="dxa"/>
            <w:vAlign w:val="bottom"/>
          </w:tcPr>
          <w:p>
            <w:pPr>
              <w:spacing w:after="0"/>
              <w:rPr>
                <w:sz w:val="20"/>
                <w:szCs w:val="20"/>
                <w:color w:val="auto"/>
              </w:rPr>
            </w:pPr>
            <w:r>
              <w:rPr>
                <w:rFonts w:ascii="Arial" w:cs="Arial" w:eastAsia="Arial" w:hAnsi="Arial"/>
                <w:sz w:val="18"/>
                <w:szCs w:val="18"/>
                <w:b w:val="1"/>
                <w:bCs w:val="1"/>
                <w:color w:val="auto"/>
              </w:rPr>
              <w:t>Details about AOCI</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Components</w:t>
            </w: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b w:val="1"/>
                <w:bCs w:val="1"/>
                <w:color w:val="auto"/>
                <w:w w:val="93"/>
              </w:rPr>
              <w:t>Amount reclassified from AOCI into income (effective portion)</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amount</w:t>
            </w: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 from</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 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 September 30,</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AOCI</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into income (effective</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portion)</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(in thousands)</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5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As of September 30, 2018, $54 thousand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 As a result of terminating the Credit Agreement, as discussed in Note 14, the Company unwound its previous May 2017 interest rate swap contract and received $0.1 million in proceeds.</w:t>
      </w:r>
    </w:p>
    <w:p>
      <w:pPr>
        <w:spacing w:after="0" w:line="167" w:lineRule="exact"/>
        <w:rPr>
          <w:sz w:val="20"/>
          <w:szCs w:val="20"/>
          <w:color w:val="auto"/>
        </w:rPr>
      </w:pPr>
    </w:p>
    <w:p>
      <w:pPr>
        <w:ind w:left="1100" w:hanging="1092"/>
        <w:spacing w:after="0"/>
        <w:tabs>
          <w:tab w:leader="none" w:pos="11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1"/>
              </w:rPr>
              <w:t>Fair Value as of September 30,</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Level 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Level</w:t>
            </w:r>
          </w:p>
        </w:tc>
        <w:tc>
          <w:tcPr>
            <w:tcW w:w="52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590"/>
              <w:spacing w:after="0"/>
              <w:rPr>
                <w:sz w:val="20"/>
                <w:szCs w:val="20"/>
                <w:color w:val="auto"/>
              </w:rPr>
            </w:pPr>
            <w:r>
              <w:rPr>
                <w:rFonts w:ascii="Arial" w:cs="Arial" w:eastAsia="Arial" w:hAnsi="Arial"/>
                <w:sz w:val="18"/>
                <w:szCs w:val="18"/>
                <w:color w:val="auto"/>
              </w:rPr>
              <w:t>-   $</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color w:val="auto"/>
                <w:w w:val="89"/>
              </w:rPr>
              <w:t>Fair Value as of December 31, 2017</w:t>
            </w:r>
          </w:p>
        </w:tc>
        <w:tc>
          <w:tcPr>
            <w:tcW w:w="1060" w:type="dxa"/>
            <w:vAlign w:val="bottom"/>
            <w:tcBorders>
              <w:bottom w:val="single" w:sz="8" w:color="auto"/>
            </w:tcBorders>
          </w:tcPr>
          <w:p>
            <w:pPr>
              <w:spacing w:after="0"/>
              <w:rPr>
                <w:sz w:val="24"/>
                <w:szCs w:val="24"/>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9"/>
                <w:szCs w:val="19"/>
                <w:color w:val="auto"/>
              </w:rPr>
            </w:pPr>
          </w:p>
        </w:tc>
        <w:tc>
          <w:tcPr>
            <w:tcW w:w="1500" w:type="dxa"/>
            <w:vAlign w:val="bottom"/>
            <w:gridSpan w:val="3"/>
          </w:tcPr>
          <w:p>
            <w:pPr>
              <w:jc w:val="right"/>
              <w:ind w:right="73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Level 3</w:t>
            </w: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620" w:type="dxa"/>
            <w:vAlign w:val="bottom"/>
            <w:gridSpan w:val="3"/>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w:t>
            </w:r>
          </w:p>
        </w:tc>
      </w:tr>
    </w:tbl>
    <w:p>
      <w:pPr>
        <w:spacing w:after="0" w:line="18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177" w:lineRule="exact"/>
        <w:rPr>
          <w:sz w:val="20"/>
          <w:szCs w:val="20"/>
          <w:color w:val="auto"/>
        </w:rPr>
      </w:pPr>
    </w:p>
    <w:p>
      <w:pPr>
        <w:ind w:left="1100" w:hanging="1092"/>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16"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The following table represents a disaggregation of revenue from contracts with customers. Revenue from continuing operations originating from the following geographic areas for the three and nine months ended September 30, 2018 and 2017 consist of:</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Instruments, equipment and accessories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Service, maintenance and warranty contracts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Rest of the world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19,458</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58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27,159</w:t>
            </w:r>
          </w:p>
        </w:tc>
      </w:tr>
      <w:tr>
        <w:trPr>
          <w:trHeight w:val="230"/>
        </w:trPr>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1,476</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20,535</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28,635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216" w:right="23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September 30, 2017</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3"/>
              </w:rPr>
              <w:t>Rest of the world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and accessories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w:t>
            </w:r>
          </w:p>
        </w:tc>
        <w:tc>
          <w:tcPr>
            <w:tcW w:w="90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2,242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17,974</w:t>
            </w: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maintenance and warranty contracts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w:t>
            </w: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10,138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3,531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18,717</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Instruments, equipment and accessories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Service, maintenance and warranty contracts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Nine Months Ended September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Rest of the world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56,153</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10,685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9,485</w:t>
            </w:r>
          </w:p>
        </w:tc>
        <w:tc>
          <w:tcPr>
            <w:tcW w:w="58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6,524</w:t>
            </w:r>
          </w:p>
        </w:tc>
        <w:tc>
          <w:tcPr>
            <w:tcW w:w="1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82,847</w:t>
            </w:r>
          </w:p>
        </w:tc>
      </w:tr>
      <w:tr>
        <w:trPr>
          <w:trHeight w:val="230"/>
        </w:trPr>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4,069</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59,260</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11,316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86,916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21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Instruments, equipment and accessories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Service, maintenance and warranty contracts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Nine Months Ended September 30,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Rest of the world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29,901</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10,125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6,886</w:t>
            </w:r>
          </w:p>
        </w:tc>
        <w:tc>
          <w:tcPr>
            <w:tcW w:w="58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53,556</w:t>
            </w:r>
          </w:p>
        </w:tc>
      </w:tr>
      <w:tr>
        <w:trPr>
          <w:trHeight w:val="230"/>
        </w:trPr>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2,205</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31,101</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10,773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55,761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216" w:right="2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 for the Company’s revenue recognition policies.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As of September 30, 2018, the Company had approximately $3.3 million in deferred revenue comprised of revenue deferred from service contracts and revenue deferred from advance payments. Changes in deferred revenue from service contracts and advance payments from customers during the period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8"/>
          </w:tcPr>
          <w:p>
            <w:pPr>
              <w:jc w:val="right"/>
              <w:ind w:right="870"/>
              <w:spacing w:after="0"/>
              <w:rPr>
                <w:sz w:val="20"/>
                <w:szCs w:val="20"/>
                <w:color w:val="auto"/>
              </w:rPr>
            </w:pPr>
            <w:r>
              <w:rPr>
                <w:rFonts w:ascii="Arial" w:cs="Arial" w:eastAsia="Arial" w:hAnsi="Arial"/>
                <w:sz w:val="18"/>
                <w:szCs w:val="18"/>
                <w:b w:val="1"/>
                <w:bCs w:val="1"/>
                <w:color w:val="auto"/>
              </w:rPr>
              <w:t>Nine Months Ended September 30, 2018</w:t>
            </w:r>
          </w:p>
        </w:tc>
      </w:tr>
      <w:tr>
        <w:trPr>
          <w:trHeight w:val="191"/>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210"/>
              <w:spacing w:after="0" w:line="191"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Service Contracts</w:t>
            </w:r>
          </w:p>
        </w:tc>
        <w:tc>
          <w:tcPr>
            <w:tcW w:w="1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5"/>
              </w:rPr>
              <w:t>Customer Advances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w:t>
            </w:r>
          </w:p>
        </w:tc>
        <w:tc>
          <w:tcPr>
            <w:tcW w:w="70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Addition due to business combination</w:t>
            </w: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2,976</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Deferral of revenue</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(3,726)</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3,267</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jc w:val="center"/>
              <w:ind w:right="248"/>
              <w:spacing w:after="0"/>
              <w:rPr>
                <w:sz w:val="20"/>
                <w:szCs w:val="20"/>
                <w:color w:val="auto"/>
              </w:rPr>
            </w:pPr>
            <w:r>
              <w:rPr>
                <w:rFonts w:ascii="Arial" w:cs="Arial" w:eastAsia="Arial" w:hAnsi="Arial"/>
                <w:sz w:val="18"/>
                <w:szCs w:val="18"/>
                <w:b w:val="1"/>
                <w:bCs w:val="1"/>
                <w:color w:val="auto"/>
                <w:w w:val="91"/>
              </w:rPr>
              <w:t>Nine Months Ended</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center"/>
              <w:ind w:right="248"/>
              <w:spacing w:after="0"/>
              <w:rPr>
                <w:sz w:val="20"/>
                <w:szCs w:val="20"/>
                <w:color w:val="auto"/>
              </w:rPr>
            </w:pPr>
            <w:r>
              <w:rPr>
                <w:rFonts w:ascii="Arial" w:cs="Arial" w:eastAsia="Arial" w:hAnsi="Arial"/>
                <w:sz w:val="18"/>
                <w:szCs w:val="18"/>
                <w:b w:val="1"/>
                <w:bCs w:val="1"/>
                <w:color w:val="auto"/>
                <w:w w:val="89"/>
              </w:rPr>
              <w:t>September 30, 2018</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jc w:val="center"/>
              <w:ind w:right="248"/>
              <w:spacing w:after="0"/>
              <w:rPr>
                <w:sz w:val="20"/>
                <w:szCs w:val="20"/>
                <w:color w:val="auto"/>
              </w:rPr>
            </w:pPr>
            <w:r>
              <w:rPr>
                <w:rFonts w:ascii="Arial" w:cs="Arial" w:eastAsia="Arial" w:hAnsi="Arial"/>
                <w:sz w:val="18"/>
                <w:szCs w:val="18"/>
                <w:color w:val="auto"/>
                <w:w w:val="89"/>
              </w:rPr>
              <w:t>(in thousands)</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193</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 due to business combination</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 to allowance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6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jc w:val="right"/>
              <w:ind w:right="948"/>
              <w:spacing w:after="0"/>
              <w:rPr>
                <w:sz w:val="20"/>
                <w:szCs w:val="20"/>
                <w:color w:val="auto"/>
              </w:rPr>
            </w:pPr>
            <w:r>
              <w:rPr>
                <w:rFonts w:ascii="Arial" w:cs="Arial" w:eastAsia="Arial" w:hAnsi="Arial"/>
                <w:sz w:val="22"/>
                <w:szCs w:val="22"/>
                <w:color w:val="auto"/>
              </w:rPr>
              <w:t>23</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DSI</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discussed in Note 4, the Company acquired DSI, a previously privately held company on January 31, 2018. The Company has adopted ASC 606 with respect to DSI as of January 31, 2018. The tables, revenue recognition policies applied, and product descriptions noted above are thus inclusive of, and reflect revenues of DSI for the periods from the acquisition date.</w:t>
      </w:r>
    </w:p>
    <w:p>
      <w:pPr>
        <w:spacing w:after="0" w:line="177" w:lineRule="exact"/>
        <w:rPr>
          <w:sz w:val="20"/>
          <w:szCs w:val="20"/>
          <w:color w:val="auto"/>
        </w:rPr>
      </w:pPr>
    </w:p>
    <w:p>
      <w:pPr>
        <w:ind w:left="1100" w:hanging="1092"/>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Income tax from continuing operations was a benefit of approximately $0.7 million and $19 thousand for the three months ended September 30, 2018 and 2017, respectively. The effective tax rate on continuing operations was 71.8% for the three months ended September 30, 2018 compared with 2.9% for the same period in 2017.</w:t>
      </w:r>
    </w:p>
    <w:p>
      <w:pPr>
        <w:spacing w:after="0" w:line="181"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Tax benefit for the three months ended September 30, 2018 reflects a benefit determined under the annualized effective tax method. The income tax benefit for the three months ended September 30, 2017 reflects the incremental expense associated with the actual results for the three-month period as described below.</w:t>
      </w:r>
    </w:p>
    <w:p>
      <w:pPr>
        <w:spacing w:after="0" w:line="181"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Discrete items included in the tax benefit for the three months ended September 30, 2018 included foreign currency gains and losses and withholding taxes. Discrete items included in the tax benefit for the three months ended September 30, 2017 are changes to reserves for uncertain tax positions and tax impact of stock-based compensation.</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Income tax from continuing operations was a benefit of approximately $0.4 million and $0.1 million for the nine months ended September 30, 2018 and 2017, respectively. The effective tax rate on continuing operations was 5.2% for the nine months ended September 30, 2018 compared with 6.6% for the same period in 2017.</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Tax benefit for the nine months ended September 30, 2018 reflects benefit determined under the annualized effective tax method. The tax benefit for the three and nine month periods ended September 30, 2017 was based on actual results for the three and nine months periods rather than an annual effective rate estimated for the entire year. In 2017 the Company determined that using a year-to-date approach resulted in a better estimate of income tax expense/benefit based on its forecast of pre-tax income/loss, the mix of taxable income/loss across several jurisdictions with different statutory tax rates, and the impact of the full valuation allowance against U.S. deferred tax assets. The impact of recent events including U.S. tax reform and a major acquisition in January 2018 have significantly contributed to a change in the Company’s determination regarding the use of the year-to-date method, which has been discontinued effective in the first quarter of 2018, the annualized effective tax rate method is used instead.</w:t>
      </w:r>
    </w:p>
    <w:p>
      <w:pPr>
        <w:spacing w:after="0" w:line="178"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On December 22, 2017, tax reform legislation known as the Tax Cuts and Jobs Act (the Tax Act) was signed into law. For the year ended December 31, 2017, the Company recorded provisional amounts relating to the revaluation of deferred tax assets and liabilities, the impact of the mandatory repatriation of foreign earnings after electing the utilization of existing tax attributes, and for the reduction in valuation allowance on net federal deferred tax assets. In accordance with SEC guidance in Staff Accounting Bulletin No. 118, the Company is utilizing the measurement period approach for the income tax effects of tax reform for which the accounting is incomplete. Since these provisions are still based on estimates, the Company will continue to measure the impact of these areas and record any changes in subsequent quarters when information and guidance become available.</w:t>
      </w:r>
    </w:p>
    <w:p>
      <w:pPr>
        <w:spacing w:after="0" w:line="16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As part of the 2017 Tax Act, there is a provision for the taxation of certain off-shore earnings referred to as the Global Intangible Low-Taxed Income (“GILTI”) provision. In connection with this new provision, the Company has recorded current expense within the period but continues the process of determining its final accounting policy in regard to this new tax.</w:t>
      </w:r>
    </w:p>
    <w:p>
      <w:pPr>
        <w:spacing w:after="0" w:line="181"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The difference between the Company’s effective tax rate period over period was primarily attributable to higher pre-tax income at certain individual subsidiaries in 2018 versus 2017, despite an overall pre-tax loss in both periods, as well as the impact of non-deductible acquisition costs and certain provisions of U.S. tax reform in 2018. An additional factor was the impact of changes in the valuation allowance position recorded in certain countries.</w:t>
      </w:r>
    </w:p>
    <w:p>
      <w:pPr>
        <w:spacing w:after="0" w:line="147"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For the three months ended September 30, 2018, no income tax expense or benefit was recorded for discontinued operations. In the same period in 2017, income tax expense for discontinued operations was $26 thousand.</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For the nine months ended September 30, 2018, an income tax benefit of $0.9 million was recorded for discontinued operations. In the same period in 2017, income tax expense for discontinued operations was $90 thousand.</w:t>
      </w:r>
    </w:p>
    <w:p>
      <w:pPr>
        <w:spacing w:after="0" w:line="170" w:lineRule="exact"/>
        <w:rPr>
          <w:sz w:val="20"/>
          <w:szCs w:val="20"/>
          <w:color w:val="auto"/>
        </w:rPr>
      </w:pPr>
    </w:p>
    <w:p>
      <w:pPr>
        <w:ind w:right="320" w:firstLine="441"/>
        <w:spacing w:after="0" w:line="257" w:lineRule="auto"/>
        <w:rPr>
          <w:sz w:val="20"/>
          <w:szCs w:val="20"/>
          <w:color w:val="auto"/>
        </w:rPr>
      </w:pPr>
      <w:r>
        <w:rPr>
          <w:rFonts w:ascii="Arial" w:cs="Arial" w:eastAsia="Arial" w:hAnsi="Arial"/>
          <w:sz w:val="18"/>
          <w:szCs w:val="18"/>
          <w:color w:val="auto"/>
        </w:rPr>
        <w:t>The Company adopted ASU 2016-09 as of January 1, 2017. As a result, the Company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a net impact of $0. In addition, vesting of restricted stock units during the nine months ended September 30, 2018 has been recognized in the current period’s income statement.</w:t>
      </w:r>
    </w:p>
    <w:p>
      <w:pPr>
        <w:sectPr>
          <w:pgSz w:w="11900" w:h="16838" w:orient="portrait"/>
          <w:cols w:equalWidth="0" w:num="1">
            <w:col w:w="11420"/>
          </w:cols>
          <w:pgMar w:left="240" w:top="233"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newly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w:t>
      </w:r>
      <w:r>
        <w:rPr>
          <w:rFonts w:ascii="Arial" w:cs="Arial" w:eastAsia="Arial" w:hAnsi="Arial"/>
          <w:sz w:val="16"/>
          <w:szCs w:val="16"/>
          <w:color w:val="auto"/>
        </w:rPr>
        <w:t>f</w:t>
      </w:r>
      <w:r>
        <w:rPr>
          <w:rFonts w:ascii="Arial" w:cs="Arial" w:eastAsia="Arial" w:hAnsi="Arial"/>
          <w:sz w:val="16"/>
          <w:szCs w:val="16"/>
          <w:i w:val="1"/>
          <w:iCs w:val="1"/>
          <w:color w:val="auto"/>
        </w:rPr>
        <w:t>ailure of any banking institution in which we deposit our funds or its failure to provide services; our substantial debt and our ability to meet the financial covenants contained in our credit facility; our failure to raise or generate capital necessary to implement our acquisition and expansion strategy;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plus other factors described under the heading “Item 1A. Risk Factors” in our Annual Report on Form 10-K for the year ended December 31, 2017,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Harvard Bioscience, Inc., a Delaware corporation, is a global developer, manufacturer and marketer of a broad range of scientific instruments and systems used to advance life science for basic research, drug discovery, clinical and environmental testing. Our products are sold to thousands of researchers around the world through our global sales organization, websites, catalogs, and through distributors including Thermo Fisher Scientific Inc., VWR, and other specialized distributors. We have sales and manufacturing operations in the United States, the United Kingdom, Germany, Sweden, Spain, France, Italy Canada, and China.</w:t>
      </w:r>
    </w:p>
    <w:p>
      <w:pPr>
        <w:spacing w:after="0" w:line="18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Led by President and CEO Jeffrey A. Duchemin, we are pursuing a strategy to grow the business through strategic, accretive acquisitions, including five acquisitions since the fourth quarter of 2014. In January 2018, we acquired Data Sciences International, Inc. (DSI) for approximately $70.6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have also conducted a multi-year restructuring program to reduce costs, align global functions, consolidate facilities to optimize our global footprint, divest non-core businesses and to reinvest in key areas such as sales and common IT systems. As part of these efforts, we divested our AHN Biotechnologie GmbH subsidiary (AHN) in the fourth quarter of 2016 and, during the first quarter of 2018, we sold substantially all the assets of our wholly-owned subsidiary, Denville Scientific, Inc. (Denville).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Our vision is to be a world leading life science company that excels in meeting the needs of our customers by providing a wide breadth of innovative products and solutions, while providing exemplary customer service. Our business strategy is to grow our top-line and bottom-line, and build shareholder value through a commitment to:</w:t>
      </w:r>
    </w:p>
    <w:p>
      <w:pPr>
        <w:spacing w:after="0" w:line="181" w:lineRule="exact"/>
        <w:rPr>
          <w:sz w:val="20"/>
          <w:szCs w:val="20"/>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excellence;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operational efficiencies;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previously described above, on January 22, 2018, we sold substantially all the assets of our operating subsidiary, Denville. The sale of Denville represented a strategic shift that has and will have a major effect on our operations and financial results. As such and pursuant to the accounting standards, the operating results of Denville for the three and nine months ended September 30, 2018 and 2017 have been presented in discontinued operations in the consolidated statements of operations. Therefore the amounts and percentages discussed below exclude the revenues and expenses of Denville unless otherwise described.</w:t>
      </w:r>
    </w:p>
    <w:p>
      <w:pPr>
        <w:spacing w:after="0" w:line="18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We generate revenues by selling apparatus, instruments, devices and consumables through our distributors, direct sales force, websites and</w:t>
      </w:r>
      <w:r>
        <w:rPr>
          <w:rFonts w:ascii="Arial" w:cs="Arial" w:eastAsia="Arial" w:hAnsi="Arial"/>
          <w:sz w:val="17"/>
          <w:szCs w:val="17"/>
          <w:i w:val="1"/>
          <w:iCs w:val="1"/>
          <w:color w:val="auto"/>
        </w:rPr>
        <w:t xml:space="preserve"> </w:t>
      </w:r>
      <w:r>
        <w:rPr>
          <w:rFonts w:ascii="Arial" w:cs="Arial" w:eastAsia="Arial" w:hAnsi="Arial"/>
          <w:sz w:val="17"/>
          <w:szCs w:val="17"/>
          <w:color w:val="auto"/>
        </w:rPr>
        <w:t>catalogs. Our websites and catalogs serve as the primary sales tools for our various product lines.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included in continuing operations represented approximately 63% and 57% of our revenues for the three months ended September 30, 2018 and 2017, respectively. Revenues from direct sales to end users included in continuing operations represented approximately 58% and 55% of our revenues for the nine months ended September 30, 2018 and 2017, respectively.</w:t>
      </w:r>
    </w:p>
    <w:p>
      <w:pPr>
        <w:spacing w:after="0" w:line="179"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Our products consist of instruments, consumables, and systems that are made up of several individual products. Sales prices of these products range from under $100 to over $100,000, although are mostly priced in the range of $5,000 to $15,000. They are mainly scientific instruments like spectrophotometers and plate readers that analyze light to detect and quantify a wide range of molecular and cellular processes, or apparatus like gel electrophoresis units. Following the acquisition of DSI, our products and services also include wireless monitors, data acquisition and analysis products and software, and ancillary services including post-contract customer support, training and installation.</w:t>
      </w:r>
    </w:p>
    <w:p>
      <w:pPr>
        <w:spacing w:after="0" w:line="173"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We use distributors for both our catalog products and our higher priced products, as well as for sales in locations where we do not have subsidiaries or where we have existing distributors in place from acquired businesses. For the three months ended September 30, 2018 and 2017, approximately 37% and 43% of our total revenues from continuing operations, respectively, were derived from sales to distributors. For the nine months ended September 30, 2018 and 2017, approximately 42% and 45% of our total revenues from continuing operations, respectively, were derived from sales to distributors.</w:t>
      </w:r>
    </w:p>
    <w:p>
      <w:pPr>
        <w:spacing w:after="0" w:line="15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For the three months ended September 30, 2018 and 2017, approximately 86% and 83% of our revenues from continuing operations, respectively, were derived from products we manufacture and approximately 14% and 17%, respectively, were derived from complementary products we distribute in order to provide the researcher with a single source for all equipment needed to conduct a particular experiment. For the nine months ended September 30, 2018 and 2017, approximately 87% and 82% of our revenues from continuing operations, respectively, were derived from products we manufacture and approximately 13% and 18%, respectively, were derived from complementary products we distribute in order to provide the researcher with a single source for all equipment needed to conduct a particular experiment.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92"/>
        <w:spacing w:after="0" w:line="302" w:lineRule="auto"/>
        <w:rPr>
          <w:sz w:val="20"/>
          <w:szCs w:val="20"/>
          <w:color w:val="auto"/>
        </w:rPr>
      </w:pPr>
      <w:r>
        <w:rPr>
          <w:rFonts w:ascii="Arial" w:cs="Arial" w:eastAsia="Arial" w:hAnsi="Arial"/>
          <w:sz w:val="16"/>
          <w:szCs w:val="16"/>
          <w:color w:val="auto"/>
        </w:rPr>
        <w:t>For the three months ended September 30, 2018 and 2017, approximately 28% and 46% of our revenues from continuing operations, respectively, were derived from sales made by our non-United States operations. For the nine months ended September 30, 2018 and 2017, approximately 32% and 44% of our revenues from continuing operations, respectively, were derived from sales made by our non-United States operations. As discussed later under “Selected Results of Operations”, the increase in revenues is primarily attributable to currency translation and the acquisition of DSI.</w:t>
      </w:r>
    </w:p>
    <w:p>
      <w:pPr>
        <w:spacing w:after="0" w:line="15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Changes in the relative proportion of our revenue sources between direct sales and distribution sales, and the proportion of U.S. and non-U.S sales are primarily the result of the acquisition of DSI.</w:t>
      </w:r>
    </w:p>
    <w:p>
      <w:pPr>
        <w:spacing w:after="0" w:line="170"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65"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5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66"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93"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i w:val="1"/>
          <w:iCs w:val="1"/>
          <w:color w:val="auto"/>
        </w:rPr>
        <w:t xml:space="preserve">Stock-based compensation expenses. </w:t>
      </w:r>
      <w:r>
        <w:rPr>
          <w:rFonts w:ascii="Arial" w:cs="Arial" w:eastAsia="Arial" w:hAnsi="Arial"/>
          <w:sz w:val="16"/>
          <w:szCs w:val="16"/>
          <w:color w:val="auto"/>
        </w:rPr>
        <w:t>Stock-based compensation expense for the three months ended September 30, 2018 and 2017 was $0.5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$0.9 million, respectively. These amounts include stock-based compensation related to discontinued operations of $0 and $25 thousand, respectively. Stock-based compensation expense for the nine months ended September 30, 2018 and 2017 was $2.2 million and $2.6 million, respectively. Included in stock-based compensation expense for the nine months ended September 30, 2018 and 2017 was stock-based compensation related to discontinued operations of $0.2 million and $73 thousand, respectively. The stock-based compensation expense related to stock options, restricted stock units, restricted stock units with a market condition and the employee stock purchase plan and was recorded as a component of cost of revenues, sales and marketing expenses, general and administrative expenses, research and development expenses, and income (loss) from discontinued operations.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9"/>
                <w:szCs w:val="19"/>
                <w:color w:val="auto"/>
              </w:rPr>
            </w:pPr>
          </w:p>
        </w:tc>
        <w:tc>
          <w:tcPr>
            <w:tcW w:w="156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Dollar</w:t>
            </w:r>
          </w:p>
        </w:tc>
        <w:tc>
          <w:tcPr>
            <w:tcW w:w="146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40" w:type="dxa"/>
            <w:vAlign w:val="bottom"/>
            <w:gridSpan w:val="3"/>
          </w:tcPr>
          <w:p>
            <w:pPr>
              <w:jc w:val="right"/>
              <w:ind w:right="1070"/>
              <w:spacing w:after="0"/>
              <w:rPr>
                <w:sz w:val="20"/>
                <w:szCs w:val="20"/>
                <w:color w:val="auto"/>
              </w:rPr>
            </w:pPr>
            <w:r>
              <w:rPr>
                <w:rFonts w:ascii="Arial" w:cs="Arial" w:eastAsia="Arial" w:hAnsi="Arial"/>
                <w:sz w:val="18"/>
                <w:szCs w:val="18"/>
                <w:color w:val="auto"/>
              </w:rPr>
              <w:t>(dollars in thousands)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28,635</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18,717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9,918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12,818</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9,217</w:t>
            </w:r>
          </w:p>
        </w:tc>
        <w:tc>
          <w:tcPr>
            <w:tcW w:w="420" w:type="dxa"/>
            <w:vAlign w:val="bottom"/>
          </w:tcPr>
          <w:p>
            <w:pPr>
              <w:spacing w:after="0"/>
              <w:rPr>
                <w:sz w:val="18"/>
                <w:szCs w:val="18"/>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3,601</w:t>
            </w:r>
          </w:p>
        </w:tc>
        <w:tc>
          <w:tcPr>
            <w:tcW w:w="146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6,021</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3,635</w:t>
            </w:r>
          </w:p>
        </w:tc>
        <w:tc>
          <w:tcPr>
            <w:tcW w:w="420" w:type="dxa"/>
            <w:vAlign w:val="bottom"/>
          </w:tcPr>
          <w:p>
            <w:pPr>
              <w:spacing w:after="0"/>
              <w:rPr>
                <w:sz w:val="18"/>
                <w:szCs w:val="18"/>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2,386</w:t>
            </w:r>
          </w:p>
        </w:tc>
        <w:tc>
          <w:tcPr>
            <w:tcW w:w="146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4,655</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4,317</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2,783</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1,538</w:t>
            </w:r>
          </w:p>
        </w:tc>
        <w:tc>
          <w:tcPr>
            <w:tcW w:w="420" w:type="dxa"/>
            <w:vAlign w:val="bottom"/>
          </w:tcPr>
          <w:p>
            <w:pPr>
              <w:spacing w:after="0"/>
              <w:rPr>
                <w:sz w:val="18"/>
                <w:szCs w:val="18"/>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1,245</w:t>
            </w:r>
          </w:p>
        </w:tc>
        <w:tc>
          <w:tcPr>
            <w:tcW w:w="146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1,468</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400</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1,068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1,798</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274</w:t>
            </w:r>
          </w:p>
        </w:tc>
        <w:tc>
          <w:tcPr>
            <w:tcW w:w="420" w:type="dxa"/>
            <w:vAlign w:val="bottom"/>
          </w:tcPr>
          <w:p>
            <w:pPr>
              <w:spacing w:after="0"/>
              <w:rPr>
                <w:sz w:val="18"/>
                <w:szCs w:val="18"/>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1,524</w:t>
            </w:r>
          </w:p>
        </w:tc>
        <w:tc>
          <w:tcPr>
            <w:tcW w:w="1460" w:type="dxa"/>
            <w:vAlign w:val="bottom"/>
          </w:tcPr>
          <w:p>
            <w:pPr>
              <w:jc w:val="right"/>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228</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Unless otherwise described, the amounts and percentages in the table above and those amounts and percentages discussed below exclude the revenues and expenses of Denville.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Revenues for the three months ended September 30, 2018 were $28.6 million, an increase of approximately 53.0%, or $9.9 million, compared to revenues of $18.7 million for the three months ended September 30, 2017.</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increase in revenues reflects the addition of revenues from DSI in the quarter of approximately $11.1 million, while currency translation negatively impacted revenues in the quarter by approximately $0.1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Changes In Revenues Compared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Same Period of the Prior Year</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Organic and DSI change</w:t>
            </w:r>
          </w:p>
        </w:tc>
        <w:tc>
          <w:tcPr>
            <w:tcW w:w="220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22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revenue change</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is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 and may be different than other companies’ non-GAAP financial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Cost of revenues were $12.8 million for the three months ended September 30, 2018, an increase of $3.6 million, or 39.1%, compared with $9.2 million for the three months ended September 30, 2017. The increase in cost of revenues was primarily due to the increase in revenues in comparison to the prior period, as a result of the acquisition of DSI. Gross profit margin as a percentage of revenues increased to 55.2% for the three months ended September 30, 2018 compared with 50.8% for 2017. The increase in gross profit margin is primarily attributable to the effect of higher margin products following the acquisition of DSI.</w:t>
      </w:r>
    </w:p>
    <w:p>
      <w:pPr>
        <w:sectPr>
          <w:pgSz w:w="11900" w:h="16838" w:orient="portrait"/>
          <w:cols w:equalWidth="0" w:num="1">
            <w:col w:w="11420"/>
          </w:cols>
          <w:pgMar w:left="240" w:top="233"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Sales and marketing expenses increased $2.4 million or 65.6% to $6.0 million for the three months ended September 30, 2018 compared to $3.6 million during the same period in 2017. The increase in sales and marketing expenses was primarily due to the impact of the acquisition of DSI.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General and administrative expenses were $4.7 million for the three months ended September 30, 2018, an increase of $0.4 million, or 7.8%, compared with $4.3 million for the three months ended September 30, 2017. The increase in these expenses was primarily attributable to the impact of the acquisition of DSI and largely offset by a decrease in stock-based compensation expense, employee costs and professional services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Research and development expenses were $2.8 million for the three months ended September 30, 2018, an increase of $1.3 million, or 80.9%, compared with $1.5 million for the three months ended September 30, 2017. The increase in expense was primarily due to the impact of the acquisition of DSI.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Amortization of intangible asset expenses was $1.5 million and $0.4 million for the three months ended September 30,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amortization expense was primarily due to the addition of definite-lived intangible assets as a result of the DSI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Other expense, net, from continuing operations was $1.8 million and $0.3 million for the three months ended September 30, 2018 and 2017, respectively. Included in other expense, net for three months ended September 30, 2018 and 2017 was interest expense of $1.5 million and $0.2 million, respectively. The increase in interest expense was primarily due to a higher debt balance during the third quarter of 2018 as compared to the same period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Income tax from continuing operations was a benefit of approximately $0.7 million and $19 thousand for the three months ended September 30, 2018 and 2017, respectively. Tax benefit for the three months ended September 30, 2018 reflects a benefit determined under the annualized effective tax method. Tax benefit for the three months ended September 30, 2017 reflects the benefit associated with the actual results for the three-month period. Discrete items included in the tax expense for the three months ended September 30, 2018 included foreign currency gains and losses, withholding taxes and the reversal of a reserve for uncertain tax positions due to lapse in the statute of limitations. Discrete items for the three months ended September 30, 2017 included changes to reserves for uncertain tax positions and tax impact of stock-based compensation.</w:t>
      </w:r>
    </w:p>
    <w:p>
      <w:pPr>
        <w:spacing w:after="0" w:line="17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On December 22, 2017, tax reform legislation known as the Tax Cuts and Jobs Act (the “Tax Act”) was signed into law. For the year ended December 31, 2017, we recorded provisional amounts relating to the revaluation of deferred tax assets and liabilities, the impact of the mandatory repatriation of foreign earnings after electing the utilization of existing tax attributes, and for the reduction in valuation allowance on net federal deferred tax assets. Since these provisions are still based on estimates, we will continue to measure the impact of these areas and record any changes in subsequent quarters when information and guidance become available.</w:t>
      </w:r>
    </w:p>
    <w:p>
      <w:pPr>
        <w:spacing w:after="0" w:line="18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As part of the 2017 Tax Act, there is a provision for the taxation of certain off-shore earnings referred to as the Global Intangible Low-Taxed Income (“GILTI”) provision. In connection with this new provision, we have recorded current expense within the period but continues the process of determining its final accounting policy in regard to this new tax.</w:t>
      </w:r>
    </w:p>
    <w:p>
      <w:pPr>
        <w:spacing w:after="0" w:line="18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The difference between our effective tax rate period over period was primarily attributable to higher pre-tax income at certain individual subsidiaries in 2018 versus 2017, despite an overall pre-tax loss in both periods, as well as the impact of non-deductible acquisition costs and certain provisions of U.S. tax reform in 2018. An additional factor was the impact of changes in the valuation allowance position recorded in certain countries.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We have operations in the UK and several European countries where we historically had material current and deferred income tax balances related to those activities. As such, the UK’s 2016 decision to withdraw from the European Union or the EU could have a material effect on our current and deferred income taxes. In March 2017, the UK initiated, through letter submission to the EU, a formal two-year process to officially withdraw its membership. During this two-year period, the UK and EU member states are expected to negotiate many provisions in the UK bilateral agreements and tax treaties with EU member states as well as EU rules governing the income tax treatment of deferred intercompany profits. The final outcome of these negotiations will not be known until both the EU and the UK approve them and the UK enacts the related changes in its tax laws. EU law will cease to apply in the UK at the end of the two-year process in March 2019, unless the negotiations are extended. The letter submission in March 2017 is an administrative step required to begin the formal withdrawal process and is not considered a tax law enactment under ASC 740. Additionally, in order to ensure that all EU laws remain in place until specifically repealed, the UK government has announced its intention to enact a ‘Repeal Bill’ which enshrines all EU law into domestic UK legislation. As of the filing date of this Form 10-Q, this Repeal Bill has not been enacted. Consequently, we plan to adjust our current and deferred taxes when tax law changes related to UK’s withdrawal from the EU are actually enacted and/or when EU law ceases to apply in the UK.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Discontinued operations resulted in income of $0 for the three months ended September 30, 2018 and $0.2 million for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January 22, 2018, we sold substantially all the assets of Denville, for approximately $20.0 million, which includes a $3.0 million earn-out provision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Denville Transaction). The results of Denville were presented in discontinued operations for both the three months ended September 30, 2018 and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1"/>
              </w:rPr>
              <w:t>Nine Months Ended</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b w:val="1"/>
                <w:bCs w:val="1"/>
                <w:color w:val="auto"/>
              </w:rPr>
              <w:t>Dollar</w:t>
            </w: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4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gridSpan w:val="3"/>
          </w:tcPr>
          <w:p>
            <w:pPr>
              <w:jc w:val="right"/>
              <w:ind w:right="1050"/>
              <w:spacing w:after="0"/>
              <w:rPr>
                <w:sz w:val="20"/>
                <w:szCs w:val="20"/>
                <w:color w:val="auto"/>
              </w:rPr>
            </w:pPr>
            <w:r>
              <w:rPr>
                <w:rFonts w:ascii="Arial" w:cs="Arial" w:eastAsia="Arial" w:hAnsi="Arial"/>
                <w:sz w:val="18"/>
                <w:szCs w:val="18"/>
                <w:color w:val="auto"/>
              </w:rPr>
              <w:t>(dollars in thousands)</w:t>
            </w:r>
          </w:p>
        </w:tc>
        <w:tc>
          <w:tcPr>
            <w:tcW w:w="14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86,916</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55,761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31,155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42,475</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27,611</w:t>
            </w:r>
          </w:p>
        </w:tc>
        <w:tc>
          <w:tcPr>
            <w:tcW w:w="4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14,864</w:t>
            </w:r>
          </w:p>
        </w:tc>
        <w:tc>
          <w:tcPr>
            <w:tcW w:w="14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17,976</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10,663</w:t>
            </w:r>
          </w:p>
        </w:tc>
        <w:tc>
          <w:tcPr>
            <w:tcW w:w="420" w:type="dxa"/>
            <w:vAlign w:val="bottom"/>
          </w:tcPr>
          <w:p>
            <w:pPr>
              <w:spacing w:after="0"/>
              <w:rPr>
                <w:sz w:val="18"/>
                <w:szCs w:val="18"/>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7,313</w:t>
            </w:r>
          </w:p>
        </w:tc>
        <w:tc>
          <w:tcPr>
            <w:tcW w:w="148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15,297</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13,219</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2,078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7,943</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4,119</w:t>
            </w:r>
          </w:p>
        </w:tc>
        <w:tc>
          <w:tcPr>
            <w:tcW w:w="420" w:type="dxa"/>
            <w:vAlign w:val="bottom"/>
          </w:tcPr>
          <w:p>
            <w:pPr>
              <w:spacing w:after="0"/>
              <w:rPr>
                <w:sz w:val="18"/>
                <w:szCs w:val="18"/>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3,824</w:t>
            </w:r>
          </w:p>
        </w:tc>
        <w:tc>
          <w:tcPr>
            <w:tcW w:w="148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3,983</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1,158</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7,262</w:t>
            </w:r>
          </w:p>
        </w:tc>
        <w:tc>
          <w:tcPr>
            <w:tcW w:w="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1,137</w:t>
            </w:r>
          </w:p>
        </w:tc>
        <w:tc>
          <w:tcPr>
            <w:tcW w:w="420" w:type="dxa"/>
            <w:vAlign w:val="bottom"/>
          </w:tcPr>
          <w:p>
            <w:pPr>
              <w:spacing w:after="0"/>
              <w:rPr>
                <w:sz w:val="18"/>
                <w:szCs w:val="18"/>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6,125</w:t>
            </w:r>
          </w:p>
        </w:tc>
        <w:tc>
          <w:tcPr>
            <w:tcW w:w="1480" w:type="dxa"/>
            <w:vAlign w:val="bottom"/>
          </w:tcPr>
          <w:p>
            <w:pPr>
              <w:jc w:val="right"/>
              <w:spacing w:after="0"/>
              <w:rPr>
                <w:sz w:val="20"/>
                <w:szCs w:val="20"/>
                <w:color w:val="auto"/>
              </w:rPr>
            </w:pPr>
            <w:r>
              <w:rPr>
                <w:rFonts w:ascii="Arial" w:cs="Arial" w:eastAsia="Arial" w:hAnsi="Arial"/>
                <w:sz w:val="18"/>
                <w:szCs w:val="18"/>
                <w:color w:val="auto"/>
              </w:rPr>
              <w:t>538.7%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1,820</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1,679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Unless otherwise described, the amounts and percentages in the table above and those amounts and percentages discussed below exclude the revenues and expenses of Denville.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Revenues for the nine months ended September 30, 2018 were $86.9 million, an increase of 55.9%, or $31.2 million, compared to revenues of $55.8 million for the same period in 2017.</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increase in revenues reflects the addition of revenues from DSI in the nine months ended September 30, 2018 of approximately $29.3 million, while the impact of currency translation positively impacted revenues in the period by approximately $1.5 million. The favorability in currency translation in the nine months period was primarily from the strengthening of the euro and British pound against the U.S. dollar.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Changes In Revenues Compared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Same Period of the Prior Year</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w w:val="91"/>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Organic and DSI change</w:t>
            </w:r>
          </w:p>
        </w:tc>
        <w:tc>
          <w:tcPr>
            <w:tcW w:w="220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revenue change</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approximates information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Cost of revenues increased $14.9 million, or 53.8%, to $42.5 million for the nine months ended September 30, 2018 compared with $27.6 million for the nine months ended September 30, 2017. The increase in cost of revenues was primarily due to the increase in revenues, including the effect on cost of revenues of the acquisition of DSI which was approximately $10.5 million. Gross profit margin as a percentage of revenues increased to 51.1% for the nine months ended September 30, 2018 compared with 50.5% for 2017. The increase in gross profit margin is primarily attributable to the effect of higher margin products following the acquisition of DSI. The increase in gross profit margin was offset by the effect of a $3.8 million charge recognized in cost of revenues during the nine-months period ended September 30, 2018 related to a purchase accounting inventory fair value step up amortization. This inventory fair value step up was fully recognized into cost of revenues over one inventory turn, or approximately six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Sales and marketing expenses increased $7.3 million, or 68.6%, to $18.0 million for the nine months ended September 30, 2018 compared with $10.7 million for the nine months ended September 30, 2017. The increase in sales and marketing expenses was primarily due to the impact of the acquisition of DSI, with the rest of the increase being attributable to increases in employee and consulting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General and administrative expenses increased $2.1 million, or 15.7%, to $15.3 million for the nine months ended September 30, 2018 compared with $13.2 million for the nine months ended September 30, 2017. The increase was primarily attributable to the impact of the acquisition of DSI. This increase was partially offset by a decrease in stock-based compensation expense and employee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Research and development expenses were $7.9 million for the nine months ended September 30, 2018, an increase of $3.8 million, or 92.8%, compared with $4.1 million for the nine months ended September 30, 2017. The increase was primarily due to the impact of the acquisition of DSI.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Amortization of intangible asset expenses was $4.0 million and $1.2 million for the nine months ended September 30, 2018 and 2017, respectively. The increase in amortization expense was primarily due to the addition of definite-lived intangible assets as a result of the DSI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Other expense, net, was $7.3 million and $1.1 million for the nine months ended September 30, 2018 and 2017, respectively. The increase in other expense, net was primarily due to an increase in interest expense as a result of higher debt balances during the current period compared to the same period last year as well as transaction costs incurred this year of approximately $3.2 million, related to the acquisition of DSI and divestiture of Denville. These increases were offset by a decrease in foreign currency losses as compared to the prior period. Interest expense was $3.8 million and $0.5 million for the nine months ended September 30, 2018 and 2017, respectively. Currency exchange rate fluctuations included as a component of net loss resulted in approximately $28 thousand and $0.5 million in currency losses during the nine months ended September 30, 2018 and 2017, respectively.</w:t>
      </w:r>
    </w:p>
    <w:p>
      <w:pPr>
        <w:sectPr>
          <w:pgSz w:w="11900" w:h="16838" w:orient="portrait"/>
          <w:cols w:equalWidth="0" w:num="1">
            <w:col w:w="11400"/>
          </w:cols>
          <w:pgMar w:left="240" w:top="233" w:right="25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Income tax from continuing operations was a benefit of $0.4 million and $0.1 million for the nine months ended September 30, 2018 and 2017, respectively. The effective income tax rate was 5.2% for the nine months ended September 30, 2018, compared with 6.6% for the same period in 2017.</w:t>
      </w:r>
    </w:p>
    <w:p>
      <w:pPr>
        <w:spacing w:after="0" w:line="124"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Tax benefit for the nine months ended September 30, 2018 reflects a benefit determined under the annualized effective tax method. The tax benefit for the nine-month period ended September 30, 2017 reflects actual results for the nine-month period rather than an annual effective rate estimated for the entire year. In 2017 we determined that using a year-to-date approach resulted in a better estimate of income tax expense/benefit based on our forecast of pre-tax income/loss, the mix of taxable income/loss across several jurisdictions with different statutory tax rates, and the impact of the full valuation allowance against U.S. deferred tax assets. The impact of recent events including U.S. tax reform and a major acquisition in January 2018 have significantly contributed to a change in our determination regarding the use of the year-to-date method, which has been discontinued effective in the first quarter of 2018, the annualized effective tax rate method is used instead.</w:t>
      </w:r>
    </w:p>
    <w:p>
      <w:pPr>
        <w:spacing w:after="0" w:line="178"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The difference between our effective tax rate period over period was primarily attributable to higher pre-tax income at certain individual subsidiaries in 2018 versus 2017 despite an overall pre-tax loss in both periods, as well as the impact of non-deductible acquisition costs and certain provisions of U.S. tax reform in 2018. An additional factor was the impact of changes in the valuation allowance position recorded in certain countries.</w:t>
      </w:r>
    </w:p>
    <w:p>
      <w:pPr>
        <w:spacing w:after="0" w:line="166"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We have operations in the UK and several European countries where we historically had material current and deferred income tax balances related to those activities. As such, the UK’s 2016 decision to withdraw from the European Union or the EU could have a material effect on our current and deferred income taxes. In March 2017, the UK initiated, through letter submission to the EU, a formal two-year process to officially withdraw its membership. During this two-year period, the UK and EU member states are expected to negotiate many provisions in the UK bilateral agreements and tax treaties with EU member states as well as EU rules governing the income tax treatment of deferred intercompany profits. The final outcome of these negotiations will not be known until both the EU and the UK approve them and the UK enacts the related changes in its tax laws. EU law will cease to apply in the UK at the end of the two-year process in March 2019, unless the negotiations are extended. The letter submission in March 2017 is an administrative step required to begin the formal withdrawal process and is not considered a tax law enactment under ASC 740. Additionally, in order to ensure that all EU laws remain in place until specifically repealed, the UK government has announced its intention to enact a ‘Repeal Bill’ which enshrines all EU law into domestic UK legislation. As of the filing date of this Form 10-Q, this Repeal Bill has not been enacted. Consequently, we plan to adjust our current and deferred taxes when tax law changes related to UK’s withdrawal from the EU are actually enacted and/or when EU law ceases to apply in the UK.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Discontinued operations resulted in income of $1.8 million for the nine months ended September 30, 2018 and $0.1 million for the same period in the prior year. On January 22, 2018, we sold substantially all the assets of Denville, for approximately $20.0 million, which includes a $3.0 million earn-out provision (the Denville Transaction). The results of Denville were presented in discontinued operations for both the nine months ended September 30, 2018 and 2017. The income from discontinued operations for the nine months ended September 30, 2018 included a gain on sale of Denville of $1.3 million and an income tax benefit of $0.9 million. The income tax benefit was mainly due to the reversal of deferred tax liabilities associated with indefinite lived intangibles following the Denville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bank borrowings, and the issuance of common stock. Our liquidity requirements arise primarily from investing activities, including funding of acquisitions, and other capital expenditures.</w:t>
      </w:r>
    </w:p>
    <w:p>
      <w:pPr>
        <w:spacing w:after="0" w:line="147"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On January 22, 2018, we sold the operations of Denville, and received approximately $15.8 million, net of cash on hand. Simultaneously, we retired the existing debt balances of approximately $11.9 million. On January 31, 2018, we entered into a financing agreement, which comprised of a $64.0 term loan and up to a $25.0 million line of credit. Finally, on January 31, 2018, we acquired DSI for approximately $68.0 million, net of cash acquired.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As of September 30, 2018, we held cash and cash equivalents from continuing operations of $6.7 million, compared with $5.2 million at December 31, 2017. As of September 30, 2018 and December 31, 2017, we had $61.0 million and $11.7 million of borrowings outstanding under our credit facility, net of deferred financing costs, respectively. Total debt, net of cash and cash equivalents was $54.4 million at September 30, 2018, compared to $6.6 million at December 31, 2017. In addition, we had an underfunded United Kingdom pension liability of approximately $1.2 million at September 30, 2018 and December 31, 2017, respectively.</w:t>
      </w:r>
    </w:p>
    <w:p>
      <w:pPr>
        <w:spacing w:after="0" w:line="188"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As of September 30, 2018 and December 31, 2017, cash and cash equivalents held by our foreign subsidiaries was $3.2 million and $4.8 million, respectively. At December 31, 2017, we changed our indefinite reinvestment assertion to provide that all foreign earnings above the level required for local operating expenses would be repatriated to the U.S. in tax years after 2017. At December 31, 2017, as we were considering a potential U.S. acquisition, we changed our assertion and it was anticipated that U.S. needs would require repatriation of all foreign subsidiaries’ earnings rather than just France and Canada. As a result of the Tax Act, all prior unremitted earnings are deemed paid and included in the fourth quarter 2017 provision under the required one-time repatriation tax calculation. Prior to 2017, this modified assertion only applied to our subsidiaries in France and Canada. Therefore, as a result of this change in assertion, only $38 thousand of additional withholding has been accrued as of December 31, 2017. At September 30, 2018, the accrued withholding tax has been reduced to $29 thousand related to amounts determined to be available for repatriation.</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right="780"/>
        <w:spacing w:after="0" w:line="257" w:lineRule="auto"/>
        <w:rPr>
          <w:sz w:val="20"/>
          <w:szCs w:val="20"/>
          <w:color w:val="auto"/>
        </w:rPr>
      </w:pPr>
      <w:r>
        <w:rPr>
          <w:rFonts w:ascii="Arial" w:cs="Arial" w:eastAsia="Arial" w:hAnsi="Arial"/>
          <w:sz w:val="18"/>
          <w:szCs w:val="18"/>
          <w:color w:val="auto"/>
        </w:rPr>
        <w:t>Other adjustments to operating cash flows Changes in assets and liabilities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operating activities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to property, plant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 net of cash acquired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Disposition, net of cash sold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3" w:lineRule="exact"/>
        <w:rPr>
          <w:sz w:val="20"/>
          <w:szCs w:val="20"/>
          <w:color w:val="auto"/>
        </w:rPr>
      </w:pPr>
    </w:p>
    <w:p>
      <w:pPr>
        <w:ind w:left="180" w:right="1260"/>
        <w:spacing w:after="0" w:line="257" w:lineRule="auto"/>
        <w:rPr>
          <w:sz w:val="20"/>
          <w:szCs w:val="20"/>
          <w:color w:val="auto"/>
        </w:rPr>
      </w:pPr>
      <w:r>
        <w:rPr>
          <w:rFonts w:ascii="Arial" w:cs="Arial" w:eastAsia="Arial" w:hAnsi="Arial"/>
          <w:sz w:val="18"/>
          <w:szCs w:val="18"/>
          <w:color w:val="auto"/>
        </w:rPr>
        <w:t>Net proceeds from issuance of debt Other financing activities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(used in) financing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Increase in cash and cash equivalents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4400"/>
        <w:spacing w:after="0"/>
        <w:rPr>
          <w:sz w:val="20"/>
          <w:szCs w:val="20"/>
          <w:color w:val="auto"/>
        </w:rPr>
      </w:pPr>
      <w:r>
        <w:rPr>
          <w:rFonts w:ascii="Arial" w:cs="Arial" w:eastAsia="Arial" w:hAnsi="Arial"/>
          <w:sz w:val="15"/>
          <w:szCs w:val="15"/>
          <w:b w:val="1"/>
          <w:bCs w:val="1"/>
          <w:color w:val="auto"/>
        </w:rPr>
        <w:t>Condensed Cash Flow Statements</w:t>
      </w:r>
    </w:p>
    <w:p>
      <w:pPr>
        <w:spacing w:after="0" w:line="62" w:lineRule="exact"/>
        <w:rPr>
          <w:sz w:val="20"/>
          <w:szCs w:val="20"/>
          <w:color w:val="auto"/>
        </w:rPr>
      </w:pPr>
    </w:p>
    <w:p>
      <w:pPr>
        <w:jc w:val="center"/>
        <w:ind w:right="44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3459"/>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3459"/>
        <w:spacing w:after="0"/>
        <w:rPr>
          <w:sz w:val="20"/>
          <w:szCs w:val="20"/>
          <w:color w:val="auto"/>
        </w:rPr>
      </w:pPr>
      <w:r>
        <w:rPr>
          <w:rFonts w:ascii="Arial" w:cs="Arial" w:eastAsia="Arial" w:hAnsi="Arial"/>
          <w:sz w:val="18"/>
          <w:szCs w:val="18"/>
          <w:b w:val="1"/>
          <w:bCs w:val="1"/>
          <w:color w:val="auto"/>
        </w:rPr>
        <w:t>September 30,</w:t>
      </w:r>
    </w:p>
    <w:p>
      <w:pPr>
        <w:spacing w:after="0" w:line="23" w:lineRule="exact"/>
        <w:rPr>
          <w:sz w:val="20"/>
          <w:szCs w:val="20"/>
          <w:color w:val="auto"/>
        </w:rPr>
      </w:pPr>
    </w:p>
    <w:tbl>
      <w:tblPr>
        <w:tblLayout w:type="fixed"/>
        <w:tblInd w:w="370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24"/>
        </w:trPr>
        <w:tc>
          <w:tcPr>
            <w:tcW w:w="360" w:type="dxa"/>
            <w:vAlign w:val="bottom"/>
          </w:tcPr>
          <w:p>
            <w:pPr>
              <w:spacing w:after="0"/>
              <w:rPr>
                <w:sz w:val="19"/>
                <w:szCs w:val="19"/>
                <w:color w:val="auto"/>
              </w:rPr>
            </w:pPr>
          </w:p>
        </w:tc>
        <w:tc>
          <w:tcPr>
            <w:tcW w:w="1880" w:type="dxa"/>
            <w:vAlign w:val="bottom"/>
            <w:gridSpan w:val="3"/>
          </w:tcPr>
          <w:p>
            <w:pPr>
              <w:jc w:val="right"/>
              <w:ind w:right="5"/>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19"/>
                <w:szCs w:val="19"/>
                <w:color w:val="auto"/>
              </w:rPr>
            </w:pPr>
          </w:p>
        </w:tc>
      </w:tr>
      <w:tr>
        <w:trPr>
          <w:trHeight w:val="62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24"/>
                <w:szCs w:val="24"/>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30"/>
        </w:trPr>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5,506</w:t>
            </w:r>
          </w:p>
        </w:tc>
      </w:tr>
      <w:tr>
        <w:trPr>
          <w:trHeight w:val="230"/>
        </w:trPr>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r>
      <w:tr>
        <w:trPr>
          <w:trHeight w:val="224"/>
        </w:trPr>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1,996</w:t>
            </w:r>
          </w:p>
        </w:tc>
      </w:tr>
      <w:tr>
        <w:trPr>
          <w:trHeight w:val="836"/>
        </w:trPr>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16"/>
        </w:trPr>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15,754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4"/>
        </w:trPr>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(53,169)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633"/>
        </w:trPr>
        <w:tc>
          <w:tcPr>
            <w:tcW w:w="3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50,853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30"/>
        </w:trPr>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24"/>
        </w:trPr>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53,407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431"/>
        </w:trPr>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r>
      <w:tr>
        <w:trPr>
          <w:trHeight w:val="45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-3129280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-2854960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-2572385</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-2289175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-2014855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-1740535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-1457325</wp:posOffset>
            </wp:positionV>
            <wp:extent cx="72466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-1174115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-899795</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-608330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-325120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420"/>
            <w:col w:w="7000"/>
          </w:cols>
          <w:pgMar w:left="240" w:top="233" w:right="239" w:bottom="1440" w:gutter="0" w:footer="0" w:header="0"/>
          <w:type w:val="continuous"/>
        </w:sectPr>
      </w:pPr>
    </w:p>
    <w:p>
      <w:pPr>
        <w:spacing w:after="0" w:line="2"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Our operating activities provided cash of $0.3 million and $2.0 million for the nine months ended September 30, 2018 and 2017, respectively. The decrease in net cash flow from operations was primarily due to the increase in net loss as well as the effect of changes in working capital period over period.</w:t>
      </w:r>
    </w:p>
    <w:p>
      <w:pPr>
        <w:spacing w:after="0" w:line="124"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Our investing activities used cash of $53.2 million and $0.7 million for the nine months ended September 30, 2018 and 2017, respectively. Investing activities during the nine months ended September 30, 2018 primarily consisted of $68.0 million paid for the acquisition of DSI and $15.8 million received from the disposition of Denville. Investing activities during the nine months ended September 30, 2017 primarily included cash used for purchases of property, plant and equipment. We spent $0.9 million and $0.7 million on capital expenditures during the nine months ended September 30, 2018 and 2017, respectively.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financing activities have historically consisted of borrowings and repayments under our revolving credit facility and term loans, payments of debt issuance costs and the issuance of common stock. During the nine months ended September 30, 2018, financing activities provided cash of $53.4 million, compared with $1.4 million of cash used by financing activities for the nine months ended September 30, 2017. During the nine months ended September 30, 2018, we borrowed $70.8 million, repaid $19.9 million of debt and ended the quarter with $61.0 million of borrowings, net of deferred financing costs of $1.7 million. During the nine months ended September 30, 2017, we borrowed $2.3 million under our credit facility, repaid $3.5 million of debt under our credit facility and term loans and ended the quarter with $12.4 million of borrowings, net of deferred financing costs of $0.2 million. Net cash proceeds from the issuance of common stock for the nine months ended September 30, 2018 was $4.5 million. Net cash paid for tax withholdings from the issuance from common stock, related to the vesting of restricted stock units was $0.1 million for the nine months ended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January 22, 2018, in connection with the closing of the sale of Denville, we terminated the Third Amended and Restated Credit Agreement (the Credit Agreement), dated as of May 1, 2017, among us, Brown Brothers Harriman &amp; Co. and each of the other lenders party thereto, and Bank of America, as administrative agent. All outstanding amounts under the agreement were repaid in full using a portion of the proceeds of the Denville sale. At the time of repayment, there was approximately $11.9 million of borrowings outstanding.</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January 31, 2018, we entered into a financing agreement by and among us and certain of our subsidiaries, as borrowers (collectively, the Borrower), certain of our subsidiaries thereto, as guarantors, various lenders from time to time party thereto (the Lenders), and Cerberus Business Finance, LLC, as collateral agent and administrative agent for the Lenders (the Financing Agreement). On August 16, 2018, we and Cerberus Business Finance, LLC entered into a First Amendment to the Financing Agreement, which such amendment modified certain provisions relating to the borrowing base and reporting, among other things.</w:t>
      </w:r>
    </w:p>
    <w:p>
      <w:pPr>
        <w:spacing w:after="0" w:line="18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 At the closing date of the Financing Agreement, we had approximately $14.5 million of available borrowing capacity under the revolving line of credit.</w:t>
      </w:r>
    </w:p>
    <w:p>
      <w:pPr>
        <w:spacing w:after="0" w:line="178"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Commencing on March 31, 2018, the outstanding term loans amortize in equal quarterly installments equal to $0.4 million per quarter on such date and during each of the next three quarters thereafter, $0.6 million per quarter during the next four quarters thereafter and $0.8 million per quarter thereafter, with a balloon payment at maturity.</w:t>
      </w:r>
    </w:p>
    <w:p>
      <w:pPr>
        <w:spacing w:after="0" w:line="181"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at the Borrower’s option, a base rate plus 4.75% or a LIBOR rate plus 6.25%. The loans are also subject to a 1.25% interest rate floor for LIBOR loans and a 4.25% interest rate floor for base rate loans.</w:t>
      </w:r>
    </w:p>
    <w:p>
      <w:pPr>
        <w:spacing w:after="0" w:line="181"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us and our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modifications of organizational documents, material contracts, affiliated practice agreements and certain debt agreements. The Financing Agreement also contains customary events of default.</w:t>
      </w:r>
    </w:p>
    <w:p>
      <w:pPr>
        <w:spacing w:after="0" w:line="173"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As of September 30, 2018 and December 31, 2017, we had borrowings net of debt issuance costs of $61.0 million and $11.7 million respectively, outstanding. The carrying value of the debt approximates fair value because the interest rate under the obligation approximates market rates of interest available to us for similar instruments. As of September 30, 2018, we were in compliance with all financial covenants contained in the Financing Agreement, were subject to covenant and working capital borrowing restrictions and had available borrowing capacity under our Financing Agreement of $8.5 million.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the weighted effective interest rate, net of the impact of our interest rate swap, on our Term Loan was 8.76%.</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and capital expenditures for the next 12 months and beyond. We may however need to incur additional debt or raise equity capital for our business. Additional capital raising activities will dilute the ownership interests of existing stockholders to the extent we raise capital by issuing equity securities and we cannot guarantee that we will be successful in raising additional capital on favorable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2017, which was filed with the SEC on March 16,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During the three months ended September 30, 2018, changes in foreign currency exchange rates resulted in an unfavorable translation effect on our consolidated revenues and a neutral effect on our consolidated net loss. Changes in foreign currency exchange rates resulted in an unfavorable effect on revenues of approximately $0.1 million and a favorable effect on expenses of approximately $0.1 million. During the nine months ended September 30, 2018, changes in foreign currency exchange rates resulted in a favorable translation effect on our consolidated revenues and a favorable effect on our consolidated net loss. Changes in foreign currency exchange rates resulted in a favorable effect on revenues of approximately $1.5 million and an unfavorable effect on expenses of approximately $1.4 million.</w:t>
      </w:r>
    </w:p>
    <w:p>
      <w:pPr>
        <w:spacing w:after="0" w:line="193"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The gain associated with the translation of foreign equity into U.S. dollars included as a component of comprehensive gain (loss) during the three months ended September 30, 2018, was approximately $0.4 million, compared to a gain of $1.2 million for the three months ended September 30, 2017. The loss associated with the translation of foreign equity into U.S. dollars included as a component of comprehensive gain (loss) during the nine months ended September 30, 2018, was approximately $1.0 million, compared to a gain of $4.2 million for the nine months ended September 30, 2017.</w:t>
      </w:r>
    </w:p>
    <w:p>
      <w:pPr>
        <w:spacing w:after="0" w:line="154"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In addition, currency exchange rate fluctuations included as a component of net loss resulted in approximately $26 thousand and $0.1 million in currency losses during the three months ended September 30, 2018 and 2017, respectively. Currency exchange rate fluctuations included as a component of net loss resulted in approximately $28 thousand and $0.5 million in currency losses during the nine months ended September 30, 2018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We expect to utilize a practical expedient in our method of adoption of the standard. Under this expedient, which is a “current-period adjustment method,” we would apply ASC 842 as of January 2019 and record a cumulative-effect adjustment to retained earnings as of that date.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We have collected information on our leases and are in the process of evaluating and applying the requirements of the standard to our leases. We have not yet concluded on the impact of the adoption on our consolidated financial position, results of operations and cash flows; however, we expect that the new standard will have a material effect on our consolidated balance sheet related to the recognition of new assets and lease liabilities. We expect to finalize our classification of leases as well as the effective interest rate to be applied in determining the lease liabilities during the fourth quarter of 2018. Our future commitments under lease obligations are summarized in Note 12.</w:t>
      </w:r>
    </w:p>
    <w:p>
      <w:pPr>
        <w:spacing w:after="0" w:line="188"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We are evaluating the requirements of this guidance and has not yet determined the impact of the adoption on its consolidated financial position, results of operations and cash flows.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 new accounting standard that provides for a comprehensive model to use in the accounting for revenue arising from contracts with customers 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we expect to be entitled in exchange for those goods or services.</w:t>
      </w:r>
    </w:p>
    <w:p>
      <w:pPr>
        <w:spacing w:after="0" w:line="154"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We adopted this standard as of January 1, 2018 using the modified retrospective approach. As part of the implementation of the standard, we identified our significant revenue streams, which currently consist primarily of product revenue transactions, and service, maintenance and extended warranty transactions on certain product sales. The timing of recognizing revenues for these revenue streams did not materially change. Additionally, there were no material changes to business processes, systems and controls. Our updated revenue recognition policy and additional disclosures are presented in Note 17.</w:t>
      </w:r>
    </w:p>
    <w:p>
      <w:pPr>
        <w:spacing w:after="0" w:line="15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May 2017, the FASB issued ASU 2017-09, 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We adopted this guidance on January 1, 2018, and the new standard did not have a material impact on our consolidated financial position, results of operations and cash flows.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September 30, 2018, we had $61.0 million outstanding under our Financing Agreement, net of deferred financing costs.</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As noted above under the heading “Borrowing Arrangements”, on January 22, 2018, we terminated the Credit Agreement, and on January 31, 2018, entered into the Financing Agreement. As a result of terminating the Credit Agreement, we unwound our previously existing swap agreement and received an immaterial amount of proceeds. On February 16, 2018, we entered into a new interest rate swap contract with PNC bank with a notional amount of $36.0 million and a termination date of January 31, 2023 in order to hedge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As of September 30, 2018, the weighted effective interest rates, net of the impact of our interest rate swaps, on our Term Loan was 8.76%. Assuming no other changes which would affect the margin of the interest rate, the estimated effect of interest rate fluctuations on outstanding borrowings under our Financing Agreement as of September 30, 2018 is quantified and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If compared to the rate as of September 30, 2018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Interest expense</w:t>
            </w:r>
          </w:p>
        </w:tc>
        <w:tc>
          <w:tcPr>
            <w:tcW w:w="0" w:type="dxa"/>
            <w:vAlign w:val="bottom"/>
          </w:tcPr>
          <w:p>
            <w:pPr>
              <w:spacing w:after="0"/>
              <w:rPr>
                <w:sz w:val="1"/>
                <w:szCs w:val="1"/>
                <w:color w:val="auto"/>
              </w:rPr>
            </w:pPr>
          </w:p>
        </w:tc>
      </w:tr>
      <w:tr>
        <w:trPr>
          <w:trHeight w:val="234"/>
        </w:trPr>
        <w:tc>
          <w:tcPr>
            <w:tcW w:w="436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Interest rates increase by 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42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Controls and Procedures.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Principal Financial Officer, to allow timely decisions regarding required disclosures.</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required by Rules 13a-15(e) and 15d-15(e) under the Exchange Act, our management, under the supervision and with the participation of our Chief Executive Officer and Principal Financial Officer, conducted an evaluation of the effectiveness of the design and operation of our disclosure controls and procedures as of September 30, 2018.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management concluded that our disclosure controls and procedures for the periods covered by this report were effective, as of the end of the period covered by this Quarterly Report on Form 10-Q, in providing reasonable assurance that information required to be disclosed by us in the reports that we file or submit under the Exchange Act is accumulated and communicated to our management, including our Chief Executive Officer and Principal Financial Officer, to allow timely decisions regarding required disclosures, and is recorded, processed, summarized and reported within the time periods specified in the SEC’s rules and forms.</w:t>
      </w:r>
    </w:p>
    <w:p>
      <w:pPr>
        <w:spacing w:after="0" w:line="16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continue to review our internal controls over financial reporting, and may from time to time make changes aimed at enhancing their effectiveness and to ensure that our systems evolve with our business. There were no changes in our internal controls over financial reporting that occurred during the nine months ended September 30, 2018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To our knowledge, and except to the extent additional factual information disclosed in this Quarterly Report on Form 10-Q relates to such risk factors, there has been no material changes in the risk factors described in “Item 1A. Risk Factors” in our Annual Report on Form 10-K for the year ended December 31, 2017, which was filed with the SEC on March 16,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10"/>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3"/>
              </w:rPr>
              <w:t>Index</w:t>
            </w:r>
          </w:p>
        </w:tc>
        <w:tc>
          <w:tcPr>
            <w:tcW w:w="220" w:type="dxa"/>
            <w:vAlign w:val="bottom"/>
            <w:tcBorders>
              <w:bottom w:val="single" w:sz="8" w:color="auto"/>
            </w:tcBorders>
          </w:tcPr>
          <w:p>
            <w:pPr>
              <w:spacing w:after="0"/>
              <w:rPr>
                <w:sz w:val="20"/>
                <w:szCs w:val="20"/>
                <w:color w:val="auto"/>
              </w:rPr>
            </w:pPr>
          </w:p>
        </w:tc>
        <w:tc>
          <w:tcPr>
            <w:tcW w:w="10140" w:type="dxa"/>
            <w:vAlign w:val="bottom"/>
            <w:gridSpan w:val="9"/>
            <w:vMerge w:val="restart"/>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First Amendment to Financing Agreement, dated as of August 16, 2018, between Harvard Bioscience, Inc., each of the borrowers named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gridSpan w:val="2"/>
          </w:tcPr>
          <w:p>
            <w:pPr>
              <w:spacing w:after="0" w:line="170" w:lineRule="exact"/>
              <w:rPr>
                <w:rFonts w:ascii="Arial" w:cs="Arial" w:eastAsia="Arial" w:hAnsi="Arial"/>
                <w:sz w:val="18"/>
                <w:szCs w:val="18"/>
                <w:color w:val="0000EE"/>
              </w:rPr>
            </w:pPr>
            <w:hyperlink w:anchor="page4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1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therein, the lenders from time to time party thereto, and Cerberus Business Finance, LLC.</w:t>
              </w:r>
            </w:hyperlink>
          </w:p>
        </w:tc>
        <w:tc>
          <w:tcPr>
            <w:tcW w:w="3400" w:type="dxa"/>
            <w:vAlign w:val="bottom"/>
            <w:tcBorders>
              <w:top w:val="single" w:sz="8" w:color="0000EE"/>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420" w:type="dxa"/>
            <w:vAlign w:val="bottom"/>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Vice President, Corporate Controller (Principal Financial Officer) of Harvard Bioscience, Inc., pursuant to Rules 13a-14(a)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and 15d-14(a), as adopted pursuant to Section 302 of the Sarbanes-Oxley Act of 2002.</w:t>
              </w:r>
            </w:hyperlink>
          </w:p>
        </w:tc>
        <w:tc>
          <w:tcPr>
            <w:tcW w:w="3780" w:type="dxa"/>
            <w:vAlign w:val="bottom"/>
            <w:tcBorders>
              <w:top w:val="single" w:sz="8" w:color="0000EE"/>
            </w:tcBorders>
            <w:gridSpan w:val="4"/>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of Chief Executive Officer of Harvard Bioscience, Inc., pursuant to Rules 13a-14(a) and 15d-14(a), as adopted pursuant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gridSpan w:val="4"/>
          </w:tcPr>
          <w:p>
            <w:pPr>
              <w:spacing w:after="0"/>
              <w:rPr>
                <w:sz w:val="17"/>
                <w:szCs w:val="17"/>
                <w:color w:val="auto"/>
              </w:rPr>
            </w:pP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Vice President, Corporate Controller (Principal Financial Officer) of Harvard Bioscience, Inc., pursuant to 18 U.S.C. Section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9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Chief Executive Officer of Harvard Bioscience, Inc.,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of the Sarbanes-Oxley Act of 2002.</w:t>
              </w:r>
            </w:hyperlink>
          </w:p>
        </w:tc>
        <w:tc>
          <w:tcPr>
            <w:tcW w:w="7580" w:type="dxa"/>
            <w:vAlign w:val="bottom"/>
            <w:tcBorders>
              <w:top w:val="single" w:sz="8" w:color="0000EE"/>
            </w:tcBorders>
            <w:gridSpan w:val="8"/>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432"/>
        </w:trPr>
        <w:tc>
          <w:tcPr>
            <w:tcW w:w="9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32"/>
        </w:trPr>
        <w:tc>
          <w:tcPr>
            <w:tcW w:w="9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41" w:lineRule="exact"/>
        <w:rPr>
          <w:sz w:val="20"/>
          <w:szCs w:val="20"/>
          <w:color w:val="auto"/>
        </w:rPr>
      </w:pPr>
    </w:p>
    <w:tbl>
      <w:tblPr>
        <w:tblLayout w:type="fixed"/>
        <w:tblInd w:w="76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9"/>
              </w:rPr>
              <w:t>/S/</w:t>
            </w:r>
          </w:p>
        </w:tc>
        <w:tc>
          <w:tcPr>
            <w:tcW w:w="2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JEFFREY A. DUCHEMIN</w:t>
            </w:r>
          </w:p>
        </w:tc>
      </w:tr>
      <w:tr>
        <w:trPr>
          <w:trHeight w:val="191"/>
        </w:trPr>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Jeffrey A. Duchemin</w:t>
            </w:r>
          </w:p>
        </w:tc>
      </w:tr>
      <w:tr>
        <w:trPr>
          <w:trHeight w:val="234"/>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Chief Executive Officer</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700" w:type="dxa"/>
            <w:vAlign w:val="bottom"/>
          </w:tcPr>
          <w:p>
            <w:pPr>
              <w:ind w:left="400"/>
              <w:spacing w:after="0"/>
              <w:rPr>
                <w:sz w:val="20"/>
                <w:szCs w:val="20"/>
                <w:color w:val="auto"/>
              </w:rPr>
            </w:pPr>
            <w:r>
              <w:rPr>
                <w:rFonts w:ascii="Arial" w:cs="Arial" w:eastAsia="Arial" w:hAnsi="Arial"/>
                <w:sz w:val="18"/>
                <w:szCs w:val="18"/>
                <w:color w:val="auto"/>
              </w:rPr>
              <w:t>/S/</w:t>
            </w:r>
          </w:p>
        </w:tc>
        <w:tc>
          <w:tcPr>
            <w:tcW w:w="2600" w:type="dxa"/>
            <w:vAlign w:val="bottom"/>
          </w:tcPr>
          <w:p>
            <w:pPr>
              <w:ind w:left="80"/>
              <w:spacing w:after="0"/>
              <w:rPr>
                <w:sz w:val="20"/>
                <w:szCs w:val="20"/>
                <w:color w:val="auto"/>
              </w:rPr>
            </w:pPr>
            <w:r>
              <w:rPr>
                <w:rFonts w:ascii="Arial" w:cs="Arial" w:eastAsia="Arial" w:hAnsi="Arial"/>
                <w:sz w:val="18"/>
                <w:szCs w:val="18"/>
                <w:color w:val="auto"/>
              </w:rPr>
              <w:t>COREY W. MANCHESTER</w:t>
            </w:r>
          </w:p>
        </w:tc>
      </w:tr>
    </w:tbl>
    <w:p>
      <w:pPr>
        <w:jc w:val="center"/>
        <w:ind w:left="8120"/>
        <w:spacing w:after="0"/>
        <w:rPr>
          <w:sz w:val="20"/>
          <w:szCs w:val="20"/>
          <w:color w:val="auto"/>
        </w:rPr>
      </w:pPr>
      <w:r>
        <w:rPr>
          <w:rFonts w:ascii="Arial" w:cs="Arial" w:eastAsia="Arial" w:hAnsi="Arial"/>
          <w:sz w:val="18"/>
          <w:szCs w:val="18"/>
          <w:b w:val="1"/>
          <w:bCs w:val="1"/>
          <w:color w:val="auto"/>
        </w:rPr>
        <w:t>Corey W. Manchester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-130810</wp:posOffset>
            </wp:positionV>
            <wp:extent cx="21012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Vice President, Corporate Controller</w:t>
      </w:r>
    </w:p>
    <w:p>
      <w:pPr>
        <w:spacing w:after="0" w:line="9" w:lineRule="exact"/>
        <w:rPr>
          <w:sz w:val="20"/>
          <w:szCs w:val="20"/>
          <w:color w:val="auto"/>
        </w:rPr>
      </w:pPr>
    </w:p>
    <w:p>
      <w:pPr>
        <w:jc w:val="center"/>
        <w:ind w:left="81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INDEX TO EXHIBITS</w:t>
            </w:r>
          </w:p>
        </w:tc>
        <w:tc>
          <w:tcPr>
            <w:tcW w:w="4760" w:type="dxa"/>
            <w:vAlign w:val="bottom"/>
            <w:gridSpan w:val="7"/>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460" w:type="dxa"/>
            <w:vAlign w:val="bottom"/>
            <w:gridSpan w:val="12"/>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First Amendment to Financing Agreement, dated as of August 16, 2018, between Harvard Bioscience, Inc., each of the borrowers named therein,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the lenders from time to time party thereto, and Cerberus Business Finance, LLC.</w:t>
              </w:r>
            </w:hyperlink>
          </w:p>
        </w:tc>
        <w:tc>
          <w:tcPr>
            <w:tcW w:w="4580" w:type="dxa"/>
            <w:vAlign w:val="bottom"/>
            <w:tcBorders>
              <w:top w:val="single" w:sz="8" w:color="0000EE"/>
            </w:tcBorders>
            <w:gridSpan w:val="6"/>
          </w:tcPr>
          <w:p>
            <w:pPr>
              <w:spacing w:after="0"/>
              <w:rPr>
                <w:sz w:val="17"/>
                <w:szCs w:val="17"/>
                <w:color w:val="auto"/>
              </w:rPr>
            </w:pPr>
          </w:p>
        </w:tc>
      </w:tr>
      <w:tr>
        <w:trPr>
          <w:trHeight w:val="426"/>
        </w:trPr>
        <w:tc>
          <w:tcPr>
            <w:tcW w:w="42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460" w:type="dxa"/>
            <w:vAlign w:val="bottom"/>
            <w:gridSpan w:val="12"/>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Vice President, Corporate Controller (Principal Financial Officer) of Harvard Bioscience, Inc., pursuant to Rules 13a-14(a)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15d-14(a), as adopted pursuant to Section 302 of the Sarbanes-Oxley Act of 2002.</w:t>
              </w:r>
            </w:hyperlink>
          </w:p>
        </w:tc>
        <w:tc>
          <w:tcPr>
            <w:tcW w:w="140" w:type="dxa"/>
            <w:vAlign w:val="bottom"/>
            <w:gridSpan w:val="3"/>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0460" w:type="dxa"/>
            <w:vAlign w:val="bottom"/>
            <w:gridSpan w:val="12"/>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of Chief Executive Officer of Harvard Bioscience, Inc., pursuant to Rules 13a-14(a) and 15d-14(a), as adopted pursuant to Section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302 of the Sarbanes-Oxley Act of 2002.</w:t>
              </w:r>
            </w:hyperlink>
          </w:p>
        </w:tc>
        <w:tc>
          <w:tcPr>
            <w:tcW w:w="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500" w:type="dxa"/>
            <w:vAlign w:val="bottom"/>
          </w:tcPr>
          <w:p>
            <w:pPr>
              <w:spacing w:after="0"/>
              <w:rPr>
                <w:sz w:val="24"/>
                <w:szCs w:val="24"/>
                <w:color w:val="auto"/>
              </w:rPr>
            </w:pPr>
          </w:p>
        </w:tc>
        <w:tc>
          <w:tcPr>
            <w:tcW w:w="10460" w:type="dxa"/>
            <w:vAlign w:val="bottom"/>
            <w:gridSpan w:val="12"/>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Certification of Vice President, Corporate Controller (Principal Financial Officer) of Harvard Bioscience, Inc., pursuant to 18 U.S.C. Section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1350, as adopted pursuant to Section 906 of the Sarbanes-Oxley Act of 2002.</w:t>
              </w:r>
            </w:hyperlink>
          </w:p>
        </w:tc>
        <w:tc>
          <w:tcPr>
            <w:tcW w:w="4560" w:type="dxa"/>
            <w:vAlign w:val="bottom"/>
            <w:tcBorders>
              <w:top w:val="single" w:sz="8" w:color="0000EE"/>
            </w:tcBorders>
            <w:gridSpan w:val="4"/>
          </w:tcPr>
          <w:p>
            <w:pPr>
              <w:spacing w:after="0"/>
              <w:rPr>
                <w:sz w:val="17"/>
                <w:szCs w:val="17"/>
                <w:color w:val="auto"/>
              </w:rPr>
            </w:pPr>
          </w:p>
        </w:tc>
        <w:tc>
          <w:tcPr>
            <w:tcW w:w="320" w:type="dxa"/>
            <w:vAlign w:val="bottom"/>
            <w:gridSpan w:val="4"/>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500" w:type="dxa"/>
            <w:vAlign w:val="bottom"/>
          </w:tcPr>
          <w:p>
            <w:pPr>
              <w:spacing w:after="0"/>
              <w:rPr>
                <w:sz w:val="24"/>
                <w:szCs w:val="24"/>
                <w:color w:val="auto"/>
              </w:rPr>
            </w:pPr>
          </w:p>
        </w:tc>
        <w:tc>
          <w:tcPr>
            <w:tcW w:w="103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Chief Executive Officer of Harvard Bioscience, Inc., pursuant to 18 U.S.C. Section 1350, as adopted pursuant to Section 906 of</w:t>
              </w:r>
            </w:hyperlink>
          </w:p>
        </w:tc>
        <w:tc>
          <w:tcPr>
            <w:tcW w:w="10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the Sarbanes-Oxley Act of 2002.</w:t>
              </w:r>
            </w:hyperlink>
          </w:p>
        </w:tc>
        <w:tc>
          <w:tcPr>
            <w:tcW w:w="8080" w:type="dxa"/>
            <w:vAlign w:val="bottom"/>
            <w:gridSpan w:val="11"/>
          </w:tcPr>
          <w:p>
            <w:pPr>
              <w:spacing w:after="0"/>
              <w:rPr>
                <w:sz w:val="17"/>
                <w:szCs w:val="17"/>
                <w:color w:val="auto"/>
              </w:rPr>
            </w:pPr>
          </w:p>
        </w:tc>
      </w:tr>
      <w:tr>
        <w:trPr>
          <w:trHeight w:val="453"/>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1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500" w:right="2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FINANCING AGREEMENT</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FIRST AMENDMENT, dated as of August 16, 2018 (this "</w:t>
      </w:r>
      <w:r>
        <w:rPr>
          <w:rFonts w:ascii="Arial" w:cs="Arial" w:eastAsia="Arial" w:hAnsi="Arial"/>
          <w:sz w:val="17"/>
          <w:szCs w:val="17"/>
          <w:u w:val="single" w:color="auto"/>
          <w:color w:val="auto"/>
        </w:rPr>
        <w:t>Amendment</w:t>
      </w:r>
      <w:r>
        <w:rPr>
          <w:rFonts w:ascii="Arial" w:cs="Arial" w:eastAsia="Arial" w:hAnsi="Arial"/>
          <w:sz w:val="17"/>
          <w:szCs w:val="17"/>
          <w:color w:val="auto"/>
        </w:rPr>
        <w:t>"), to the Financing Agreement, dated as of January 31, 2018 (as the same may be amended, restated, supplemented or otherwise modified from time to time, including any replacement agreement therefor, the "</w:t>
      </w:r>
      <w:r>
        <w:rPr>
          <w:rFonts w:ascii="Arial" w:cs="Arial" w:eastAsia="Arial" w:hAnsi="Arial"/>
          <w:sz w:val="17"/>
          <w:szCs w:val="17"/>
          <w:u w:val="single" w:color="auto"/>
          <w:color w:val="auto"/>
        </w:rPr>
        <w:t>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Harvard Bioscience, Inc.,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or the "</w:t>
      </w:r>
      <w:r>
        <w:rPr>
          <w:rFonts w:ascii="Arial" w:cs="Arial" w:eastAsia="Arial" w:hAnsi="Arial"/>
          <w:sz w:val="17"/>
          <w:szCs w:val="17"/>
          <w:u w:val="single" w:color="auto"/>
          <w:color w:val="auto"/>
        </w:rPr>
        <w:t>Borrowing Agent</w:t>
      </w:r>
      <w:r>
        <w:rPr>
          <w:rFonts w:ascii="Arial" w:cs="Arial" w:eastAsia="Arial" w:hAnsi="Arial"/>
          <w:sz w:val="17"/>
          <w:szCs w:val="17"/>
          <w:color w:val="auto"/>
        </w:rPr>
        <w:t>"), each subsidiary of the Parent listed as a "Borrower" on the signature pages thereto (together with the Parent and each other Person that executes a joinder agreement and becomes a "Borrower" thereunder, each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the Guarantors (as defined therein) from time to time party thereto, the lenders from time to time party thereto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Cerberus Business Finance, LLC, a Delaware limited liability company, as collateral agent for the Lenders (in such capacity, together with its successors and assigns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and PNC Bank, National Association, as administrative agent for the Lenders (in such capacity, together with its successors and assigns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together with the Collateral Agent, each an "</w:t>
      </w:r>
      <w:r>
        <w:rPr>
          <w:rFonts w:ascii="Arial" w:cs="Arial" w:eastAsia="Arial" w:hAnsi="Arial"/>
          <w:sz w:val="17"/>
          <w:szCs w:val="17"/>
          <w:u w:val="single" w:color="auto"/>
          <w:color w:val="auto"/>
        </w:rPr>
        <w:t>Agent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Agents</w:t>
      </w:r>
      <w:r>
        <w:rPr>
          <w:rFonts w:ascii="Arial" w:cs="Arial" w:eastAsia="Arial" w:hAnsi="Arial"/>
          <w:sz w:val="17"/>
          <w:szCs w:val="17"/>
          <w:color w:val="auto"/>
        </w:rPr>
        <w:t>").</w:t>
      </w:r>
    </w:p>
    <w:p>
      <w:pPr>
        <w:spacing w:after="0" w:line="18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Loan Parties have requested, and the Agents and the Lenders have agreed, subject to the terms and conditions set forth herein, to amend the Financing Agreement on the terms and conditions set forth below.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NOW THEREFORE, in consideration of the premises and other good and valuable consideration, the parties hereto hereby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firstLine="1305"/>
        <w:spacing w:after="0" w:line="277" w:lineRule="auto"/>
        <w:tabs>
          <w:tab w:leader="none" w:pos="147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terms used herein that are defined in the Financing Agreement and not otherwise defined herein shall have the meanings assigned to them in the Financing Agreement.</w:t>
      </w:r>
    </w:p>
    <w:p>
      <w:pPr>
        <w:spacing w:after="0" w:line="170" w:lineRule="exact"/>
        <w:rPr>
          <w:rFonts w:ascii="Arial" w:cs="Arial" w:eastAsia="Arial" w:hAnsi="Arial"/>
          <w:sz w:val="18"/>
          <w:szCs w:val="18"/>
          <w:color w:val="auto"/>
        </w:rPr>
      </w:pPr>
    </w:p>
    <w:p>
      <w:pPr>
        <w:ind w:left="1480" w:hanging="175"/>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Section 1.01 of the Financing Agreement is hereby amended by adding the following definition in appropriate alphabetical order:</w:t>
      </w:r>
    </w:p>
    <w:p>
      <w:pPr>
        <w:spacing w:after="0" w:line="248" w:lineRule="exact"/>
        <w:rPr>
          <w:sz w:val="20"/>
          <w:szCs w:val="20"/>
          <w:color w:val="auto"/>
        </w:rPr>
      </w:pPr>
    </w:p>
    <w:p>
      <w:pPr>
        <w:jc w:val="both"/>
        <w:ind w:left="130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Limited Option Period</w:t>
      </w:r>
      <w:r>
        <w:rPr>
          <w:rFonts w:ascii="Arial" w:cs="Arial" w:eastAsia="Arial" w:hAnsi="Arial"/>
          <w:sz w:val="17"/>
          <w:szCs w:val="17"/>
          <w:color w:val="auto"/>
        </w:rPr>
        <w:t>' means the period (x) beginning on the date on which the Administrative Agent receives written notice from the Borrowing Agent stating that the Loan Parties have elected to limit the Borrowing Base calculation to the assets of the Loan Parties constituting the Parent and Surviving Borrower located in the United States, which period may commence solely to the extent there does not exist an Event of Default and Availability (calculated after giving effect to the limitation referred to in this subclause (x)) is not less than or equal to $2,000,000, and (y) ending upon the earlier of (i) the date on which the Administrative Agent receives written notice from the Borrowing Agent stating that the Loan Parties have elected to terminate such limitation on the Borrowing Base calculation and (ii) at the option of the Collateral Agent, at any time during the existence of an Event of Default or if Availability (after giving effect to the Borrowing Base limitation referred to in subclause (x) above) is less than or equal to $2,000,000. Notwithstanding the foregoing, the initial Borrowing Base Limited Option Period commenced on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right="460" w:firstLine="1305"/>
        <w:spacing w:after="0" w:line="277" w:lineRule="auto"/>
        <w:tabs>
          <w:tab w:leader="none" w:pos="19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paragraph immediately after the formula set forth in the definition of "Borrowing Base" in Section 1.01 of the Financing Agreement is hereby amended and restated in its entirety to read as follows:</w:t>
      </w:r>
    </w:p>
    <w:p>
      <w:pPr>
        <w:spacing w:after="0" w:line="170" w:lineRule="exact"/>
        <w:rPr>
          <w:sz w:val="20"/>
          <w:szCs w:val="20"/>
          <w:color w:val="auto"/>
        </w:rPr>
      </w:pPr>
    </w:p>
    <w:p>
      <w:pPr>
        <w:jc w:val="both"/>
        <w:ind w:left="1300"/>
        <w:spacing w:after="0" w:line="285" w:lineRule="auto"/>
        <w:rPr>
          <w:sz w:val="20"/>
          <w:szCs w:val="20"/>
          <w:color w:val="auto"/>
        </w:rPr>
      </w:pPr>
      <w:r>
        <w:rPr>
          <w:rFonts w:ascii="Arial" w:cs="Arial" w:eastAsia="Arial" w:hAnsi="Arial"/>
          <w:sz w:val="16"/>
          <w:szCs w:val="16"/>
          <w:color w:val="auto"/>
        </w:rPr>
        <w:t xml:space="preserve">"Notwithstanding anything to the contrary in the defined term “Borrowing Base” or any other related definition or provision in this Agreement, (A) none of the Eligible Inventory located at the Foreign Loan Parties' locations in Canada or the United Kingdom shall be included in the Borrowing Base until the Administrative Agent shall have received field examinations and/or appraisals of such Eligible Inventory, in each case in form and substance reasonably acceptable to Administrative Agent in its Permitted Discretion, (B) during the Borrowing Base Limited Option Period, the value attributable to the Eligible Accounts, Eligible Inventory and Eligible Work-in-Process contained in the determination of the Borrowing Base shall include only such assets of the Loan Parties constituting the Parent and the Surviving Borrower located in the United States and not any such assets that are not located in the United States or the assets of any other Loan Party, (C) to the extent that the Borrowing Base Limited Option Period terminates for any reason, the Borrowing Base may include the Eligible Accounts, Eligible Inventory and Eligible Work-in-Process of Biochrom US, Inc. in the determination of the Borrowing Base with the aggregate value attributable thereto not to exceed $1,750,000 until the Agents shall have received a Field Survey and Audit and appraisal of such assets in form and substance satisfactory to the Agents and the Eligible Accounts, Eligible Inventory and Eligible Work-in-Process of all other Loan Parties and any assets of the Parent and the Surviving Borrower not located in the United States shall not be included in the determination of the Borrowing Base until the Agents receive a Field Survey and Audit and appraisal of such assets in form and substance satisfactory to the Agents and (D) during the Borrowing Base Limited Option Period, certain categories of Collateral that are not eligible for inclusion in the Borrowing Base and the respective amounts thereof shall be set forth on </w:t>
      </w:r>
      <w:r>
        <w:rPr>
          <w:rFonts w:ascii="Arial" w:cs="Arial" w:eastAsia="Arial" w:hAnsi="Arial"/>
          <w:sz w:val="16"/>
          <w:szCs w:val="16"/>
          <w:u w:val="single" w:color="auto"/>
          <w:color w:val="auto"/>
        </w:rPr>
        <w:t>Schedule 1.01(F)</w:t>
      </w:r>
      <w:r>
        <w:rPr>
          <w:rFonts w:ascii="Arial" w:cs="Arial" w:eastAsia="Arial" w:hAnsi="Arial"/>
          <w:sz w:val="16"/>
          <w:szCs w:val="16"/>
          <w:color w:val="auto"/>
        </w:rPr>
        <w:t>, and such categories and amounts may be updated or otherwise changed based on the results of the most recent Field Survey and Audit as determined by the Administrative Agent in its Permitted Discretion. The Field Survey and Audits and appraisals referenced in clause (C) above shall be at the expense of the Borrowers and shall be in addition to those referenced in the last sentence of Section 2.06(c)."</w:t>
      </w:r>
    </w:p>
    <w:p>
      <w:pPr>
        <w:spacing w:after="0" w:line="173" w:lineRule="exact"/>
        <w:rPr>
          <w:sz w:val="20"/>
          <w:szCs w:val="20"/>
          <w:color w:val="auto"/>
        </w:rPr>
      </w:pPr>
    </w:p>
    <w:p>
      <w:pPr>
        <w:ind w:left="2000" w:hanging="695"/>
        <w:spacing w:after="0"/>
        <w:tabs>
          <w:tab w:leader="none" w:pos="2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last sentence of Section 2.06(c) of the Financing Agreement is hereby amended and restated in its entirety to read as follows:</w:t>
      </w:r>
    </w:p>
    <w:p>
      <w:pPr>
        <w:spacing w:after="0" w:line="248"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 xml:space="preserve">"The foregoing notwithstanding, so long as no Event of Default shall have occurred and be continuing, the Borrowers shall not be obligated to reimburse the Agents or Lenders for more than two Field Survey and Audits and one inventory appraisal in any twelve 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the Borrowing Base Limited Option Period, the Borrowers shall only be obligated to reimburse such expenses to the extent attributable to the Field Survey and Audits and appraisals of the assets and operations of the Parent and the Surviving Borrower located in the United States."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7.01(a)(i) of the Financing Agreement is hereby amended and restated in its entirety to read as follows:</w:t>
      </w:r>
    </w:p>
    <w:p>
      <w:pPr>
        <w:spacing w:after="0" w:line="225" w:lineRule="exact"/>
        <w:rPr>
          <w:sz w:val="20"/>
          <w:szCs w:val="20"/>
          <w:color w:val="auto"/>
        </w:rPr>
      </w:pPr>
    </w:p>
    <w:p>
      <w:pPr>
        <w:jc w:val="both"/>
        <w:ind w:left="1300"/>
        <w:spacing w:after="0" w:line="289" w:lineRule="auto"/>
        <w:rPr>
          <w:sz w:val="20"/>
          <w:szCs w:val="20"/>
          <w:color w:val="auto"/>
        </w:rPr>
      </w:pPr>
      <w:r>
        <w:rPr>
          <w:rFonts w:ascii="Arial" w:cs="Arial" w:eastAsia="Arial" w:hAnsi="Arial"/>
          <w:sz w:val="16"/>
          <w:szCs w:val="16"/>
          <w:color w:val="auto"/>
        </w:rPr>
        <w:t>"within 30 days after the end of each fiscal month of the Parent and its Subsidiaries commencing with the first fiscal month of the Parent and its Subsidiaries ending after the Effective Date, internally prepared consolidated and consolidating balance sheets, statements of operations and retained earnings as at the end of such fiscal month, and for the period commencing at the end of the immediately preceding Fiscal Year and ending with the end of such fiscal month, setting forth in each case in comparative form the figures for the corresponding date or period set forth in (A) the financial statements for the immediately preceding Fiscal Year, and (B) the Projections, all in reasonable detail and certified by an Authorized Officer of the Parent as fairly presenting, in all material respects, the financial position of the Parent and its Subsidiaries as at the end of such fiscal month and the results of operations and retained earnings of the Parent and its Subsidiaries for such fiscal month and for such year-to-date period, in accordance with GAAP applied in a manner consistent with that of the most recent audited financial statements furnished to the Agents and the Lenders, subject to the absence of footnotes and normal year-end adjustments;"</w:t>
      </w:r>
    </w:p>
    <w:p>
      <w:pPr>
        <w:spacing w:after="0" w:line="167" w:lineRule="exact"/>
        <w:rPr>
          <w:sz w:val="20"/>
          <w:szCs w:val="20"/>
          <w:color w:val="auto"/>
        </w:rPr>
      </w:pPr>
    </w:p>
    <w:p>
      <w:pPr>
        <w:ind w:left="2160" w:hanging="855"/>
        <w:spacing w:after="0"/>
        <w:tabs>
          <w:tab w:leader="none" w:pos="2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following proviso is hereby added to the end of Section 7.01(a)(v) of the Financing Agreement immediately prior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semicolon thereto as follows:</w:t>
      </w:r>
    </w:p>
    <w:p>
      <w:pPr>
        <w:spacing w:after="0" w:line="2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the Borrowing Base Limited Option Period, such reports required pursuant to this Section 7.01(a)(v) shall be limited to assets of the Parent and the Surviving Borrower located in the United States"</w:t>
      </w:r>
    </w:p>
    <w:p>
      <w:pPr>
        <w:spacing w:after="0" w:line="170" w:lineRule="exact"/>
        <w:rPr>
          <w:sz w:val="20"/>
          <w:szCs w:val="20"/>
          <w:color w:val="auto"/>
        </w:rPr>
      </w:pPr>
    </w:p>
    <w:p>
      <w:pPr>
        <w:ind w:left="1300" w:right="1980" w:firstLine="5"/>
        <w:spacing w:after="0" w:line="501" w:lineRule="auto"/>
        <w:tabs>
          <w:tab w:leader="none" w:pos="197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Schedule 1.01(F)</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shall be appended to the end of the Financing Agreement. 3. </w:t>
      </w:r>
      <w:r>
        <w:rPr>
          <w:rFonts w:ascii="Arial" w:cs="Arial" w:eastAsia="Arial" w:hAnsi="Arial"/>
          <w:sz w:val="18"/>
          <w:szCs w:val="18"/>
          <w:u w:val="single" w:color="auto"/>
          <w:color w:val="auto"/>
        </w:rPr>
        <w:t>Acknowledgement</w:t>
      </w:r>
      <w:r>
        <w:rPr>
          <w:rFonts w:ascii="Arial" w:cs="Arial" w:eastAsia="Arial" w:hAnsi="Arial"/>
          <w:sz w:val="18"/>
          <w:szCs w:val="18"/>
          <w:color w:val="auto"/>
        </w:rPr>
        <w:t>.</w:t>
      </w:r>
    </w:p>
    <w:p>
      <w:pPr>
        <w:jc w:val="both"/>
        <w:ind w:firstLine="1305"/>
        <w:spacing w:after="0" w:line="255" w:lineRule="auto"/>
        <w:tabs>
          <w:tab w:leader="none" w:pos="2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Section 5.03(a)(i) of the Financing Agreement, the Loan Parties were required to furnish to the Collateral Agent, within 90 days after the Effective Date (or such later date as determined by the Agents in their sole discretion), all Cash Management Agreements that, in the reasonable judgment of the Agents, are required for the Loan Parties to comply with the Loan Documents as of the Effective Date, each duly executed by, in addition to the applicable Loan Party, the applicable financial institution. Notwithstanding anything contained in the Financing Agreement, the Agents and the Lenders acknowledge and agree that all Cash Management Agreements required to be furnished to the Collateral Agent pursuant to Section 5.03(a) of the Financing Agreement have been furnished.</w:t>
      </w:r>
    </w:p>
    <w:p>
      <w:pPr>
        <w:spacing w:after="0" w:line="193" w:lineRule="exact"/>
        <w:rPr>
          <w:rFonts w:ascii="Arial" w:cs="Arial" w:eastAsia="Arial" w:hAnsi="Arial"/>
          <w:sz w:val="18"/>
          <w:szCs w:val="18"/>
          <w:color w:val="auto"/>
        </w:rPr>
      </w:pPr>
    </w:p>
    <w:p>
      <w:pPr>
        <w:jc w:val="both"/>
        <w:ind w:firstLine="1305"/>
        <w:spacing w:after="0" w:line="279" w:lineRule="auto"/>
        <w:tabs>
          <w:tab w:leader="none" w:pos="210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Pursuant to Section 5.03(a)(ii) of the Financing Agreement, the Loan Parties were required to furnish to the Collateral Agent, within 90 days after the Effective Date (or such later date as determined by the Agents in their sole discretion), Processor Letters from each Credit Card Processor set forth on Schedule 6.01(jj) as of the Effective Date. Notwithstanding anything contained in the Financing Agreement, the Agents and the Lenders acknowledge and agree that the Loan Parties have used commercially reasonable efforts to obtain such letters.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1300"/>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Loan Party hereby represents and warrants to the Agents and the Lenders as follows:</w:t>
      </w:r>
    </w:p>
    <w:p>
      <w:pPr>
        <w:spacing w:after="0" w:line="237" w:lineRule="exact"/>
        <w:rPr>
          <w:sz w:val="20"/>
          <w:szCs w:val="20"/>
          <w:color w:val="auto"/>
        </w:rPr>
      </w:pPr>
    </w:p>
    <w:p>
      <w:pPr>
        <w:jc w:val="both"/>
        <w:ind w:firstLine="1305"/>
        <w:spacing w:after="0" w:line="291" w:lineRule="auto"/>
        <w:tabs>
          <w:tab w:leader="none" w:pos="215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Organization, Good Standing, Etc.</w:t>
      </w:r>
      <w:r>
        <w:rPr>
          <w:rFonts w:ascii="Arial" w:cs="Arial" w:eastAsia="Arial" w:hAnsi="Arial"/>
          <w:sz w:val="16"/>
          <w:szCs w:val="16"/>
          <w:color w:val="auto"/>
        </w:rPr>
        <w:t xml:space="preserve"> Each Loan Party and each of its Subsidiaries (i) is a corporation, limited company, limited liability company or limited partnership, as applicable, duly organized, validly existing and in good standing under the laws of the state or jurisdiction of its incorporation or organization, as applicable, (ii) has all requisite power and authority to conduct its business as now conducted and as presently contemplated and to execute and deliver this Amendment, and to consummate the transactions contemplated hereby and by the Financing Agreement, as amended hereby, and (iii) is duly qualified to do business and is in good standing in each jurisdiction in which the character of the properties owned or leased by it or in which the transaction of its business makes such qualification necessary, except (solely for the purposes of this subclause (iii)) where the failure to be so qualified or in good standing, individually or in the aggregate, could not reasonably be expected to result in a Material Adverse Effect.</w:t>
      </w:r>
    </w:p>
    <w:p>
      <w:pPr>
        <w:spacing w:after="0" w:line="167" w:lineRule="exact"/>
        <w:rPr>
          <w:rFonts w:ascii="Arial" w:cs="Arial" w:eastAsia="Arial" w:hAnsi="Arial"/>
          <w:sz w:val="16"/>
          <w:szCs w:val="16"/>
          <w:color w:val="auto"/>
        </w:rPr>
      </w:pPr>
    </w:p>
    <w:p>
      <w:pPr>
        <w:jc w:val="both"/>
        <w:ind w:firstLine="1305"/>
        <w:spacing w:after="0" w:line="255" w:lineRule="auto"/>
        <w:tabs>
          <w:tab w:leader="none" w:pos="2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Authorization, Etc.</w:t>
      </w:r>
      <w:r>
        <w:rPr>
          <w:rFonts w:ascii="Arial" w:cs="Arial" w:eastAsia="Arial" w:hAnsi="Arial"/>
          <w:sz w:val="18"/>
          <w:szCs w:val="18"/>
          <w:color w:val="auto"/>
        </w:rPr>
        <w:t xml:space="preserve"> The execution, delivery and performance by each Loan Party of this Amendment and the Financing Agreement, as amended hereby, (i) have been duly authorized by all necessary corporate or other organizational action, (ii) do not and will not contravene any of its Governing Documents or, in any material respect, any applicable Requirement of Law, (iii) do not and will not conflict with, result in a breach of, or constitute (with due notice or lapse of time or both) a default under any Material Contract, (iv) do not and will not result in or require the creation of any Lien (other than pursuant to any Loan Document) upon or with respect to any of its properties, and (v) do not and will not result in any default, noncompliance, suspension, revocation, impairment, forfeiture or nonrenewal of any material permit, license, authorization or approval applicable to its operations or any of its properties.</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215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No authorization or approval or other action by, and no notice to or filing with, any Governmental Authority is required in connection with the due execution, delivery and performance by any Loan Party of this Amendment and the Financing Agreement, as amended hereby, other than (x) authorizations, approvals, notices, filings or other actions that have been obtained and that are still in force and effect and (y) filing of this Amendment with the SEC following the execution hereof.</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197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Enforceability of Amendment</w:t>
      </w:r>
      <w:r>
        <w:rPr>
          <w:rFonts w:ascii="Arial" w:cs="Arial" w:eastAsia="Arial" w:hAnsi="Arial"/>
          <w:sz w:val="17"/>
          <w:szCs w:val="17"/>
          <w:color w:val="auto"/>
        </w:rPr>
        <w:t>. Each of this Amendment and the Financing Agreement, as amended hereby, is and each other Loan Document to which any Loan Party is or will be a party, when delivered hereunder, will be a legal, valid and binding obligation of such Person which is a party thereto, enforceable against such Person in accordance with its terms, except as enforceability may be limited by applicable equitable principles or by bankruptcy, insolvency, reorganization, moratorium or other similar laws affecting the enforcement of creditors' rights generally.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ind w:firstLine="1305"/>
        <w:spacing w:after="0" w:line="264" w:lineRule="auto"/>
        <w:tabs>
          <w:tab w:leader="none" w:pos="150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become effective only upon satisfaction in full, in a manner satisfactory to the Collateral Agent, of the following conditions precedent (the first date upon which all such conditions shall have been satisfied being herein called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81" w:lineRule="exact"/>
        <w:rPr>
          <w:sz w:val="20"/>
          <w:szCs w:val="20"/>
          <w:color w:val="auto"/>
        </w:rPr>
      </w:pPr>
    </w:p>
    <w:p>
      <w:pPr>
        <w:ind w:right="20" w:firstLine="1305"/>
        <w:spacing w:after="0" w:line="277" w:lineRule="auto"/>
        <w:tabs>
          <w:tab w:leader="none" w:pos="216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The Collateral Agent shall have received this Amendment duly executed and delivered by the Loan Parties, the Agents and the Lenders.</w:t>
      </w:r>
    </w:p>
    <w:p>
      <w:pPr>
        <w:spacing w:after="0" w:line="170" w:lineRule="exact"/>
        <w:rPr>
          <w:rFonts w:ascii="Arial" w:cs="Arial" w:eastAsia="Arial" w:hAnsi="Arial"/>
          <w:sz w:val="18"/>
          <w:szCs w:val="18"/>
          <w:color w:val="auto"/>
        </w:rPr>
      </w:pPr>
    </w:p>
    <w:p>
      <w:pPr>
        <w:jc w:val="both"/>
        <w:ind w:firstLine="1305"/>
        <w:spacing w:after="0" w:line="270" w:lineRule="auto"/>
        <w:tabs>
          <w:tab w:leader="none" w:pos="206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contained in ARTICLE VI of the Financing Agreement (as amended hereby) and in each other Loan Document, certificate or other writing delivered to any Secured Party pursuant hereto or thereto on or prior to the First Amendment Effective Date shall be true and correct in all material respects (except that such materiality qualifier shall not be applicable any representations or warranties that already are qualified or modified as to "materiality" or "Material Adverse Effect" in the text thereof, which representations and warranties shall be true and correct in all respects subject to such qualification) on and as of the First Amendment Effective Date as though made on and as of the First Amendment Effective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1" w:lineRule="exact"/>
        <w:rPr>
          <w:rFonts w:ascii="Arial" w:cs="Arial" w:eastAsia="Arial" w:hAnsi="Arial"/>
          <w:sz w:val="17"/>
          <w:szCs w:val="17"/>
          <w:color w:val="auto"/>
        </w:rPr>
      </w:pPr>
    </w:p>
    <w:p>
      <w:pPr>
        <w:ind w:firstLine="1305"/>
        <w:spacing w:after="0" w:line="308" w:lineRule="auto"/>
        <w:tabs>
          <w:tab w:leader="none" w:pos="200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 Default or Event of Default</w:t>
      </w:r>
      <w:r>
        <w:rPr>
          <w:rFonts w:ascii="Arial" w:cs="Arial" w:eastAsia="Arial" w:hAnsi="Arial"/>
          <w:sz w:val="17"/>
          <w:szCs w:val="17"/>
          <w:color w:val="auto"/>
        </w:rPr>
        <w:t>. After giving effect to this Amendment, no Default or Event of Default shall have occurred and be continuing on the First Amendment Effective Date or would result from this Amendment becoming effective in accordance with its terms.</w:t>
      </w:r>
    </w:p>
    <w:p>
      <w:pPr>
        <w:spacing w:after="0" w:line="146" w:lineRule="exact"/>
        <w:rPr>
          <w:rFonts w:ascii="Arial" w:cs="Arial" w:eastAsia="Arial" w:hAnsi="Arial"/>
          <w:sz w:val="17"/>
          <w:szCs w:val="17"/>
          <w:color w:val="auto"/>
        </w:rPr>
      </w:pPr>
    </w:p>
    <w:p>
      <w:pPr>
        <w:jc w:val="both"/>
        <w:ind w:firstLine="1305"/>
        <w:spacing w:after="0" w:line="286" w:lineRule="auto"/>
        <w:tabs>
          <w:tab w:leader="none" w:pos="209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Payment of Fees, Etc</w:t>
      </w:r>
      <w:r>
        <w:rPr>
          <w:rFonts w:ascii="Arial" w:cs="Arial" w:eastAsia="Arial" w:hAnsi="Arial"/>
          <w:sz w:val="17"/>
          <w:szCs w:val="17"/>
          <w:color w:val="auto"/>
        </w:rPr>
        <w:t>. The Loan Parties shall have paid all fees, costs and expenses then due and payable by the Loan Parties pursuant to the Loan Documents, including, without limitation, the Fee Letter and Sections 2.06 and 12.04 of the Financing Agreement, so long as with respect to third party items they have been invoiced to the Loan Parties at least thirty (30) days prior to the First Amendment Effective Date.</w:t>
      </w:r>
    </w:p>
    <w:p>
      <w:pPr>
        <w:spacing w:after="0" w:line="166" w:lineRule="exact"/>
        <w:rPr>
          <w:sz w:val="20"/>
          <w:szCs w:val="20"/>
          <w:color w:val="auto"/>
        </w:rPr>
      </w:pPr>
    </w:p>
    <w:p>
      <w:pPr>
        <w:jc w:val="both"/>
        <w:ind w:firstLine="1305"/>
        <w:spacing w:after="0" w:line="267" w:lineRule="auto"/>
        <w:tabs>
          <w:tab w:leader="none" w:pos="150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Continued Effectiveness of the Financing Agreement and Other Loan Documents</w:t>
      </w:r>
      <w:r>
        <w:rPr>
          <w:rFonts w:ascii="Arial" w:cs="Arial" w:eastAsia="Arial" w:hAnsi="Arial"/>
          <w:sz w:val="17"/>
          <w:szCs w:val="17"/>
          <w:color w:val="auto"/>
        </w:rPr>
        <w:t>. Each Loan Party hereby (i) acknowledges and consents to this Amendment, (ii) confirms and agrees that the Financing Agreement and each other Loan Document to which it is a party is, and shall continue to be, in full force and effect and is hereby ratified and confirmed in all respects except that on and after the First Amendment Effective Date all references in any such Loan Document to "the Financing Agreement", the "Agreement", "thereto", "thereof", "thereunder" or words of like import referring to the Financing Agreement shall mean the Financing Agreement as amended by this Amendment, and (iii) confirms and agrees that to the extent that any such Loan Document purports to assign or pledge to the Collateral Agent for the benefit of the Agents and the Lenders, or to grant to the Collateral Agent for the benefit of the Agents and the Lenders a security interest in or Lien on, any Collateral as security for the Obligations from time to time existing in respect of the Financing Agreement (as amended hereby) and the other Loan Documents, such pledge, assignment and/or grant of the security interest or Lien is hereby ratified and confirmed in all respects. This Amendment does not and shall not affect any of the obligations of the Loan Parties, other than as expressly provided herein, including, without limitation, the Loan Parties' obligations to repay the Loans in accordance with the terms of Financing Agreement, or the obligations of the Loan Parties under any Loan Document to which they are a party, all of which obligations shall remain in full force and effect, and nothing herein contained shall be construed as a substitution or novation of the obligations outstanding under the Financing Agreement or instruments securing the same. Nothing expressed or implied in this Amendment shall be construed as a release or other discharge of any Loan Party under the Financing Agreement, or the other Loan Documents, as amended hereby, from any of its obligations and liabilities as a "Borrower", "Guarantor" or "Loan Party" thereunder. Except as expressly provided herein, the execution, delivery and effectiveness of this Amendment shall not operate as a waiver of any right, power or remedy of the Agents or any Lender under the Financing Agreement or any other Loan Document, nor constitute a waiver of any provision of the Financing Agreement or any other Loan Document.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1480" w:hanging="175"/>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312" w:lineRule="auto"/>
        <w:tabs>
          <w:tab w:leader="none" w:pos="20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Amendment may be executed in any number of counterparts and by different parties hereto in separate counterparts, each of which shall be deemed to be an original but all of which taken together shall constitute one and the same agreement. Delivery of an executed counterpart of this Amendment by facsimile or electronic mail shall be equally effective as delivery of an original executed counterpart of this Amendment.</w:t>
      </w:r>
    </w:p>
    <w:p>
      <w:pPr>
        <w:spacing w:after="0" w:line="146" w:lineRule="exact"/>
        <w:rPr>
          <w:rFonts w:ascii="Arial" w:cs="Arial" w:eastAsia="Arial" w:hAnsi="Arial"/>
          <w:sz w:val="16"/>
          <w:szCs w:val="16"/>
          <w:color w:val="auto"/>
        </w:rPr>
      </w:pPr>
    </w:p>
    <w:p>
      <w:pPr>
        <w:ind w:firstLine="1305"/>
        <w:spacing w:after="0" w:line="277" w:lineRule="auto"/>
        <w:tabs>
          <w:tab w:leader="none" w:pos="21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and paragraph headings herein are included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1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Loan Party hereby acknowledges and agrees that this Amendment constitutes a "Loan Document" under the Financing Agreement. Accordingly, it shall be an Event of Default under the Financing Agreement if (i) any representation or warranty made by a Loan Party under or in connection with this Amendment shall have been incorrect in any material respect when made, or (ii) any Loan Party shall fail to perform or comply with any covenant or agreement contained in this Amendment.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2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IN WITNESS WHEREOF, the parties hereto have caused this Amendment to be executed and delivered as of the date set forth on the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hereof.</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DATA SCIENCES INTERNATIONAL,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Harvard Bioscience, Inc., its sole shareholder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Financial Officer</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7" w:name="page48"/>
    <w:bookmarkEnd w:id="47"/>
    <w:p>
      <w:pPr>
        <w:ind w:left="2700"/>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HOEFER, INC.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Harvard Bioscience, Inc., its sole shareholder</w:t>
      </w:r>
    </w:p>
    <w:p>
      <w:pPr>
        <w:spacing w:after="0" w:line="24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WARNER INSTRUMENTS LLC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By: Harvard Bioscience, Inc., its sole member</w:t>
      </w:r>
    </w:p>
    <w:p>
      <w:pPr>
        <w:spacing w:after="0" w:line="23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TRIANGLE BIOSYSTEMS, INC.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Harvard Bioscience, Inc., its sole shareholder</w:t>
      </w:r>
    </w:p>
    <w:p>
      <w:pPr>
        <w:spacing w:after="0" w:line="24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DENVILLE SCIENTIFIC, INC.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Harvard Bioscience, Inc., its sole shareholder</w:t>
      </w:r>
    </w:p>
    <w:p>
      <w:pPr>
        <w:spacing w:after="0" w:line="24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Financial Officer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8" w:name="page49"/>
    <w:bookmarkEnd w:id="48"/>
    <w:p>
      <w:pPr>
        <w:ind w:left="2700"/>
        <w:spacing w:after="0"/>
        <w:rPr>
          <w:sz w:val="20"/>
          <w:szCs w:val="20"/>
          <w:color w:val="auto"/>
        </w:rPr>
      </w:pPr>
      <w:r>
        <w:rPr>
          <w:rFonts w:ascii="Arial" w:cs="Arial" w:eastAsia="Arial" w:hAnsi="Arial"/>
          <w:sz w:val="18"/>
          <w:szCs w:val="18"/>
          <w:color w:val="auto"/>
        </w:rPr>
        <w:t>COULBOURN INSTRUMENTS, LLC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Denville Scientific, Inc., its sole member</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Harvard Bioscience, Inc., its sole shareholder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BIOCHROM US, INC.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Harvard Bioscience, Inc., its sole shareholder</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BIOCHROM LIMITED</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EALING SCIENTIFIC LIMITED /</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LA COMPAGNIE SCIENTIFIQUE EALING LIMITÉE</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Harvard Bioscience, Inc., its sole shareholder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Financial Officer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9" w:name="page50"/>
    <w:bookmarkEnd w:id="49"/>
    <w:p>
      <w:pPr>
        <w:ind w:left="2700"/>
        <w:spacing w:after="0"/>
        <w:rPr>
          <w:sz w:val="20"/>
          <w:szCs w:val="20"/>
          <w:color w:val="auto"/>
        </w:rPr>
      </w:pPr>
      <w:r>
        <w:rPr>
          <w:rFonts w:ascii="Arial" w:cs="Arial" w:eastAsia="Arial" w:hAnsi="Arial"/>
          <w:sz w:val="18"/>
          <w:szCs w:val="18"/>
          <w:color w:val="auto"/>
        </w:rPr>
        <w:t>DATA SCIENCES UK (MN) LIMITED</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Data Sciences International, Inc., its sole shareholder</w:t>
      </w:r>
    </w:p>
    <w:p>
      <w:pPr>
        <w:spacing w:after="0" w:line="23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Gagnon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Robert E. Gagnon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0" w:name="page51"/>
    <w:bookmarkEnd w:id="50"/>
    <w:p>
      <w:pPr>
        <w:ind w:left="2700"/>
        <w:spacing w:after="0"/>
        <w:rPr>
          <w:sz w:val="20"/>
          <w:szCs w:val="20"/>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BUSINESS FINANCE, LLC</w:t>
      </w:r>
    </w:p>
    <w:p>
      <w:pPr>
        <w:spacing w:after="0" w:line="22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Authorized Signatory</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Authorized Signatory</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Title: Authorized Signatory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1" w:name="page52"/>
    <w:bookmarkEnd w:id="51"/>
    <w:p>
      <w:pPr>
        <w:ind w:left="2240"/>
        <w:spacing w:after="0"/>
        <w:rPr>
          <w:sz w:val="20"/>
          <w:szCs w:val="20"/>
          <w:color w:val="auto"/>
        </w:rPr>
      </w:pPr>
      <w:r>
        <w:rPr>
          <w:rFonts w:ascii="Arial" w:cs="Arial" w:eastAsia="Arial" w:hAnsi="Arial"/>
          <w:sz w:val="18"/>
          <w:szCs w:val="18"/>
          <w:u w:val="single" w:color="auto"/>
          <w:color w:val="auto"/>
        </w:rPr>
        <w:t>ADMINISTRATIVE AGENT AND A LENDER:</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PNC BANK, NATIONAL ASSOCIATION</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Matthew Leighton</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Name: Matthew Leighton</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52" w:name="page53"/>
    <w:bookmarkEnd w:id="52"/>
    <w:p>
      <w:pPr>
        <w:ind w:left="2700"/>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ASRS FUNDING LLC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CERBERUS CAVALIERS LEVERED LOAN OPPORTUNITIES FUND, LLC</w:t>
      </w:r>
    </w:p>
    <w:p>
      <w:pPr>
        <w:spacing w:after="0" w:line="23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ICQ OFFSHORE LEVERED LP</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Cerberus ICQ Offshore GP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LOAN FUNDING XX L.P.</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Cerberus LFGP XX,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LOAN FUNDING XXII L.P.</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Cerberus LFGP XXII,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3" w:name="page54"/>
    <w:bookmarkEnd w:id="53"/>
    <w:p>
      <w:pPr>
        <w:ind w:left="2700"/>
        <w:spacing w:after="0"/>
        <w:rPr>
          <w:sz w:val="20"/>
          <w:szCs w:val="20"/>
          <w:color w:val="auto"/>
        </w:rPr>
      </w:pPr>
      <w:r>
        <w:rPr>
          <w:rFonts w:ascii="Arial" w:cs="Arial" w:eastAsia="Arial" w:hAnsi="Arial"/>
          <w:sz w:val="18"/>
          <w:szCs w:val="18"/>
          <w:color w:val="auto"/>
        </w:rPr>
        <w:t>CERBERUS LOAN FUNDING XXIII L.P.</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Cerberus LFGP XXIII,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LOAN FUNDING XXIV L.P.</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Cerberus LFGP XXIV,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N-1 FUNDING LLC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ND LEVERED LLC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CERBERUS OFSHORE LEVERED LOAN OPPORTUNITIES MASTER FUND III, L.P.</w:t>
      </w:r>
    </w:p>
    <w:p>
      <w:pPr>
        <w:spacing w:after="0" w:line="3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Cerberus Offshore Levered Opportunities III GP,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31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54" w:name="page55"/>
    <w:bookmarkEnd w:id="54"/>
    <w:p>
      <w:pPr>
        <w:ind w:left="2700"/>
        <w:spacing w:after="0"/>
        <w:rPr>
          <w:sz w:val="20"/>
          <w:szCs w:val="20"/>
          <w:color w:val="auto"/>
        </w:rPr>
      </w:pPr>
      <w:r>
        <w:rPr>
          <w:rFonts w:ascii="Arial" w:cs="Arial" w:eastAsia="Arial" w:hAnsi="Arial"/>
          <w:sz w:val="18"/>
          <w:szCs w:val="18"/>
          <w:color w:val="auto"/>
        </w:rPr>
        <w:t>CERBERUS PSERS LEVERED LLC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REDWOOD LEVERED A LLC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CERBERUS REDWOOD LEVERED LOAN OPPORTUNITIES FUND B, L.P.</w:t>
      </w:r>
    </w:p>
    <w:p>
      <w:pPr>
        <w:spacing w:after="0" w:line="3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Cerberus Redwood Levered Opportunities GP B,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CERBERUS SWC LEVERED HOLDINGS II LP</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CSL Holdings II GP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E. Wolf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Daniel E. Wolf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Managing Director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Amendment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80" w:type="dxa"/>
            <w:vAlign w:val="bottom"/>
            <w:gridSpan w:val="3"/>
          </w:tcPr>
          <w:p>
            <w:pPr>
              <w:ind w:left="640"/>
              <w:spacing w:after="0"/>
              <w:rPr>
                <w:sz w:val="20"/>
                <w:szCs w:val="20"/>
                <w:color w:val="auto"/>
              </w:rPr>
            </w:pPr>
            <w:r>
              <w:rPr>
                <w:rFonts w:ascii="Arial" w:cs="Arial" w:eastAsia="Arial" w:hAnsi="Arial"/>
                <w:sz w:val="18"/>
                <w:szCs w:val="18"/>
                <w:b w:val="1"/>
                <w:bCs w:val="1"/>
                <w:color w:val="auto"/>
              </w:rPr>
              <w:t>ANNEX A</w:t>
            </w:r>
          </w:p>
        </w:tc>
        <w:tc>
          <w:tcPr>
            <w:tcW w:w="0" w:type="dxa"/>
            <w:vAlign w:val="bottom"/>
          </w:tcPr>
          <w:p>
            <w:pPr>
              <w:spacing w:after="0"/>
              <w:rPr>
                <w:sz w:val="1"/>
                <w:szCs w:val="1"/>
                <w:color w:val="auto"/>
              </w:rPr>
            </w:pPr>
          </w:p>
        </w:tc>
      </w:tr>
      <w:tr>
        <w:trPr>
          <w:trHeight w:val="392"/>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SCHEDULE 1.01(F)</w:t>
            </w:r>
          </w:p>
        </w:tc>
        <w:tc>
          <w:tcPr>
            <w:tcW w:w="1680" w:type="dxa"/>
            <w:vAlign w:val="bottom"/>
            <w:gridSpan w:val="2"/>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40" w:type="dxa"/>
            <w:vAlign w:val="bottom"/>
          </w:tcPr>
          <w:p>
            <w:pPr>
              <w:spacing w:after="0"/>
              <w:rPr>
                <w:sz w:val="24"/>
                <w:szCs w:val="24"/>
                <w:color w:val="auto"/>
              </w:rPr>
            </w:pPr>
          </w:p>
        </w:tc>
        <w:tc>
          <w:tcPr>
            <w:tcW w:w="3520" w:type="dxa"/>
            <w:vAlign w:val="bottom"/>
            <w:gridSpan w:val="6"/>
          </w:tcPr>
          <w:p>
            <w:pPr>
              <w:jc w:val="center"/>
              <w:ind w:right="1380"/>
              <w:spacing w:after="0"/>
              <w:rPr>
                <w:sz w:val="20"/>
                <w:szCs w:val="20"/>
                <w:color w:val="auto"/>
              </w:rPr>
            </w:pPr>
            <w:r>
              <w:rPr>
                <w:rFonts w:ascii="Arial" w:cs="Arial" w:eastAsia="Arial" w:hAnsi="Arial"/>
                <w:sz w:val="18"/>
                <w:szCs w:val="18"/>
                <w:color w:val="auto"/>
                <w:w w:val="96"/>
              </w:rPr>
              <w:t>INELIGIBLE CATEGORIES</w:t>
            </w: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vMerge w:val="restart"/>
          </w:tcPr>
          <w:p>
            <w:pPr>
              <w:spacing w:after="0"/>
              <w:rPr>
                <w:sz w:val="20"/>
                <w:szCs w:val="20"/>
                <w:color w:val="auto"/>
              </w:rPr>
            </w:pPr>
            <w:r>
              <w:rPr>
                <w:rFonts w:ascii="Arial" w:cs="Arial" w:eastAsia="Arial" w:hAnsi="Arial"/>
                <w:sz w:val="18"/>
                <w:szCs w:val="18"/>
                <w:color w:val="auto"/>
              </w:rPr>
              <w:t>Sales Clearing</w:t>
            </w:r>
          </w:p>
        </w:tc>
        <w:tc>
          <w:tcPr>
            <w:tcW w:w="60" w:type="dxa"/>
            <w:vAlign w:val="bottom"/>
          </w:tcPr>
          <w:p>
            <w:pPr>
              <w:spacing w:after="0"/>
              <w:rPr>
                <w:sz w:val="18"/>
                <w:szCs w:val="18"/>
                <w:color w:val="auto"/>
              </w:rPr>
            </w:pPr>
          </w:p>
        </w:tc>
        <w:tc>
          <w:tcPr>
            <w:tcW w:w="260" w:type="dxa"/>
            <w:vAlign w:val="bottom"/>
            <w:tcBorders>
              <w:bottom w:val="single" w:sz="8" w:color="FFFF99"/>
            </w:tcBorders>
          </w:tcPr>
          <w:p>
            <w:pPr>
              <w:spacing w:after="0"/>
              <w:rPr>
                <w:sz w:val="18"/>
                <w:szCs w:val="18"/>
                <w:color w:val="auto"/>
              </w:rPr>
            </w:pPr>
          </w:p>
        </w:tc>
        <w:tc>
          <w:tcPr>
            <w:tcW w:w="1020" w:type="dxa"/>
            <w:vAlign w:val="bottom"/>
            <w:tcBorders>
              <w:bottom w:val="single" w:sz="8" w:color="FFFF99"/>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1040"/>
              <w:spacing w:after="0"/>
              <w:rPr>
                <w:sz w:val="20"/>
                <w:szCs w:val="20"/>
                <w:color w:val="auto"/>
              </w:rPr>
            </w:pPr>
            <w:r>
              <w:rPr>
                <w:rFonts w:ascii="Arial" w:cs="Arial" w:eastAsia="Arial" w:hAnsi="Arial"/>
                <w:sz w:val="18"/>
                <w:szCs w:val="18"/>
                <w:b w:val="1"/>
                <w:bCs w:val="1"/>
                <w:color w:val="auto"/>
              </w:rPr>
              <w:t>Total</w:t>
            </w:r>
          </w:p>
        </w:tc>
        <w:tc>
          <w:tcPr>
            <w:tcW w:w="18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HAI US</w:t>
            </w: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DSI</w:t>
            </w:r>
          </w:p>
        </w:tc>
        <w:tc>
          <w:tcPr>
            <w:tcW w:w="20" w:type="dxa"/>
            <w:vAlign w:val="bottom"/>
            <w:tcBorders>
              <w:bottom w:val="single" w:sz="8" w:color="auto"/>
            </w:tcBorders>
            <w:shd w:val="clear" w:color="auto" w:fill="000000"/>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shd w:val="clear" w:color="auto" w:fill="FFFF99"/>
          </w:tcPr>
          <w:p>
            <w:pPr>
              <w:spacing w:after="0"/>
              <w:rPr>
                <w:sz w:val="18"/>
                <w:szCs w:val="18"/>
                <w:color w:val="auto"/>
              </w:rPr>
            </w:pPr>
          </w:p>
        </w:tc>
        <w:tc>
          <w:tcPr>
            <w:tcW w:w="1020" w:type="dxa"/>
            <w:vAlign w:val="bottom"/>
            <w:tcBorders>
              <w:right w:val="single" w:sz="8" w:color="FFFF99"/>
            </w:tcBorders>
            <w:shd w:val="clear" w:color="auto" w:fill="FFFF99"/>
          </w:tcPr>
          <w:p>
            <w:pPr>
              <w:spacing w:after="0"/>
              <w:rPr>
                <w:sz w:val="18"/>
                <w:szCs w:val="18"/>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$47,700.00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$47,700.00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Trade Clearing</w:t>
            </w:r>
          </w:p>
        </w:tc>
        <w:tc>
          <w:tcPr>
            <w:tcW w:w="60" w:type="dxa"/>
            <w:vAlign w:val="bottom"/>
          </w:tcPr>
          <w:p>
            <w:pPr>
              <w:spacing w:after="0"/>
              <w:rPr>
                <w:sz w:val="18"/>
                <w:szCs w:val="18"/>
                <w:color w:val="auto"/>
              </w:rPr>
            </w:pPr>
          </w:p>
        </w:tc>
        <w:tc>
          <w:tcPr>
            <w:tcW w:w="260" w:type="dxa"/>
            <w:vAlign w:val="bottom"/>
            <w:shd w:val="clear" w:color="auto" w:fill="FFFF99"/>
          </w:tcPr>
          <w:p>
            <w:pPr>
              <w:spacing w:after="0"/>
              <w:rPr>
                <w:sz w:val="18"/>
                <w:szCs w:val="18"/>
                <w:color w:val="auto"/>
              </w:rPr>
            </w:pPr>
          </w:p>
        </w:tc>
        <w:tc>
          <w:tcPr>
            <w:tcW w:w="1020" w:type="dxa"/>
            <w:vAlign w:val="bottom"/>
            <w:tcBorders>
              <w:right w:val="single" w:sz="8" w:color="FFFF99"/>
            </w:tcBorders>
            <w:shd w:val="clear" w:color="auto" w:fill="FFFF99"/>
          </w:tcPr>
          <w:p>
            <w:pPr>
              <w:spacing w:after="0"/>
              <w:rPr>
                <w:sz w:val="18"/>
                <w:szCs w:val="18"/>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$74,100.00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$74,100.00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8"/>
                <w:szCs w:val="18"/>
                <w:color w:val="auto"/>
              </w:rPr>
            </w:pPr>
          </w:p>
        </w:tc>
        <w:tc>
          <w:tcPr>
            <w:tcW w:w="260" w:type="dxa"/>
            <w:vAlign w:val="bottom"/>
            <w:shd w:val="clear" w:color="auto" w:fill="FFFF99"/>
          </w:tcPr>
          <w:p>
            <w:pPr>
              <w:spacing w:after="0"/>
              <w:rPr>
                <w:sz w:val="18"/>
                <w:szCs w:val="18"/>
                <w:color w:val="auto"/>
              </w:rPr>
            </w:pPr>
          </w:p>
        </w:tc>
        <w:tc>
          <w:tcPr>
            <w:tcW w:w="1020" w:type="dxa"/>
            <w:vAlign w:val="bottom"/>
            <w:tcBorders>
              <w:right w:val="single" w:sz="8" w:color="FFFF99"/>
            </w:tcBorders>
            <w:shd w:val="clear" w:color="auto" w:fill="FFFF99"/>
          </w:tcPr>
          <w:p>
            <w:pPr>
              <w:spacing w:after="0"/>
              <w:rPr>
                <w:sz w:val="18"/>
                <w:szCs w:val="18"/>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$424,500.00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$14,500.00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$410,000.00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color w:val="auto"/>
              </w:rPr>
              <w:t>Warranties Contra</w:t>
            </w:r>
          </w:p>
        </w:tc>
        <w:tc>
          <w:tcPr>
            <w:tcW w:w="60" w:type="dxa"/>
            <w:vAlign w:val="bottom"/>
          </w:tcPr>
          <w:p>
            <w:pPr>
              <w:spacing w:after="0"/>
              <w:rPr>
                <w:sz w:val="17"/>
                <w:szCs w:val="17"/>
                <w:color w:val="auto"/>
              </w:rPr>
            </w:pPr>
          </w:p>
        </w:tc>
        <w:tc>
          <w:tcPr>
            <w:tcW w:w="260" w:type="dxa"/>
            <w:vAlign w:val="bottom"/>
            <w:shd w:val="clear" w:color="auto" w:fill="FFFF99"/>
          </w:tcPr>
          <w:p>
            <w:pPr>
              <w:spacing w:after="0"/>
              <w:rPr>
                <w:sz w:val="17"/>
                <w:szCs w:val="17"/>
                <w:color w:val="auto"/>
              </w:rPr>
            </w:pPr>
          </w:p>
        </w:tc>
        <w:tc>
          <w:tcPr>
            <w:tcW w:w="1020" w:type="dxa"/>
            <w:vAlign w:val="bottom"/>
            <w:tcBorders>
              <w:right w:val="single" w:sz="8" w:color="FFFF99"/>
            </w:tcBorders>
            <w:shd w:val="clear" w:color="auto" w:fill="FFFF99"/>
          </w:tcPr>
          <w:p>
            <w:pPr>
              <w:spacing w:after="0"/>
              <w:rPr>
                <w:sz w:val="17"/>
                <w:szCs w:val="17"/>
                <w:color w:val="auto"/>
              </w:rPr>
            </w:pPr>
          </w:p>
        </w:tc>
        <w:tc>
          <w:tcPr>
            <w:tcW w:w="2180" w:type="dxa"/>
            <w:vAlign w:val="bottom"/>
            <w:gridSpan w:val="3"/>
            <w:shd w:val="clear" w:color="auto" w:fill="FFFF99"/>
          </w:tcPr>
          <w:p>
            <w:pPr>
              <w:jc w:val="right"/>
              <w:ind w:right="280"/>
              <w:spacing w:after="0" w:line="201" w:lineRule="exact"/>
              <w:rPr>
                <w:sz w:val="20"/>
                <w:szCs w:val="20"/>
                <w:color w:val="auto"/>
              </w:rPr>
            </w:pPr>
            <w:r>
              <w:rPr>
                <w:rFonts w:ascii="Arial" w:cs="Arial" w:eastAsia="Arial" w:hAnsi="Arial"/>
                <w:sz w:val="18"/>
                <w:szCs w:val="18"/>
                <w:color w:val="auto"/>
              </w:rPr>
              <w:t>$246,300.00</w:t>
            </w:r>
          </w:p>
        </w:tc>
        <w:tc>
          <w:tcPr>
            <w:tcW w:w="1800" w:type="dxa"/>
            <w:vAlign w:val="bottom"/>
            <w:shd w:val="clear" w:color="auto" w:fill="FFFF99"/>
          </w:tcPr>
          <w:p>
            <w:pPr>
              <w:jc w:val="right"/>
              <w:ind w:right="290"/>
              <w:spacing w:after="0" w:line="201" w:lineRule="exact"/>
              <w:rPr>
                <w:sz w:val="20"/>
                <w:szCs w:val="20"/>
                <w:color w:val="auto"/>
              </w:rPr>
            </w:pPr>
            <w:r>
              <w:rPr>
                <w:rFonts w:ascii="Arial" w:cs="Arial" w:eastAsia="Arial" w:hAnsi="Arial"/>
                <w:sz w:val="18"/>
                <w:szCs w:val="18"/>
                <w:color w:val="3333FF"/>
              </w:rPr>
              <w:t>$65,600.00</w:t>
            </w:r>
          </w:p>
        </w:tc>
        <w:tc>
          <w:tcPr>
            <w:tcW w:w="1440" w:type="dxa"/>
            <w:vAlign w:val="bottom"/>
            <w:shd w:val="clear" w:color="auto" w:fill="FFFF99"/>
          </w:tcPr>
          <w:p>
            <w:pPr>
              <w:jc w:val="right"/>
              <w:spacing w:after="0" w:line="201" w:lineRule="exact"/>
              <w:rPr>
                <w:sz w:val="20"/>
                <w:szCs w:val="20"/>
                <w:color w:val="auto"/>
              </w:rPr>
            </w:pPr>
            <w:r>
              <w:rPr>
                <w:rFonts w:ascii="Arial" w:cs="Arial" w:eastAsia="Arial" w:hAnsi="Arial"/>
                <w:sz w:val="18"/>
                <w:szCs w:val="18"/>
                <w:color w:val="3333FF"/>
              </w:rPr>
              <w:t>$180,700.00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FOB Destination</w:t>
            </w:r>
          </w:p>
        </w:tc>
        <w:tc>
          <w:tcPr>
            <w:tcW w:w="60" w:type="dxa"/>
            <w:vAlign w:val="bottom"/>
          </w:tcPr>
          <w:p>
            <w:pPr>
              <w:spacing w:after="0"/>
              <w:rPr>
                <w:sz w:val="18"/>
                <w:szCs w:val="18"/>
                <w:color w:val="auto"/>
              </w:rPr>
            </w:pPr>
          </w:p>
        </w:tc>
        <w:tc>
          <w:tcPr>
            <w:tcW w:w="260" w:type="dxa"/>
            <w:vAlign w:val="bottom"/>
            <w:shd w:val="clear" w:color="auto" w:fill="FFFF99"/>
          </w:tcPr>
          <w:p>
            <w:pPr>
              <w:spacing w:after="0"/>
              <w:rPr>
                <w:sz w:val="18"/>
                <w:szCs w:val="18"/>
                <w:color w:val="auto"/>
              </w:rPr>
            </w:pPr>
          </w:p>
        </w:tc>
        <w:tc>
          <w:tcPr>
            <w:tcW w:w="1020" w:type="dxa"/>
            <w:vAlign w:val="bottom"/>
            <w:tcBorders>
              <w:right w:val="single" w:sz="8" w:color="FFFF99"/>
            </w:tcBorders>
            <w:shd w:val="clear" w:color="auto" w:fill="FFFF99"/>
          </w:tcPr>
          <w:p>
            <w:pPr>
              <w:spacing w:after="0"/>
              <w:rPr>
                <w:sz w:val="18"/>
                <w:szCs w:val="18"/>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$197,000.00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$197,000.00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Customer Replacement Unit Liab</w:t>
            </w:r>
          </w:p>
        </w:tc>
        <w:tc>
          <w:tcPr>
            <w:tcW w:w="60" w:type="dxa"/>
            <w:vAlign w:val="bottom"/>
          </w:tcPr>
          <w:p>
            <w:pPr>
              <w:spacing w:after="0"/>
              <w:rPr>
                <w:sz w:val="18"/>
                <w:szCs w:val="18"/>
                <w:color w:val="auto"/>
              </w:rPr>
            </w:pPr>
          </w:p>
        </w:tc>
        <w:tc>
          <w:tcPr>
            <w:tcW w:w="260" w:type="dxa"/>
            <w:vAlign w:val="bottom"/>
            <w:shd w:val="clear" w:color="auto" w:fill="FFFF99"/>
          </w:tcPr>
          <w:p>
            <w:pPr>
              <w:spacing w:after="0"/>
              <w:rPr>
                <w:sz w:val="18"/>
                <w:szCs w:val="18"/>
                <w:color w:val="auto"/>
              </w:rPr>
            </w:pPr>
          </w:p>
        </w:tc>
        <w:tc>
          <w:tcPr>
            <w:tcW w:w="1020" w:type="dxa"/>
            <w:vAlign w:val="bottom"/>
            <w:tcBorders>
              <w:right w:val="single" w:sz="8" w:color="FFFF99"/>
            </w:tcBorders>
            <w:shd w:val="clear" w:color="auto" w:fill="FFFF99"/>
          </w:tcPr>
          <w:p>
            <w:pPr>
              <w:spacing w:after="0"/>
              <w:rPr>
                <w:sz w:val="18"/>
                <w:szCs w:val="18"/>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$429,000.00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$429,000.00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Debit Memos</w:t>
            </w:r>
          </w:p>
        </w:tc>
        <w:tc>
          <w:tcPr>
            <w:tcW w:w="60" w:type="dxa"/>
            <w:vAlign w:val="bottom"/>
          </w:tcPr>
          <w:p>
            <w:pPr>
              <w:spacing w:after="0"/>
              <w:rPr>
                <w:sz w:val="18"/>
                <w:szCs w:val="18"/>
                <w:color w:val="auto"/>
              </w:rPr>
            </w:pPr>
          </w:p>
        </w:tc>
        <w:tc>
          <w:tcPr>
            <w:tcW w:w="260" w:type="dxa"/>
            <w:vAlign w:val="bottom"/>
            <w:shd w:val="clear" w:color="auto" w:fill="FFFF99"/>
          </w:tcPr>
          <w:p>
            <w:pPr>
              <w:spacing w:after="0"/>
              <w:rPr>
                <w:sz w:val="18"/>
                <w:szCs w:val="18"/>
                <w:color w:val="auto"/>
              </w:rPr>
            </w:pPr>
          </w:p>
        </w:tc>
        <w:tc>
          <w:tcPr>
            <w:tcW w:w="1020" w:type="dxa"/>
            <w:vAlign w:val="bottom"/>
            <w:tcBorders>
              <w:right w:val="single" w:sz="8" w:color="FFFF99"/>
            </w:tcBorders>
            <w:shd w:val="clear" w:color="auto" w:fill="FFFF99"/>
          </w:tcPr>
          <w:p>
            <w:pPr>
              <w:spacing w:after="0"/>
              <w:rPr>
                <w:sz w:val="18"/>
                <w:szCs w:val="18"/>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Tooling Bills</w:t>
            </w:r>
          </w:p>
        </w:tc>
        <w:tc>
          <w:tcPr>
            <w:tcW w:w="60" w:type="dxa"/>
            <w:vAlign w:val="bottom"/>
          </w:tcPr>
          <w:p>
            <w:pPr>
              <w:spacing w:after="0"/>
              <w:rPr>
                <w:sz w:val="18"/>
                <w:szCs w:val="18"/>
                <w:color w:val="auto"/>
              </w:rPr>
            </w:pPr>
          </w:p>
        </w:tc>
        <w:tc>
          <w:tcPr>
            <w:tcW w:w="260" w:type="dxa"/>
            <w:vAlign w:val="bottom"/>
            <w:shd w:val="clear" w:color="auto" w:fill="FFFF99"/>
          </w:tcPr>
          <w:p>
            <w:pPr>
              <w:spacing w:after="0"/>
              <w:rPr>
                <w:sz w:val="18"/>
                <w:szCs w:val="18"/>
                <w:color w:val="auto"/>
              </w:rPr>
            </w:pPr>
          </w:p>
        </w:tc>
        <w:tc>
          <w:tcPr>
            <w:tcW w:w="1020" w:type="dxa"/>
            <w:vAlign w:val="bottom"/>
            <w:tcBorders>
              <w:right w:val="single" w:sz="8" w:color="FFFF99"/>
            </w:tcBorders>
            <w:shd w:val="clear" w:color="auto" w:fill="FFFF99"/>
          </w:tcPr>
          <w:p>
            <w:pPr>
              <w:spacing w:after="0"/>
              <w:rPr>
                <w:sz w:val="18"/>
                <w:szCs w:val="18"/>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0"/>
                <w:szCs w:val="20"/>
                <w:color w:val="auto"/>
              </w:rPr>
            </w:pPr>
          </w:p>
        </w:tc>
        <w:tc>
          <w:tcPr>
            <w:tcW w:w="260" w:type="dxa"/>
            <w:vAlign w:val="bottom"/>
            <w:shd w:val="clear" w:color="auto" w:fill="FFFF99"/>
          </w:tcPr>
          <w:p>
            <w:pPr>
              <w:spacing w:after="0"/>
              <w:rPr>
                <w:sz w:val="20"/>
                <w:szCs w:val="20"/>
                <w:color w:val="auto"/>
              </w:rPr>
            </w:pPr>
          </w:p>
        </w:tc>
        <w:tc>
          <w:tcPr>
            <w:tcW w:w="1020" w:type="dxa"/>
            <w:vAlign w:val="bottom"/>
            <w:tcBorders>
              <w:right w:val="single" w:sz="8" w:color="FFFF99"/>
            </w:tcBorders>
            <w:shd w:val="clear" w:color="auto" w:fill="FFFF99"/>
          </w:tcPr>
          <w:p>
            <w:pPr>
              <w:spacing w:after="0"/>
              <w:rPr>
                <w:sz w:val="20"/>
                <w:szCs w:val="20"/>
                <w:color w:val="auto"/>
              </w:rPr>
            </w:pPr>
          </w:p>
        </w:tc>
        <w:tc>
          <w:tcPr>
            <w:tcW w:w="2180" w:type="dxa"/>
            <w:vAlign w:val="bottom"/>
            <w:gridSpan w:val="3"/>
            <w:shd w:val="clear" w:color="auto" w:fill="FFFF99"/>
          </w:tcPr>
          <w:p>
            <w:pPr>
              <w:jc w:val="right"/>
              <w:ind w:right="280"/>
              <w:spacing w:after="0"/>
              <w:rPr>
                <w:sz w:val="20"/>
                <w:szCs w:val="20"/>
                <w:color w:val="auto"/>
              </w:rPr>
            </w:pPr>
            <w:r>
              <w:rPr>
                <w:rFonts w:ascii="Arial" w:cs="Arial" w:eastAsia="Arial" w:hAnsi="Arial"/>
                <w:sz w:val="18"/>
                <w:szCs w:val="18"/>
                <w:color w:val="auto"/>
              </w:rPr>
              <w:t>$0.00</w:t>
            </w:r>
          </w:p>
        </w:tc>
        <w:tc>
          <w:tcPr>
            <w:tcW w:w="1800" w:type="dxa"/>
            <w:vAlign w:val="bottom"/>
            <w:shd w:val="clear" w:color="auto" w:fill="FFFF99"/>
          </w:tcPr>
          <w:p>
            <w:pPr>
              <w:jc w:val="right"/>
              <w:ind w:right="290"/>
              <w:spacing w:after="0"/>
              <w:rPr>
                <w:sz w:val="20"/>
                <w:szCs w:val="20"/>
                <w:color w:val="auto"/>
              </w:rPr>
            </w:pPr>
            <w:r>
              <w:rPr>
                <w:rFonts w:ascii="Arial" w:cs="Arial" w:eastAsia="Arial" w:hAnsi="Arial"/>
                <w:sz w:val="18"/>
                <w:szCs w:val="18"/>
                <w:color w:val="3333FF"/>
              </w:rPr>
              <w:t>$0.00</w:t>
            </w:r>
          </w:p>
        </w:tc>
        <w:tc>
          <w:tcPr>
            <w:tcW w:w="1440" w:type="dxa"/>
            <w:vAlign w:val="bottom"/>
            <w:shd w:val="clear" w:color="auto" w:fill="FFFF99"/>
          </w:tcPr>
          <w:p>
            <w:pPr>
              <w:jc w:val="right"/>
              <w:spacing w:after="0"/>
              <w:rPr>
                <w:sz w:val="20"/>
                <w:szCs w:val="20"/>
                <w:color w:val="auto"/>
              </w:rPr>
            </w:pPr>
            <w:r>
              <w:rPr>
                <w:rFonts w:ascii="Arial" w:cs="Arial" w:eastAsia="Arial" w:hAnsi="Arial"/>
                <w:sz w:val="18"/>
                <w:szCs w:val="18"/>
                <w:color w:val="3333FF"/>
              </w:rPr>
              <w:t>$0.00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20" w:type="dxa"/>
            <w:vAlign w:val="bottom"/>
            <w:tcBorders>
              <w:right w:val="single" w:sz="8" w:color="auto"/>
            </w:tcBorders>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Corey W. Manchester,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7"/>
          <w:szCs w:val="17"/>
          <w:color w:val="auto"/>
        </w:rPr>
        <w:t>/s/ COREY W. MANCHESTER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Corey W. Manchester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Corporate Controller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A. Duchemin,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7"/>
          <w:szCs w:val="17"/>
          <w:color w:val="auto"/>
        </w:rPr>
        <w:t>/s/ JEFFREY A. DUCHEMIN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A. Duchemin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9"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September 30, 2018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9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7"/>
          <w:szCs w:val="17"/>
          <w:color w:val="auto"/>
        </w:rPr>
        <w:t>/s/ COREY W. MANCHESTER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Corey W. Manchester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 Corporate Controller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9" w:lineRule="exact"/>
        <w:rPr>
          <w:sz w:val="20"/>
          <w:szCs w:val="20"/>
          <w:color w:val="auto"/>
        </w:rPr>
      </w:pPr>
    </w:p>
    <w:p>
      <w:pPr>
        <w:jc w:val="both"/>
        <w:ind w:right="120"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September 30, 2018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1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7"/>
          <w:szCs w:val="17"/>
          <w:color w:val="auto"/>
        </w:rPr>
        <w:t>/s/ JEFFREY A. DUCHEMIN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Jeffrey A. Duchemin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5"/>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10"/>
    </w:lvl>
  </w:abstractNum>
  <w:abstractNum w:abstractNumId="13">
    <w:nsid w:val="54E49EB4"/>
    <w:multiLevelType w:val="hybridMultilevel"/>
    <w:lvl w:ilvl="0">
      <w:lvlJc w:val="left"/>
      <w:lvlText w:val="%1."/>
      <w:numFmt w:val="decimal"/>
      <w:start w:val="11"/>
    </w:lvl>
  </w:abstractNum>
  <w:abstractNum w:abstractNumId="14">
    <w:nsid w:val="71F32454"/>
    <w:multiLevelType w:val="hybridMultilevel"/>
    <w:lvl w:ilvl="0">
      <w:lvlJc w:val="left"/>
      <w:lvlText w:val="%1."/>
      <w:numFmt w:val="decimal"/>
      <w:start w:val="12"/>
    </w:lvl>
  </w:abstractNum>
  <w:abstractNum w:abstractNumId="15">
    <w:nsid w:val="2CA88611"/>
    <w:multiLevelType w:val="hybridMultilevel"/>
    <w:lvl w:ilvl="0">
      <w:lvlJc w:val="left"/>
      <w:lvlText w:val="%1."/>
      <w:numFmt w:val="decimal"/>
      <w:start w:val="14"/>
    </w:lvl>
  </w:abstractNum>
  <w:abstractNum w:abstractNumId="16">
    <w:nsid w:val="836C40E"/>
    <w:multiLevelType w:val="hybridMultilevel"/>
    <w:lvl w:ilvl="0">
      <w:lvlJc w:val="left"/>
      <w:lvlText w:val="%1."/>
      <w:numFmt w:val="decimal"/>
      <w:start w:val="15"/>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decimal"/>
      <w:start w:val="16"/>
    </w:lvl>
  </w:abstractNum>
  <w:abstractNum w:abstractNumId="19">
    <w:nsid w:val="8138641"/>
    <w:multiLevelType w:val="hybridMultilevel"/>
    <w:lvl w:ilvl="0">
      <w:lvlJc w:val="left"/>
      <w:lvlText w:val="%1."/>
      <w:numFmt w:val="decimal"/>
      <w:start w:val="17"/>
    </w:lvl>
  </w:abstractNum>
  <w:abstractNum w:abstractNumId="20">
    <w:nsid w:val="1E7FF521"/>
    <w:multiLevelType w:val="hybridMultilevel"/>
    <w:lvl w:ilvl="0">
      <w:lvlJc w:val="left"/>
      <w:lvlText w:val="%1."/>
      <w:numFmt w:val="decimal"/>
      <w:start w:val="18"/>
    </w:lvl>
  </w:abstractNum>
  <w:abstractNum w:abstractNumId="21">
    <w:nsid w:val="7C3DBD3D"/>
    <w:multiLevelType w:val="hybridMultilevel"/>
    <w:lvl w:ilvl="0">
      <w:lvlJc w:val="left"/>
      <w:lvlText w:val="Ÿ"/>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lowerLetter"/>
      <w:start w:val="3"/>
    </w:lvl>
  </w:abstractNum>
  <w:abstractNum w:abstractNumId="28">
    <w:nsid w:val="419AC241"/>
    <w:multiLevelType w:val="hybridMultilevel"/>
    <w:lvl w:ilvl="0">
      <w:lvlJc w:val="left"/>
      <w:lvlText w:val="(%1)"/>
      <w:numFmt w:val="lowerLetter"/>
      <w:start w:val="4"/>
    </w:lvl>
  </w:abstractNum>
  <w:abstractNum w:abstractNumId="29">
    <w:nsid w:val="5577F8E1"/>
    <w:multiLevelType w:val="hybridMultilevel"/>
    <w:lvl w:ilvl="0">
      <w:lvlJc w:val="left"/>
      <w:lvlText w:val="(%1)"/>
      <w:numFmt w:val="lowerLetter"/>
      <w:start w:val="5"/>
    </w:lvl>
  </w:abstractNum>
  <w:abstractNum w:abstractNumId="30">
    <w:nsid w:val="440BADFC"/>
    <w:multiLevelType w:val="hybridMultilevel"/>
    <w:lvl w:ilvl="0">
      <w:lvlJc w:val="left"/>
      <w:lvlText w:val="(%1)"/>
      <w:numFmt w:val="lowerLetter"/>
      <w:start w:val="6"/>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6"/>
    </w:lvl>
  </w:abstractNum>
  <w:abstractNum w:abstractNumId="36">
    <w:nsid w:val="2463B9EA"/>
    <w:multiLevelType w:val="hybridMultilevel"/>
    <w:lvl w:ilvl="0">
      <w:lvlJc w:val="left"/>
      <w:lvlText w:val="%1."/>
      <w:numFmt w:val="decimal"/>
      <w:start w:val="7"/>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2019-12-28T18:37:09Z</dcterms:created>
  <dcterms:modified xsi:type="dcterms:W3CDTF">2019-12-28T18:37:09Z</dcterms:modified>
</cp:coreProperties>
</file>