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 WASHINGTON, DC 20549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406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4074795</wp:posOffset>
            </wp:positionH>
            <wp:positionV relativeFrom="paragraph">
              <wp:posOffset>-5715</wp:posOffset>
            </wp:positionV>
            <wp:extent cx="492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2789555</wp:posOffset>
            </wp:positionH>
            <wp:positionV relativeFrom="paragraph">
              <wp:posOffset>141605</wp:posOffset>
            </wp:positionV>
            <wp:extent cx="1563370" cy="709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3370" cy="709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2" w:right="339" w:bottom="1440" w:gutter="0" w:footer="0" w:header="0"/>
        </w:sectPr>
      </w:pPr>
    </w:p>
    <w:p>
      <w:pPr>
        <w:spacing w:after="0" w:line="20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682" w:right="339" w:bottom="1440" w:gutter="0" w:footer="0" w:header="0"/>
          <w:type w:val="continuous"/>
        </w:sectPr>
      </w:pP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Times New Roman" w:cs="Times New Roman" w:eastAsia="Times New Roman" w:hAnsi="Times New Roman"/>
          <w:sz w:val="18"/>
          <w:szCs w:val="18"/>
          <w:color w:val="auto"/>
        </w:rPr>
        <w:t>:</w:t>
      </w:r>
    </w:p>
    <w:p>
      <w:pPr>
        <w:spacing w:after="0" w:line="226"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4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9"/>
        </w:trPr>
        <w:tc>
          <w:tcPr>
            <w:tcW w:w="43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25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HBIO</w:t>
            </w:r>
          </w:p>
        </w:tc>
        <w:tc>
          <w:tcPr>
            <w:tcW w:w="43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4" w:lineRule="exact"/>
        <w:rPr>
          <w:sz w:val="24"/>
          <w:szCs w:val="24"/>
          <w:color w:val="auto"/>
        </w:rPr>
      </w:pPr>
    </w:p>
    <w:p>
      <w:pPr>
        <w:ind w:right="34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2"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0" w:lineRule="exact"/>
        <w:rPr>
          <w:sz w:val="24"/>
          <w:szCs w:val="24"/>
          <w:color w:val="auto"/>
        </w:rPr>
      </w:pPr>
    </w:p>
    <w:p>
      <w:pPr>
        <w:sectPr>
          <w:pgSz w:w="11900" w:h="16838" w:orient="portrait"/>
          <w:cols w:equalWidth="0" w:num="2">
            <w:col w:w="4880" w:space="720"/>
            <w:col w:w="5640"/>
          </w:cols>
          <w:pgMar w:left="320" w:top="682" w:right="339" w:bottom="1440" w:gutter="0" w:footer="0" w:header="0"/>
          <w:type w:val="continuous"/>
        </w:sectPr>
      </w:pPr>
    </w:p>
    <w:p>
      <w:pPr>
        <w:spacing w:after="0" w:line="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2025, there were 44,213,746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93"/>
        </w:trPr>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6"/>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gridSpan w:val="5"/>
          </w:tcPr>
          <w:p>
            <w:pPr>
              <w:ind w:left="17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0"/>
        </w:trPr>
        <w:tc>
          <w:tcPr>
            <w:tcW w:w="29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PART I - FINANCIAL INFORMATION</w:t>
            </w:r>
          </w:p>
        </w:tc>
        <w:tc>
          <w:tcPr>
            <w:tcW w:w="5920" w:type="dxa"/>
            <w:vAlign w:val="bottom"/>
            <w:gridSpan w:val="11"/>
          </w:tcPr>
          <w:p>
            <w:pPr>
              <w:spacing w:after="0"/>
              <w:rPr>
                <w:sz w:val="24"/>
                <w:szCs w:val="24"/>
                <w:color w:val="auto"/>
              </w:rPr>
            </w:pPr>
          </w:p>
        </w:tc>
        <w:tc>
          <w:tcPr>
            <w:tcW w:w="18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50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1.  Condensed Consolidated Financial Statements (unaudited)</w:t>
            </w:r>
          </w:p>
        </w:tc>
        <w:tc>
          <w:tcPr>
            <w:tcW w:w="3820" w:type="dxa"/>
            <w:vAlign w:val="bottom"/>
            <w:gridSpan w:val="3"/>
          </w:tcPr>
          <w:p>
            <w:pPr>
              <w:spacing w:after="0"/>
              <w:rPr>
                <w:sz w:val="24"/>
                <w:szCs w:val="24"/>
                <w:color w:val="auto"/>
              </w:rPr>
            </w:pPr>
          </w:p>
        </w:tc>
        <w:tc>
          <w:tcPr>
            <w:tcW w:w="18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Consolidated Balance Sheets</w:t>
            </w:r>
          </w:p>
        </w:tc>
        <w:tc>
          <w:tcPr>
            <w:tcW w:w="5960" w:type="dxa"/>
            <w:vAlign w:val="bottom"/>
            <w:gridSpan w:val="12"/>
          </w:tcPr>
          <w:p>
            <w:pPr>
              <w:spacing w:after="0"/>
              <w:rPr>
                <w:sz w:val="24"/>
                <w:szCs w:val="24"/>
                <w:color w:val="auto"/>
              </w:rPr>
            </w:pPr>
          </w:p>
        </w:tc>
        <w:tc>
          <w:tcPr>
            <w:tcW w:w="18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Consolidated Statements of Operations</w:t>
            </w:r>
          </w:p>
        </w:tc>
        <w:tc>
          <w:tcPr>
            <w:tcW w:w="5240" w:type="dxa"/>
            <w:vAlign w:val="bottom"/>
            <w:gridSpan w:val="9"/>
          </w:tcPr>
          <w:p>
            <w:pPr>
              <w:spacing w:after="0"/>
              <w:rPr>
                <w:sz w:val="24"/>
                <w:szCs w:val="24"/>
                <w:color w:val="auto"/>
              </w:rPr>
            </w:pPr>
          </w:p>
        </w:tc>
        <w:tc>
          <w:tcPr>
            <w:tcW w:w="18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1980" w:type="dxa"/>
            <w:vAlign w:val="bottom"/>
            <w:gridSpan w:val="4"/>
          </w:tcPr>
          <w:p>
            <w:pPr>
              <w:jc w:val="center"/>
              <w:ind w:left="1710"/>
              <w:spacing w:after="0"/>
              <w:rPr>
                <w:sz w:val="20"/>
                <w:szCs w:val="20"/>
                <w:color w:val="auto"/>
              </w:rPr>
            </w:pPr>
            <w:r>
              <w:rPr>
                <w:rFonts w:ascii="Times New Roman" w:cs="Times New Roman" w:eastAsia="Times New Roman" w:hAnsi="Times New Roman"/>
                <w:sz w:val="18"/>
                <w:szCs w:val="18"/>
                <w:color w:val="0000EE"/>
              </w:rPr>
              <w:t>3</w:t>
            </w:r>
          </w:p>
        </w:tc>
        <w:tc>
          <w:tcPr>
            <w:tcW w:w="4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4520" w:type="dxa"/>
            <w:vAlign w:val="bottom"/>
            <w:gridSpan w:val="6"/>
          </w:tcPr>
          <w:p>
            <w:pPr>
              <w:spacing w:after="0"/>
              <w:rPr>
                <w:sz w:val="24"/>
                <w:szCs w:val="24"/>
                <w:color w:val="auto"/>
              </w:rPr>
            </w:pPr>
          </w:p>
        </w:tc>
        <w:tc>
          <w:tcPr>
            <w:tcW w:w="1840" w:type="dxa"/>
            <w:vAlign w:val="bottom"/>
            <w:gridSpan w:val="2"/>
          </w:tcPr>
          <w:p>
            <w:pPr>
              <w:spacing w:after="0"/>
              <w:rPr>
                <w:sz w:val="24"/>
                <w:szCs w:val="24"/>
                <w:color w:val="auto"/>
              </w:rPr>
            </w:pPr>
          </w:p>
        </w:tc>
        <w:tc>
          <w:tcPr>
            <w:tcW w:w="10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640" w:type="dxa"/>
            <w:vAlign w:val="bottom"/>
            <w:tcBorders>
              <w:top w:val="single" w:sz="8" w:color="0000EE"/>
            </w:tcBorders>
          </w:tcPr>
          <w:p>
            <w:pPr>
              <w:spacing w:after="0"/>
              <w:rPr>
                <w:sz w:val="24"/>
                <w:szCs w:val="24"/>
                <w:color w:val="auto"/>
              </w:rPr>
            </w:pPr>
          </w:p>
        </w:tc>
        <w:tc>
          <w:tcPr>
            <w:tcW w:w="4540" w:type="dxa"/>
            <w:vAlign w:val="bottom"/>
            <w:gridSpan w:val="7"/>
          </w:tcPr>
          <w:p>
            <w:pPr>
              <w:spacing w:after="0"/>
              <w:rPr>
                <w:sz w:val="24"/>
                <w:szCs w:val="24"/>
                <w:color w:val="auto"/>
              </w:rPr>
            </w:pPr>
          </w:p>
        </w:tc>
        <w:tc>
          <w:tcPr>
            <w:tcW w:w="184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1980" w:type="dxa"/>
            <w:vAlign w:val="bottom"/>
            <w:gridSpan w:val="4"/>
          </w:tcPr>
          <w:p>
            <w:pPr>
              <w:jc w:val="center"/>
              <w:ind w:left="1710"/>
              <w:spacing w:after="0"/>
              <w:rPr>
                <w:sz w:val="20"/>
                <w:szCs w:val="20"/>
                <w:color w:val="auto"/>
              </w:rPr>
            </w:pPr>
            <w:r>
              <w:rPr>
                <w:rFonts w:ascii="Times New Roman" w:cs="Times New Roman" w:eastAsia="Times New Roman" w:hAnsi="Times New Roman"/>
                <w:sz w:val="18"/>
                <w:szCs w:val="18"/>
                <w:color w:val="0000EE"/>
              </w:rPr>
              <w:t>6</w:t>
            </w:r>
          </w:p>
        </w:tc>
        <w:tc>
          <w:tcPr>
            <w:tcW w:w="400" w:type="dxa"/>
            <w:vAlign w:val="bottom"/>
          </w:tcPr>
          <w:p>
            <w:pPr>
              <w:spacing w:after="0"/>
              <w:rPr>
                <w:sz w:val="24"/>
                <w:szCs w:val="24"/>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71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680" w:type="dxa"/>
            <w:vAlign w:val="bottom"/>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18</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50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14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2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2540" w:type="dxa"/>
            <w:vAlign w:val="bottom"/>
            <w:gridSpan w:val="11"/>
          </w:tcPr>
          <w:p>
            <w:pPr>
              <w:spacing w:after="0"/>
              <w:rPr>
                <w:sz w:val="24"/>
                <w:szCs w:val="24"/>
                <w:color w:val="auto"/>
              </w:rPr>
            </w:pPr>
          </w:p>
        </w:tc>
        <w:tc>
          <w:tcPr>
            <w:tcW w:w="3820" w:type="dxa"/>
            <w:vAlign w:val="bottom"/>
            <w:gridSpan w:val="3"/>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88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1.</w:t>
            </w:r>
          </w:p>
        </w:tc>
        <w:tc>
          <w:tcPr>
            <w:tcW w:w="18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120" w:type="dxa"/>
            <w:vAlign w:val="bottom"/>
          </w:tcPr>
          <w:p>
            <w:pPr>
              <w:spacing w:after="0"/>
              <w:rPr>
                <w:sz w:val="24"/>
                <w:szCs w:val="24"/>
                <w:color w:val="auto"/>
              </w:rPr>
            </w:pPr>
          </w:p>
        </w:tc>
        <w:tc>
          <w:tcPr>
            <w:tcW w:w="6240" w:type="dxa"/>
            <w:vAlign w:val="bottom"/>
            <w:gridSpan w:val="13"/>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Item1A.</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0000EE"/>
                <w:w w:val="97"/>
              </w:rPr>
              <w:t>Risk Factors</w:t>
            </w:r>
          </w:p>
        </w:tc>
        <w:tc>
          <w:tcPr>
            <w:tcW w:w="860" w:type="dxa"/>
            <w:vAlign w:val="bottom"/>
            <w:gridSpan w:val="3"/>
          </w:tcPr>
          <w:p>
            <w:pPr>
              <w:spacing w:after="0"/>
              <w:rPr>
                <w:sz w:val="24"/>
                <w:szCs w:val="24"/>
                <w:color w:val="auto"/>
              </w:rPr>
            </w:pPr>
          </w:p>
        </w:tc>
        <w:tc>
          <w:tcPr>
            <w:tcW w:w="6360" w:type="dxa"/>
            <w:vAlign w:val="bottom"/>
            <w:gridSpan w:val="14"/>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5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740" w:type="dxa"/>
            <w:vAlign w:val="bottom"/>
            <w:gridSpan w:val="2"/>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2060" w:type="dxa"/>
            <w:vAlign w:val="bottom"/>
            <w:gridSpan w:val="8"/>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30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060" w:type="dxa"/>
            <w:vAlign w:val="bottom"/>
            <w:gridSpan w:val="8"/>
          </w:tcPr>
          <w:p>
            <w:pPr>
              <w:spacing w:after="0"/>
              <w:rPr>
                <w:sz w:val="24"/>
                <w:szCs w:val="24"/>
                <w:color w:val="auto"/>
              </w:rPr>
            </w:pPr>
          </w:p>
        </w:tc>
        <w:tc>
          <w:tcPr>
            <w:tcW w:w="3740" w:type="dxa"/>
            <w:vAlign w:val="bottom"/>
            <w:gridSpan w:val="2"/>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30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800" w:type="dxa"/>
            <w:vAlign w:val="bottom"/>
            <w:gridSpan w:val="10"/>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60" w:type="dxa"/>
            <w:vAlign w:val="bottom"/>
            <w:gridSpan w:val="1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184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6360" w:type="dxa"/>
            <w:vAlign w:val="bottom"/>
            <w:gridSpan w:val="14"/>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820" w:type="dxa"/>
            <w:vAlign w:val="bottom"/>
            <w:gridSpan w:val="1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6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gridSpan w:val="2"/>
          </w:tcPr>
          <w:p>
            <w:pPr>
              <w:spacing w:after="0"/>
              <w:rPr>
                <w:sz w:val="24"/>
                <w:szCs w:val="24"/>
                <w:color w:val="auto"/>
              </w:rPr>
            </w:pPr>
          </w:p>
        </w:tc>
        <w:tc>
          <w:tcPr>
            <w:tcW w:w="6820" w:type="dxa"/>
            <w:vAlign w:val="bottom"/>
            <w:gridSpan w:val="16"/>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520" w:type="dxa"/>
            <w:vAlign w:val="bottom"/>
            <w:gridSpan w:val="1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0"/>
        </w:trPr>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520" w:type="dxa"/>
            <w:vAlign w:val="bottom"/>
            <w:gridSpan w:val="18"/>
          </w:tcPr>
          <w:p>
            <w:pPr>
              <w:spacing w:after="0"/>
              <w:rPr>
                <w:sz w:val="24"/>
                <w:szCs w:val="24"/>
                <w:color w:val="auto"/>
              </w:rPr>
            </w:pPr>
          </w:p>
        </w:tc>
        <w:tc>
          <w:tcPr>
            <w:tcW w:w="2380" w:type="dxa"/>
            <w:vAlign w:val="bottom"/>
            <w:gridSpan w:val="5"/>
          </w:tcPr>
          <w:p>
            <w:pPr>
              <w:jc w:val="center"/>
              <w:ind w:left="1310"/>
              <w:spacing w:after="0"/>
              <w:rPr>
                <w:sz w:val="20"/>
                <w:szCs w:val="20"/>
                <w:color w:val="auto"/>
              </w:rPr>
            </w:pPr>
            <w:r>
              <w:rPr>
                <w:rFonts w:ascii="Times New Roman" w:cs="Times New Roman" w:eastAsia="Times New Roman" w:hAnsi="Times New Roman"/>
                <w:sz w:val="18"/>
                <w:szCs w:val="18"/>
                <w:color w:val="0000EE"/>
                <w:w w:val="99"/>
              </w:rPr>
              <w:t>26</w:t>
            </w:r>
          </w:p>
        </w:tc>
      </w:tr>
      <w:tr>
        <w:trPr>
          <w:trHeight w:val="1023"/>
        </w:trPr>
        <w:tc>
          <w:tcPr>
            <w:tcW w:w="6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3"/>
              </w:rPr>
              <w:t>Assets</w:t>
            </w:r>
          </w:p>
        </w:tc>
        <w:tc>
          <w:tcPr>
            <w:tcW w:w="6160" w:type="dxa"/>
            <w:vAlign w:val="bottom"/>
            <w:tcBorders>
              <w:bottom w:val="single" w:sz="8" w:color="CCEEFF"/>
            </w:tcBorders>
            <w:gridSpan w:val="2"/>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126,644</w:t>
            </w:r>
          </w:p>
        </w:tc>
        <w:tc>
          <w:tcPr>
            <w:tcW w:w="0" w:type="dxa"/>
            <w:vAlign w:val="bottom"/>
          </w:tcPr>
          <w:p>
            <w:pPr>
              <w:spacing w:after="0"/>
              <w:rPr>
                <w:sz w:val="1"/>
                <w:szCs w:val="1"/>
                <w:color w:val="auto"/>
              </w:rPr>
            </w:pPr>
          </w:p>
        </w:tc>
      </w:tr>
      <w:tr>
        <w:trPr>
          <w:trHeight w:val="20"/>
        </w:trPr>
        <w:tc>
          <w:tcPr>
            <w:tcW w:w="6640" w:type="dxa"/>
            <w:vAlign w:val="bottom"/>
            <w:gridSpan w:val="4"/>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gridSpan w:val="4"/>
            <w:vMerge w:val="continue"/>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Note 13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gridSpan w:val="3"/>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44,213,746 shares issued and outstanding at March 31, 2025;</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44,074,475 shares issued and outstanding at December 31, 2024</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5940" w:type="dxa"/>
            <w:vAlign w:val="bottom"/>
            <w:gridSpan w:val="2"/>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940" w:type="dxa"/>
            <w:vAlign w:val="bottom"/>
            <w:gridSpan w:val="2"/>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940" w:type="dxa"/>
            <w:vAlign w:val="bottom"/>
            <w:gridSpan w:val="2"/>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data)</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9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0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50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 - Note 4</w:t>
            </w: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operating expenses - Note 1</w:t>
            </w:r>
          </w:p>
        </w:tc>
        <w:tc>
          <w:tcPr>
            <w:tcW w:w="50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17,051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0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(49,668)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equity securities - Note 6</w:t>
            </w: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50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50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(50,794)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0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0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(50,340)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5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594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2"/>
                <w:szCs w:val="22"/>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 and diluted</w:t>
            </w:r>
          </w:p>
        </w:tc>
        <w:tc>
          <w:tcPr>
            <w:tcW w:w="50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COMPREHENSIVE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2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tcBorders>
              <w:bottom w:val="single" w:sz="8" w:color="auto"/>
            </w:tcBorders>
            <w:gridSpan w:val="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(50,340)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 qualifying as cash flow hedges, net of tax of $-0-</w:t>
            </w:r>
          </w:p>
        </w:tc>
        <w:tc>
          <w:tcPr>
            <w:tcW w:w="5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9"/>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40" w:type="dxa"/>
            <w:vAlign w:val="bottom"/>
          </w:tcPr>
          <w:p>
            <w:pPr>
              <w:spacing w:after="0"/>
              <w:rPr>
                <w:sz w:val="18"/>
                <w:szCs w:val="18"/>
                <w:color w:val="auto"/>
              </w:rPr>
            </w:pPr>
          </w:p>
        </w:tc>
        <w:tc>
          <w:tcPr>
            <w:tcW w:w="9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(49,031)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71"/>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00" w:type="dxa"/>
            <w:vAlign w:val="bottom"/>
            <w:gridSpan w:val="8"/>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7640" w:type="dxa"/>
            <w:vAlign w:val="bottom"/>
            <w:gridSpan w:val="1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STOCKHOLDERS'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5"/>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20" w:type="dxa"/>
            <w:vAlign w:val="bottom"/>
          </w:tcPr>
          <w:p>
            <w:pPr>
              <w:spacing w:after="0"/>
              <w:rPr>
                <w:sz w:val="18"/>
                <w:szCs w:val="18"/>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0"/>
                <w:szCs w:val="20"/>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63,340</w:t>
            </w:r>
          </w:p>
        </w:tc>
      </w:tr>
      <w:tr>
        <w:trPr>
          <w:trHeight w:val="215"/>
        </w:trPr>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5"/>
        </w:trPr>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5"/>
        </w:trPr>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r>
      <w:tr>
        <w:trPr>
          <w:trHeight w:val="215"/>
        </w:trPr>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(50,340)</w:t>
            </w:r>
          </w:p>
        </w:tc>
      </w:tr>
      <w:tr>
        <w:trPr>
          <w:trHeight w:val="229"/>
        </w:trPr>
        <w:tc>
          <w:tcPr>
            <w:tcW w:w="3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w:t>
            </w:r>
          </w:p>
        </w:tc>
      </w:tr>
      <w:tr>
        <w:trPr>
          <w:trHeight w:val="209"/>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237,104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14,835</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5"/>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5"/>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18"/>
                <w:szCs w:val="18"/>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r>
      <w:tr>
        <w:trPr>
          <w:trHeight w:val="215"/>
        </w:trPr>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option exercises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5"/>
        </w:trPr>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5"/>
        </w:trPr>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r>
      <w:tr>
        <w:trPr>
          <w:trHeight w:val="215"/>
        </w:trPr>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15"/>
        </w:trPr>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233,451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(150,299)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68,812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1"/>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764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28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(50,340)</w:t>
            </w:r>
          </w:p>
        </w:tc>
        <w:tc>
          <w:tcPr>
            <w:tcW w:w="1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15"/>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r>
      <w:tr>
        <w:trPr>
          <w:trHeight w:val="215"/>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w:t>
            </w: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Goodwill impairment - Note 4</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r>
      <w:tr>
        <w:trPr>
          <w:trHeight w:val="215"/>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equity securities - Note 6</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w:t>
            </w:r>
          </w:p>
        </w:tc>
      </w:tr>
      <w:tr>
        <w:trPr>
          <w:trHeight w:val="215"/>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r>
      <w:tr>
        <w:trPr>
          <w:trHeight w:val="215"/>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5"/>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5"/>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w:t>
            </w:r>
          </w:p>
        </w:tc>
      </w:tr>
      <w:tr>
        <w:trPr>
          <w:trHeight w:val="229"/>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9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09"/>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Borrowing from revolving line of credit</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15"/>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15"/>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5"/>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4,283</w:t>
            </w:r>
          </w:p>
        </w:tc>
      </w:tr>
      <w:tr>
        <w:trPr>
          <w:trHeight w:val="24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4,255</w:t>
            </w:r>
          </w:p>
        </w:tc>
      </w:tr>
      <w:tr>
        <w:trPr>
          <w:trHeight w:val="196"/>
        </w:trPr>
        <w:tc>
          <w:tcPr>
            <w:tcW w:w="80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5"/>
        </w:trPr>
        <w:tc>
          <w:tcPr>
            <w:tcW w:w="80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r>
      <w:tr>
        <w:trPr>
          <w:trHeight w:val="196"/>
        </w:trPr>
        <w:tc>
          <w:tcPr>
            <w:tcW w:w="8000" w:type="dxa"/>
            <w:vAlign w:val="bottom"/>
            <w:tcBorders>
              <w:bottom w:val="single" w:sz="8" w:color="CCEEFF"/>
            </w:tcBorders>
            <w:gridSpan w:val="2"/>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66" w:lineRule="exact"/>
        <w:rPr>
          <w:sz w:val="20"/>
          <w:szCs w:val="20"/>
          <w:color w:val="auto"/>
        </w:rPr>
      </w:pPr>
    </w:p>
    <w:p>
      <w:pPr>
        <w:ind w:left="500" w:right="5400" w:hanging="492"/>
        <w:spacing w:after="0" w:line="530" w:lineRule="auto"/>
        <w:tabs>
          <w:tab w:leader="none" w:pos="5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Summary of Significant Accounting Policies </w:t>
      </w:r>
      <w:r>
        <w:rPr>
          <w:rFonts w:ascii="Times New Roman" w:cs="Times New Roman" w:eastAsia="Times New Roman" w:hAnsi="Times New Roman"/>
          <w:sz w:val="17"/>
          <w:szCs w:val="17"/>
          <w:i w:val="1"/>
          <w:iCs w:val="1"/>
          <w:color w:val="auto"/>
        </w:rPr>
        <w:t>Basis of Presentation and Summary of Significant Accounting Policies</w:t>
      </w:r>
    </w:p>
    <w:p>
      <w:pPr>
        <w:spacing w:after="0" w:line="2"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of Harvard Bioscience, Inc. and its wholly-owned subsidiaries (collectively, the “Company”) as of March 31, 2025 and for the three months ended March 31, 2025 and 2024,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2024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2024.</w:t>
      </w:r>
    </w:p>
    <w:p>
      <w:pPr>
        <w:spacing w:after="0" w:line="18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financial position as of March 31, 2025, results of operations and comprehensive loss for the three months ended March 31, 2025 and 2024, and cash flows for the three months ended March 31, 2025 and 2024, as applicable, have been made. The results of operations for the three months ended March 31, 2025, are not necessarily indicative of the anticipated operating results for the full year ending December 31, 2025, or any future periods.</w:t>
      </w:r>
    </w:p>
    <w:p>
      <w:pPr>
        <w:spacing w:after="0" w:line="183" w:lineRule="exact"/>
        <w:rPr>
          <w:sz w:val="20"/>
          <w:szCs w:val="20"/>
          <w:color w:val="auto"/>
        </w:rPr>
      </w:pPr>
    </w:p>
    <w:p>
      <w:pPr>
        <w:jc w:val="both"/>
        <w:ind w:right="20" w:firstLine="484"/>
        <w:spacing w:after="0" w:line="265" w:lineRule="auto"/>
        <w:rPr>
          <w:sz w:val="20"/>
          <w:szCs w:val="20"/>
          <w:color w:val="auto"/>
        </w:rPr>
      </w:pPr>
      <w:r>
        <w:rPr>
          <w:rFonts w:ascii="Times New Roman" w:cs="Times New Roman" w:eastAsia="Times New Roman" w:hAnsi="Times New Roman"/>
          <w:sz w:val="18"/>
          <w:szCs w:val="18"/>
          <w:color w:val="auto"/>
        </w:rPr>
        <w:t>The accounting policies underlying the accompanying unaudited consolidated financial statements are set forth in Note 2 to the consolidated financial statements included in the Company’s Annual Report on Form 10-K for the year ended December 31, 2024. There have been no material changes in the Company’s significant accounting policies during the three months ended March 31, 2025.</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unaudited consolidated financial statements for the quarter ended March 31, 2025, have been prepared assuming that the Company will continue as a going concern. A going-concern basis assumes that the Company will continue its operations for the foreseeable future and contemplates the realization of assets and the settlement of liabilities in the normal course of business. As noted below, there is substantial doubt about the Company’s ability to continue as a going concern.</w:t>
      </w:r>
    </w:p>
    <w:p>
      <w:pPr>
        <w:spacing w:after="0" w:line="183"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As of March 31, 2025, there was indebtedness of $36.4 million outstanding under the Company's term loan and senior revolving credit facility (collectively, the “Credit Agreement”). On March 10, 2025, the Company entered into an amendment to the Credit Agreement (the “March 2025 Amendment”). The March 2025 Amendment provides, among other things, that the Company's failure to achieve certain refinancing milestones (individually and collectively, the “</w:t>
      </w:r>
      <w:r>
        <w:rPr>
          <w:rFonts w:ascii="Times New Roman" w:cs="Times New Roman" w:eastAsia="Times New Roman" w:hAnsi="Times New Roman"/>
          <w:sz w:val="18"/>
          <w:szCs w:val="18"/>
          <w:u w:val="single" w:color="auto"/>
          <w:color w:val="auto"/>
        </w:rPr>
        <w:t>Refinancing Milestones</w:t>
      </w:r>
      <w:r>
        <w:rPr>
          <w:rFonts w:ascii="Times New Roman" w:cs="Times New Roman" w:eastAsia="Times New Roman" w:hAnsi="Times New Roman"/>
          <w:sz w:val="18"/>
          <w:szCs w:val="18"/>
          <w:color w:val="auto"/>
        </w:rPr>
        <w:t>”), including receipt of a term sheet or commitment letter from one or more potential lenders, by the dates provided in the March 2025 Amendment or the Company's failure to consummate a refinancing of the debt underlying the Credit Agreement (the “Refinancing”) by June 30, 2025, would, in either case, constitute an event of default under the Credit Agreement. In such event, in addition to other actions the lenders may require, the amounts outstanding under the Credit Agreement may become immediately due and payable. As of May 12, 2025, the Company was in compliance with the Refinancing Milestones applicable as of such date.</w:t>
      </w:r>
    </w:p>
    <w:p>
      <w:pPr>
        <w:spacing w:after="0" w:line="18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is exploring alternative sources of capital that would allow it to refinance the outstanding indebtedness by June 30, 2025, in order to avoid default under the Credit Agreement, but its ability to access such other sources of capital is uncertain. There is no assurance that such capital will be available, be obtainable on commercially acceptable terms, or provide the Company with sufficient funds to meet its objectives. Based on its anticipated cash flows from operations, unless the Company is able to access other sources of capital or extend the date for repayment under the Credit Agreement, the Company will be unable to pay its debt obligations and fund its operations for at least twelve months from the date of issuance of the unaudited consolidated financial statements contained in this Quarterly Report on Form 10-Q. As a result, there is substantial doubt about the Company's ability to continue as a going concern.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lower of cost or net realizable value, stock-based compensation expense, and the recoverability of long-lived and intangible assets, including goodwill. On an ongoing basis, the Company assesses its previous estimates based upon currently available information. Actual results could differ materially from those estimates.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operating expenses for the three months ended March 31, 2025 and 2024 were as follows: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retention tax credit fees (see Note 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Unclaimed property audits expense (see Note 13)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 (see Note 14)</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Yet to Be Adopted</w:t>
      </w:r>
    </w:p>
    <w:p>
      <w:pPr>
        <w:spacing w:after="0" w:line="223"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which enhances disclosures related to the effective tax rate reconciliation, income taxes paid, as well as other disclosures. The new standard impacts footnote disclosures and is effective for the Company’s annual financial statements for the year ending December 31, 2025. The Company is currently evaluating the impact that adopting ASU No. 2023-09 will have on the footnote disclosures in its consolidated financial statements.</w:t>
      </w:r>
    </w:p>
    <w:p>
      <w:pPr>
        <w:spacing w:after="0" w:line="179" w:lineRule="exact"/>
        <w:rPr>
          <w:sz w:val="20"/>
          <w:szCs w:val="20"/>
          <w:color w:val="auto"/>
        </w:rPr>
      </w:pPr>
    </w:p>
    <w:p>
      <w:pPr>
        <w:jc w:val="both"/>
        <w:ind w:firstLine="48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(Subtopic 220-40): 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which requires enhanced disclosure of income statement expense categories to improve transparency and provide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users with more detailed information about the nature, amount and timing of expenses impacting financial performance. This new guidance is effective for annual reporting periods beginning after December 15, 2026, and interim reporting periods beginning after December 15, 2027, with early adoption permitted. The Company is currently evaluating the impact that adopting ASU No. 2024-03 will have on the footnote disclosures in its consolidated financial statements.</w:t>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 average number of shares of common stock outstanding during the periods presented. The computation of diluted earnings (loss) per share is similar to the computation of basic earnings per share, except that the denominator is increased for the assumed exercise of dilutive options and other potentially dilutive securities using the treasury stock method unless the effect is antidilutive. The following table summarizes the calculation of basic and diluted net loss per share of common stock: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180" w:type="dxa"/>
            <w:vAlign w:val="bottom"/>
            <w:tcBorders>
              <w:bottom w:val="single" w:sz="8" w:color="CCEEFF"/>
            </w:tcBorders>
            <w:vMerge w:val="continue"/>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1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44,096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43,402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20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0" w:type="dxa"/>
            <w:vAlign w:val="bottom"/>
          </w:tcPr>
          <w:p>
            <w:pPr>
              <w:spacing w:after="0"/>
              <w:rPr>
                <w:sz w:val="22"/>
                <w:szCs w:val="22"/>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43,402</w:t>
            </w: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1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loss per share</w:t>
            </w: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(0.11)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0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Pr>
          <w:p>
            <w:pPr>
              <w:spacing w:after="0"/>
              <w:rPr>
                <w:sz w:val="20"/>
                <w:szCs w:val="20"/>
                <w:color w:val="auto"/>
              </w:rPr>
            </w:pPr>
          </w:p>
        </w:tc>
        <w:tc>
          <w:tcPr>
            <w:tcW w:w="4180" w:type="dxa"/>
            <w:vAlign w:val="bottom"/>
            <w:tcBorders>
              <w:bottom w:val="single" w:sz="8" w:color="CCEEFF"/>
            </w:tcBorders>
            <w:vMerge w:val="continue"/>
          </w:tcPr>
          <w:p>
            <w:pPr>
              <w:spacing w:after="0"/>
              <w:rPr>
                <w:sz w:val="20"/>
                <w:szCs w:val="20"/>
                <w:color w:val="auto"/>
              </w:rPr>
            </w:pPr>
          </w:p>
        </w:tc>
        <w:tc>
          <w:tcPr>
            <w:tcW w:w="20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(0.11)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excluded from diluted loss per share</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due to their anti-dilutive effect</w:t>
            </w:r>
          </w:p>
        </w:tc>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2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7" w:lineRule="exact"/>
        <w:rPr>
          <w:rFonts w:ascii="Times New Roman" w:cs="Times New Roman" w:eastAsia="Times New Roman" w:hAnsi="Times New Roman"/>
          <w:sz w:val="18"/>
          <w:szCs w:val="18"/>
          <w:b w:val="1"/>
          <w:bCs w:val="1"/>
          <w:color w:val="auto"/>
        </w:rPr>
      </w:pPr>
    </w:p>
    <w:p>
      <w:pPr>
        <w:ind w:left="500" w:right="440"/>
        <w:spacing w:after="0" w:line="4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represent a disaggregation of revenues from contracts with customers for the three months ended March 31, 2025 and 2024: Revenues by type were as follows: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timing of recognition were as follows:</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23,743</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geographic destination were as follows:</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Americas - Other</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 - Other</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contract liabilities as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Installation and training</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contract liabilities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service, maintenance and warranty contracts</w:t>
            </w: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100" w:firstLine="484"/>
        <w:spacing w:after="0" w:line="259" w:lineRule="auto"/>
        <w:rPr>
          <w:sz w:val="20"/>
          <w:szCs w:val="20"/>
          <w:color w:val="auto"/>
        </w:rPr>
      </w:pPr>
      <w:r>
        <w:rPr>
          <w:rFonts w:ascii="Times New Roman" w:cs="Times New Roman" w:eastAsia="Times New Roman" w:hAnsi="Times New Roman"/>
          <w:sz w:val="18"/>
          <w:szCs w:val="18"/>
          <w:color w:val="auto"/>
        </w:rPr>
        <w:t>Changes in the Company’s contract liabilities are primarily due to the timing of receipt of payments under service, maintenance and warranty contracts and lower sales volumes. Additionally, customer advances have decreased due to the recognition of amounts under the exchange program. During the three months ended March 31, 2025 and 2024, the Company recognized revenues of $1.7 million and $1.6 million from contract liabilities existing at December 31, 2024 and 2023,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represents the Company's remaining performance obligations from contracts that are recognized over time as of March 31, 2025:</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1"/>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2029</w:t>
            </w:r>
          </w:p>
        </w:tc>
        <w:tc>
          <w:tcPr>
            <w:tcW w:w="12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8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Service, maintenance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43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remainder of the year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Provision for Expected Credit Losses on Receivables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Activity in the provision for expected credit losses on receivables was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0"/>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Charge-offs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88"/>
              </w:rPr>
              <w:t>241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5" w:lineRule="exact"/>
        <w:rPr>
          <w:sz w:val="20"/>
          <w:szCs w:val="20"/>
          <w:color w:val="auto"/>
        </w:rPr>
      </w:pPr>
    </w:p>
    <w:p>
      <w:pPr>
        <w:ind w:right="120" w:firstLine="484"/>
        <w:spacing w:after="0" w:line="280" w:lineRule="auto"/>
        <w:rPr>
          <w:sz w:val="20"/>
          <w:szCs w:val="20"/>
          <w:color w:val="auto"/>
        </w:rPr>
      </w:pPr>
      <w:r>
        <w:rPr>
          <w:rFonts w:ascii="Times New Roman" w:cs="Times New Roman" w:eastAsia="Times New Roman" w:hAnsi="Times New Roman"/>
          <w:sz w:val="18"/>
          <w:szCs w:val="18"/>
          <w:color w:val="auto"/>
        </w:rPr>
        <w:t>No customer accounted for more than 10% of revenues for the three months ended March 31, 2025 and 2024. At March 31, 2025 and December 31, 2024, no customer accounted for more than 10% of net accounts receivable.</w:t>
      </w:r>
    </w:p>
    <w:p>
      <w:pPr>
        <w:spacing w:after="0" w:line="161"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Warranties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Activity in the product warranties accrual was as follows: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5"/>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warranties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claims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Long-Lived Assets</w:t>
      </w:r>
    </w:p>
    <w:p>
      <w:pPr>
        <w:spacing w:after="0" w:line="227" w:lineRule="exact"/>
        <w:rPr>
          <w:sz w:val="20"/>
          <w:szCs w:val="20"/>
          <w:color w:val="auto"/>
        </w:rPr>
      </w:pPr>
    </w:p>
    <w:p>
      <w:pPr>
        <w:jc w:val="both"/>
        <w:ind w:right="100" w:firstLine="484"/>
        <w:spacing w:after="0" w:line="259" w:lineRule="auto"/>
        <w:rPr>
          <w:sz w:val="20"/>
          <w:szCs w:val="20"/>
          <w:color w:val="auto"/>
        </w:rPr>
      </w:pPr>
      <w:r>
        <w:rPr>
          <w:rFonts w:ascii="Times New Roman" w:cs="Times New Roman" w:eastAsia="Times New Roman" w:hAnsi="Times New Roman"/>
          <w:sz w:val="18"/>
          <w:szCs w:val="18"/>
          <w:color w:val="auto"/>
        </w:rPr>
        <w:t>The Company determined that a sustained decrease in its stock price that occurred during the three months ended March 31, 2025 indicated that the carrying values of its goodwill and other long-lived assets may not be recoverable. Additional factors that contributed to this conclusion are the Company’s recent operating results, liquidity risk and the current macroeconomic conditions impacting the life science industries. Based on this determination, the Company performed interim quantitative impairment tests on its goodwill and other long-lived assets as of March 31, 2025.</w:t>
      </w:r>
    </w:p>
    <w:p>
      <w:pPr>
        <w:spacing w:after="0" w:line="183" w:lineRule="exact"/>
        <w:rPr>
          <w:sz w:val="20"/>
          <w:szCs w:val="20"/>
          <w:color w:val="auto"/>
        </w:rPr>
      </w:pPr>
    </w:p>
    <w:p>
      <w:pPr>
        <w:jc w:val="both"/>
        <w:ind w:right="100" w:firstLine="484"/>
        <w:spacing w:after="0" w:line="265" w:lineRule="auto"/>
        <w:rPr>
          <w:sz w:val="20"/>
          <w:szCs w:val="20"/>
          <w:color w:val="auto"/>
        </w:rPr>
      </w:pPr>
      <w:r>
        <w:rPr>
          <w:rFonts w:ascii="Times New Roman" w:cs="Times New Roman" w:eastAsia="Times New Roman" w:hAnsi="Times New Roman"/>
          <w:sz w:val="18"/>
          <w:szCs w:val="18"/>
          <w:color w:val="auto"/>
        </w:rPr>
        <w:t>The recoverability of assets or an asset group to be held and used is measured by a comparison of the carrying amount of an asset or asset group to estimated undiscounted future cash flows expected to be generated by the asset or the asset group. Based on its recoverability assessment, the Company determined that there was no impairment of its other long-lived assets as of March 31, 2025.</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100" w:firstLine="484"/>
        <w:spacing w:after="0" w:line="254" w:lineRule="auto"/>
        <w:rPr>
          <w:sz w:val="20"/>
          <w:szCs w:val="20"/>
          <w:color w:val="auto"/>
        </w:rPr>
      </w:pPr>
      <w:r>
        <w:rPr>
          <w:rFonts w:ascii="Times New Roman" w:cs="Times New Roman" w:eastAsia="Times New Roman" w:hAnsi="Times New Roman"/>
          <w:sz w:val="18"/>
          <w:szCs w:val="18"/>
          <w:color w:val="auto"/>
        </w:rPr>
        <w:t>For the purpose of its goodwill impairment analysis, the Company has one reporting unit. The Company estimated the fair value of the reporting unit using an income-based valuation approach by means of a discounted cash flow (“DCF”) model. Under this model, the fair value of the reporting unit is determined based on the present value of estimated future cash flows, discounted at a risk-adjusted rate of return. The Company used internal forecasts and strategic long-term plans to estimate future cash flows, including projections of revenue and EBITDA, capital expenditure and working capital requirements, terminal growth rates, statutory tax rates and a market-participant discount rate. The goodwill impairment analysis also includes a reconciliation of the aggregate estimated fair value of the reporting unit to the Company’s total market capitalization. Based on this quantitative impairment analysis, the Company determined that the carrying value of the reporting unit exceeded its fair value by $48.0 million. Accordingly, the Company recorded such amount as a goodwill impairment charge for the three months ended March 31, 2025.</w:t>
      </w:r>
    </w:p>
    <w:p>
      <w:pPr>
        <w:spacing w:after="0" w:line="185"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18"/>
          <w:szCs w:val="18"/>
          <w:color w:val="auto"/>
        </w:rPr>
        <w:t>The inputs and assumptions used in determining the fair value of the reporting unit are subjective and require management’s use of significant judgment. Certain future events and circumstances, including further deterioration of the Company’s stock price, operating results, and macroeconomic conditions, and a higher cost of capital, among others, could result in changes to these inputs and assumptions. A revision of these inputs and assumptions could cause the fair value of the reporting unit to fall further below its carrying value, resulting in additional impairment charges, which could have a material adverse effect on the Company’s results of operations.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the carrying amount of goodwill for the three months ended March 31, 2025 was as follows:</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December 31, 2024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56,324</w:t>
            </w:r>
          </w:p>
        </w:tc>
      </w:tr>
      <w:tr>
        <w:trPr>
          <w:trHeight w:val="21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(47,951)</w:t>
            </w:r>
          </w:p>
        </w:tc>
      </w:tr>
      <w:tr>
        <w:trPr>
          <w:trHeight w:val="22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at March 31, 2025</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8,960</w:t>
            </w:r>
          </w:p>
        </w:tc>
      </w:tr>
      <w:tr>
        <w:trPr>
          <w:trHeight w:val="20"/>
        </w:trPr>
        <w:tc>
          <w:tcPr>
            <w:tcW w:w="7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Intangible assets, net at March 31, 2025 and December 31, 2024 consisted of the following: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500" w:type="dxa"/>
            <w:vAlign w:val="bottom"/>
          </w:tcPr>
          <w:p>
            <w:pPr>
              <w:spacing w:after="0"/>
              <w:rPr>
                <w:sz w:val="24"/>
                <w:szCs w:val="24"/>
                <w:color w:val="auto"/>
              </w:rPr>
            </w:pPr>
          </w:p>
        </w:tc>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rPr>
              <w:t>Accumulated</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60"/>
              <w:spacing w:after="0" w:line="190" w:lineRule="exact"/>
              <w:rPr>
                <w:sz w:val="20"/>
                <w:szCs w:val="20"/>
                <w:color w:val="auto"/>
              </w:rPr>
            </w:pPr>
            <w:r>
              <w:rPr>
                <w:rFonts w:ascii="Times New Roman" w:cs="Times New Roman" w:eastAsia="Times New Roman" w:hAnsi="Times New Roman"/>
                <w:sz w:val="18"/>
                <w:szCs w:val="18"/>
                <w:color w:val="auto"/>
                <w:w w:val="99"/>
              </w:rPr>
              <w:t>Accumulated</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2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0"/>
                <w:szCs w:val="20"/>
                <w:color w:val="auto"/>
              </w:rPr>
            </w:pPr>
          </w:p>
        </w:tc>
        <w:tc>
          <w:tcPr>
            <w:tcW w:w="9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Gross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Amortization</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2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Technology and software</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(30,556)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7,452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2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amortizable intangible</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59,125</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58,452</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(47,515)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00" w:type="dxa"/>
            <w:vAlign w:val="bottom"/>
          </w:tcPr>
          <w:p>
            <w:pPr>
              <w:spacing w:after="0"/>
              <w:rPr>
                <w:sz w:val="22"/>
                <w:szCs w:val="2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440" w:type="dxa"/>
            <w:vAlign w:val="bottom"/>
            <w:gridSpan w:val="3"/>
            <w:vMerge w:val="continue"/>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260" w:type="dxa"/>
            <w:vAlign w:val="bottom"/>
            <w:gridSpan w:val="3"/>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auto"/>
            </w:tcBorders>
            <w:shd w:val="clear" w:color="auto" w:fill="CCEEFF"/>
          </w:tcPr>
          <w:p>
            <w:pPr>
              <w:spacing w:after="0"/>
              <w:rPr>
                <w:sz w:val="17"/>
                <w:szCs w:val="17"/>
                <w:color w:val="auto"/>
              </w:rPr>
            </w:pPr>
          </w:p>
        </w:tc>
        <w:tc>
          <w:tcPr>
            <w:tcW w:w="960" w:type="dxa"/>
            <w:vAlign w:val="bottom"/>
            <w:tcBorders>
              <w:top w:val="single" w:sz="8" w:color="CCEEFF"/>
              <w:bottom w:val="single" w:sz="8" w:color="auto"/>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202</w:t>
            </w:r>
          </w:p>
        </w:tc>
        <w:tc>
          <w:tcPr>
            <w:tcW w:w="6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auto"/>
            </w:tcBorders>
            <w:shd w:val="clear" w:color="auto" w:fill="CCEEFF"/>
          </w:tcPr>
          <w:p>
            <w:pPr>
              <w:spacing w:after="0"/>
              <w:rPr>
                <w:sz w:val="17"/>
                <w:szCs w:val="17"/>
                <w:color w:val="auto"/>
              </w:rPr>
            </w:pPr>
          </w:p>
        </w:tc>
        <w:tc>
          <w:tcPr>
            <w:tcW w:w="980" w:type="dxa"/>
            <w:vAlign w:val="bottom"/>
            <w:tcBorders>
              <w:top w:val="single" w:sz="8" w:color="CCEEFF"/>
              <w:bottom w:val="single" w:sz="8" w:color="auto"/>
            </w:tcBorders>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11,132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spacing w:after="0"/>
              <w:rPr>
                <w:sz w:val="24"/>
                <w:szCs w:val="24"/>
                <w:color w:val="auto"/>
              </w:rPr>
            </w:pPr>
          </w:p>
        </w:tc>
        <w:tc>
          <w:tcPr>
            <w:tcW w:w="8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Intangible asset amortization expense for the three months ended March 31, 2025 and 2024 was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00" w:type="dxa"/>
            <w:vAlign w:val="bottom"/>
          </w:tcPr>
          <w:p>
            <w:pPr>
              <w:spacing w:after="0"/>
              <w:rPr>
                <w:sz w:val="24"/>
                <w:szCs w:val="24"/>
                <w:color w:val="auto"/>
              </w:rPr>
            </w:pPr>
          </w:p>
        </w:tc>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gridSpan w:val="13"/>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5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1,160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2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estimated future amortization expense of amortizable intangible assets is as follows:</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 of year)</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1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1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1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1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29"/>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r>
      <w:tr>
        <w:trPr>
          <w:trHeight w:val="20"/>
        </w:trPr>
        <w:tc>
          <w:tcPr>
            <w:tcW w:w="7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Information</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22,816</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23,245</w:t>
            </w: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Employee retention tax credit funds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9,409</w:t>
            </w: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of 2020 (the “CARES Act”) provided an employee retention tax credit (“ERTC”) that was a refundable tax credit against certain employer taxes. The Company elected to account for the credit as a government grant. As there is no authoritative guidance under U.S. GAAP on accounting for grants to for-profit business entities from government entities, the Company accounts for government assistance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(“IAS 20”). Under IAS 20, government grants are recognized when there is reasonable assurance that the grant will be received and that all conditions related to the grant will be met.</w:t>
      </w:r>
    </w:p>
    <w:p>
      <w:pPr>
        <w:spacing w:after="0" w:line="18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received ERTC refunds of $1.1 million and $3.2 million during the three months ended March 31, 2025 and 2024, respectively. Due to the subjectivity of the credit, the Company has included the refunds received in other current liabilities in the consolidated balance sheets as of March 31, 2025 and 2024, subject to a determination that the refunds are recognizable.</w:t>
      </w:r>
    </w:p>
    <w:p>
      <w:pPr>
        <w:spacing w:after="0" w:line="17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engaged a professional services firm under a commission fee arrangement to assist with determining the Company’s eligibility to claim the ERTC refunds and accumulating the necessary support that was used as a basis in the filing. The Company paid fees of $0.2 million and $0.5 million during the three months March 31, 2025 and 2024, respectively, for these services, which are included in other operating expenses in the consolidated statement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Equity Securities</w:t>
      </w:r>
    </w:p>
    <w:p>
      <w:pPr>
        <w:spacing w:after="0" w:line="22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April 2023, the Company received shares of common stock of Harvard Apparatus Regenerative Technology, Inc. (“HRGN”, formerly known as Biostage, Inc.) in connection with settlement of indemnification obligations related to litigation which was resolved during the year ended December 31, 2022.</w:t>
      </w:r>
    </w:p>
    <w:p>
      <w:pPr>
        <w:spacing w:after="0" w:line="17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received cash proceeds of $0.5 million from the sale of HRGN shares sold during the three months ended March 31, 2024, which resulted in a realized loss of $0.3 million. The Company incurred an unrealized loss of $1.0 million on HRGN shares held during the three months ended March 31, 2024. The Company determined the fair value of its HRGN common stock based on the closing price as quoted on the OTCQB Marketplace at the reporting date. The Company did not hold any shares of HRGN stock during the three months ended March 31, 2025.</w:t>
      </w:r>
    </w:p>
    <w:p>
      <w:pPr>
        <w:spacing w:after="0" w:line="200" w:lineRule="exact"/>
        <w:rPr>
          <w:sz w:val="20"/>
          <w:szCs w:val="20"/>
          <w:color w:val="auto"/>
        </w:rPr>
      </w:pPr>
    </w:p>
    <w:p>
      <w:pPr>
        <w:spacing w:after="0" w:line="221"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The Company has noncancelable operating leases for offices, manufacturing facilities, warehouse space, automobiles and equipment expiring at various dates through 2030.</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31, 2025 and 2024, were as follows: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is as follows: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76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6,132</w:t>
            </w:r>
          </w:p>
        </w:tc>
        <w:tc>
          <w:tcPr>
            <w:tcW w:w="17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5"/>
        </w:trPr>
        <w:tc>
          <w:tcPr>
            <w:tcW w:w="5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1,158</w:t>
            </w:r>
          </w:p>
        </w:tc>
        <w:tc>
          <w:tcPr>
            <w:tcW w:w="1760" w:type="dxa"/>
            <w:vAlign w:val="bottom"/>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7,230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6,381</w:t>
            </w:r>
          </w:p>
        </w:tc>
        <w:tc>
          <w:tcPr>
            <w:tcW w:w="1760" w:type="dxa"/>
            <w:vAlign w:val="bottom"/>
          </w:tcPr>
          <w:p>
            <w:pPr>
              <w:spacing w:after="0"/>
              <w:rPr>
                <w:sz w:val="19"/>
                <w:szCs w:val="19"/>
                <w:color w:val="auto"/>
              </w:rPr>
            </w:pPr>
          </w:p>
        </w:tc>
      </w:tr>
      <w:tr>
        <w:trPr>
          <w:trHeight w:val="209"/>
        </w:trPr>
        <w:tc>
          <w:tcPr>
            <w:tcW w:w="50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8,649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7,539</w:t>
            </w:r>
          </w:p>
        </w:tc>
        <w:tc>
          <w:tcPr>
            <w:tcW w:w="17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5"/>
        </w:trPr>
        <w:tc>
          <w:tcPr>
            <w:tcW w:w="5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176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760" w:type="dxa"/>
            <w:vAlign w:val="bottom"/>
          </w:tcPr>
          <w:p>
            <w:pPr>
              <w:spacing w:after="0"/>
              <w:rPr>
                <w:sz w:val="20"/>
                <w:szCs w:val="20"/>
                <w:color w:val="auto"/>
              </w:rPr>
            </w:pPr>
          </w:p>
        </w:tc>
      </w:tr>
      <w:tr>
        <w:trPr>
          <w:trHeight w:val="412"/>
        </w:trPr>
        <w:tc>
          <w:tcPr>
            <w:tcW w:w="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March 31, 2025, are as follows: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1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1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1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1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15"/>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r>
      <w:tr>
        <w:trPr>
          <w:trHeight w:val="215"/>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debt, which was included within current liabilities as of March 31, 2025 and December 31, 2024, was as follows: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24,700</w:t>
            </w: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w:t>
            </w:r>
          </w:p>
        </w:tc>
      </w:tr>
      <w:tr>
        <w:trPr>
          <w:trHeight w:val="20"/>
        </w:trPr>
        <w:tc>
          <w:tcPr>
            <w:tcW w:w="6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The Company maintains a Credit Agreement (as amended, the “Credit Agreement”) with Citizens Bank, N.A., Wells Fargo Bank, National Association, and First Citizens Bank &amp; Trust Company (together, the “Lenders”). The Credit Agreement provides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are secured by substantially all of the assets of Harvard Bioscience, Inc., including all or a portion of the equity interests in certain of the Company’s domestic and foreign subsidiaries. The Company’s obligations under the Credit Agreement are guaranteed by certain of the Company’s direct, domestic wholly owned subsidiaries; none of the Company’s direct or indirect foreign subsidiaries has guaranteed the Credit Facility. Issuance costs of $1.7 million are amortized over the contractual term to maturity date on a straight-line basis, which approximates the effective interest method. Total revolver borrowing capacity is limited by the consolidated net leverage ratio as defined under the amended Credit Agreement. As of the date of this report, the Company is unable to make additional borrowings under its revolving credit facility due to net leverage ratio requirements set forth in the August 6, 2024 amendment to the Credit Agreement (the “August 2024 Amendment”) and the terms of the March 10, 2025 amendment to the Credit Agreement (the “March 2025 Amendment”), as described below.</w:t>
      </w:r>
    </w:p>
    <w:p>
      <w:pPr>
        <w:spacing w:after="0" w:line="192"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 “SOFR Loan”), subject to a floor of 0.50%, or (ii) an alternative base rate plus an applicable interest rate margin, each as determined as provided in the Credit Agreement (an “ABR Loan”). The alternative base rate is based on the Citizens Bank prime rate or the federal funds effective rate of the Federal Reserve Bank of New York and is subject to a floor of 1.0%. Pursuant to the March 2025 Amendment, the applicable interest rate margin was increased such that interest rate is equal to a rate per annum based on the Secured Overnight Financing Rate (“SOFR”) plus 400 bps effective as of March 10, 2025 . There are no prepayment penalties in the event the Company elects to prepay and terminate the Credit Facility prior to its scheduled maturity date, subject to SOFR Loan breakage and redeployment costs in certain circumstances.</w:t>
      </w:r>
    </w:p>
    <w:p>
      <w:pPr>
        <w:spacing w:after="0" w:line="18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effective interest rate on the Company’s borrowings for the three months ended March 31, 2025 and 2024, was 8.6% and 7.7%, respectively. The weighted average interest rate as of March 31, 2025, net of the effect of the Company’s interest rate swap agreement, was 8.6%. The carrying value of the debt approximates fair value because the interest rate under the obligation approximates market rates of interest available to the Company for similar instruments.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100" w:firstLine="484"/>
        <w:spacing w:after="0" w:line="280" w:lineRule="auto"/>
        <w:rPr>
          <w:sz w:val="20"/>
          <w:szCs w:val="20"/>
          <w:color w:val="auto"/>
        </w:rPr>
      </w:pPr>
      <w:r>
        <w:rPr>
          <w:rFonts w:ascii="Times New Roman" w:cs="Times New Roman" w:eastAsia="Times New Roman" w:hAnsi="Times New Roman"/>
          <w:sz w:val="18"/>
          <w:szCs w:val="18"/>
          <w:color w:val="auto"/>
        </w:rPr>
        <w:t>The term loan required quarterly installment payments of $1.0 million with a balloon payment at maturity on December 22, 2025. Pursuant to the March 2025 Amendment, amortization payments were revised so that a proportionate payment must be made on a monthly rather than a quarterly basis.</w:t>
      </w:r>
    </w:p>
    <w:p>
      <w:pPr>
        <w:spacing w:after="0" w:line="163" w:lineRule="exact"/>
        <w:rPr>
          <w:sz w:val="20"/>
          <w:szCs w:val="20"/>
          <w:color w:val="auto"/>
        </w:rPr>
      </w:pPr>
    </w:p>
    <w:p>
      <w:pPr>
        <w:jc w:val="both"/>
        <w:ind w:right="100" w:firstLine="484"/>
        <w:spacing w:after="0" w:line="259" w:lineRule="auto"/>
        <w:rPr>
          <w:sz w:val="20"/>
          <w:szCs w:val="20"/>
          <w:color w:val="auto"/>
        </w:rPr>
      </w:pPr>
      <w:r>
        <w:rPr>
          <w:rFonts w:ascii="Times New Roman" w:cs="Times New Roman" w:eastAsia="Times New Roman" w:hAnsi="Times New Roman"/>
          <w:sz w:val="18"/>
          <w:szCs w:val="18"/>
          <w:color w:val="auto"/>
        </w:rPr>
        <w:t>The Credit Agreement includes various customary financial covenants and other affirmative and negative covenants binding on the Company. The negative covenants limit the ability of the Company, among other things, to incur debt, permit liens, make investments, sell assets, or pay dividends on its capital stock. The financial covenants include a maximum consolidated net leverage ratio and a minimum consolidated fixed charge coverage ratio. The Credit Agreement also includes customary events of default.</w:t>
      </w:r>
    </w:p>
    <w:p>
      <w:pPr>
        <w:spacing w:after="0" w:line="183" w:lineRule="exact"/>
        <w:rPr>
          <w:sz w:val="20"/>
          <w:szCs w:val="20"/>
          <w:color w:val="auto"/>
        </w:rPr>
      </w:pPr>
    </w:p>
    <w:p>
      <w:pPr>
        <w:jc w:val="both"/>
        <w:ind w:right="100" w:firstLine="484"/>
        <w:spacing w:after="0" w:line="265" w:lineRule="auto"/>
        <w:rPr>
          <w:sz w:val="20"/>
          <w:szCs w:val="20"/>
          <w:color w:val="auto"/>
        </w:rPr>
      </w:pPr>
      <w:r>
        <w:rPr>
          <w:rFonts w:ascii="Times New Roman" w:cs="Times New Roman" w:eastAsia="Times New Roman" w:hAnsi="Times New Roman"/>
          <w:sz w:val="18"/>
          <w:szCs w:val="18"/>
          <w:color w:val="auto"/>
        </w:rPr>
        <w:t>The March 2025 Amendment provides, among other things, that the lenders’ commitment under the revolving credit facility is capped at the amount outstanding thereunder as of the date thereof and thus we are unable to make additional borrowings under our revolving credit facility. The March 2025 Amendment also establishes certain Refinancing Milestones in connection with the Refinancing.</w:t>
      </w:r>
    </w:p>
    <w:p>
      <w:pPr>
        <w:spacing w:after="0" w:line="175" w:lineRule="exact"/>
        <w:rPr>
          <w:sz w:val="20"/>
          <w:szCs w:val="20"/>
          <w:color w:val="auto"/>
        </w:rPr>
      </w:pPr>
    </w:p>
    <w:p>
      <w:pPr>
        <w:jc w:val="both"/>
        <w:ind w:right="100" w:firstLine="484"/>
        <w:spacing w:after="0" w:line="252" w:lineRule="auto"/>
        <w:rPr>
          <w:sz w:val="20"/>
          <w:szCs w:val="20"/>
          <w:color w:val="auto"/>
        </w:rPr>
      </w:pPr>
      <w:r>
        <w:rPr>
          <w:rFonts w:ascii="Times New Roman" w:cs="Times New Roman" w:eastAsia="Times New Roman" w:hAnsi="Times New Roman"/>
          <w:sz w:val="18"/>
          <w:szCs w:val="18"/>
          <w:color w:val="auto"/>
        </w:rPr>
        <w:t>The Refinancing Milestones include: (1) continuing to retain an investment banker for the purpose of assisting with the consummation of the Refinancing; (2) by March 14, 2025, the engagement of a financial advisor acceptable to the administrative agent; (3) by April 30, 2025, the delivery to the administrative agent of an executed bona fide indication of interest from one or more potential lenders with respect to the Refinancing on terms and conditions acceptable to the administrative agent; (4) by May 23, 2025, the delivery to the administrative agent of a term sheet or commitment letter from one or more potential lenders that provides for the Refinancing on terms and conditions acceptable to the administrative agent; (5) by June 13, 2025, delivery to the administrative agent of: (i) a statement of sources and uses of transaction proceeds; and (ii) evidence that the potential lender’s conditions to closing (other than customary closing deliveries) of the Refinancing, such as business commitments, are satisfied; and (6) by June 30, 2025, the closing of the Refinancing. The lenders also agreed not to assert the financial covenants included in the Credit Agreement for the first quarter of fiscal year 2025 provided that the Company continues to comply with its payment obligations, achieves the Refinancing Milestones, maintain minimum liquidity (the “</w:t>
      </w:r>
      <w:r>
        <w:rPr>
          <w:rFonts w:ascii="Times New Roman" w:cs="Times New Roman" w:eastAsia="Times New Roman" w:hAnsi="Times New Roman"/>
          <w:sz w:val="18"/>
          <w:szCs w:val="18"/>
          <w:u w:val="single" w:color="auto"/>
          <w:color w:val="auto"/>
        </w:rPr>
        <w:t>Minimum Liquidity Requirement</w:t>
      </w:r>
      <w:r>
        <w:rPr>
          <w:rFonts w:ascii="Times New Roman" w:cs="Times New Roman" w:eastAsia="Times New Roman" w:hAnsi="Times New Roman"/>
          <w:sz w:val="18"/>
          <w:szCs w:val="18"/>
          <w:color w:val="auto"/>
        </w:rPr>
        <w:t>”) (defined as the sum of (a) unrestricted cash and cash equivalents and (b) the amount by which the aggregate amount committed under the Company’s revolving credit facility exceeds the total amount drawn under the credit facility) of $3.5 million and provide the administrative agent with certain financial reports. As of May 12, 2025, the Company was in compliance with the Refinancing Milestones applicable as of such date and the Minimum Liquidity Requirement.</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7" w:lineRule="exact"/>
        <w:rPr>
          <w:sz w:val="20"/>
          <w:szCs w:val="20"/>
          <w:color w:val="auto"/>
        </w:rPr>
      </w:pPr>
    </w:p>
    <w:p>
      <w:pPr>
        <w:jc w:val="both"/>
        <w:ind w:right="100" w:firstLine="484"/>
        <w:spacing w:after="0" w:line="259"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contract to improve the predictability of cash flows from interest payments related to its variable, SOFR-based debt. The swap contract had a notional amount of $20.3 million as of March 31, 2025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8, Debt.</w:t>
      </w:r>
    </w:p>
    <w:p>
      <w:pPr>
        <w:spacing w:after="0" w:line="183" w:lineRule="exact"/>
        <w:rPr>
          <w:sz w:val="20"/>
          <w:szCs w:val="20"/>
          <w:color w:val="auto"/>
        </w:rPr>
      </w:pPr>
    </w:p>
    <w:p>
      <w:pPr>
        <w:jc w:val="both"/>
        <w:ind w:right="100" w:firstLine="484"/>
        <w:spacing w:after="0" w:line="265" w:lineRule="auto"/>
        <w:rPr>
          <w:sz w:val="20"/>
          <w:szCs w:val="20"/>
          <w:color w:val="auto"/>
        </w:rPr>
      </w:pPr>
      <w:r>
        <w:rPr>
          <w:rFonts w:ascii="Times New Roman" w:cs="Times New Roman" w:eastAsia="Times New Roman" w:hAnsi="Times New Roman"/>
          <w:sz w:val="18"/>
          <w:szCs w:val="18"/>
          <w:color w:val="auto"/>
        </w:rPr>
        <w:t>The swap contract is considered an effective cash flow hedge, and as a result, net gains or losses are reported as a component of other comprehensive income (“OCI”) in the consolidated financial statements and are reclassified when the underlying hedged interest impacts earnings. An assessment is performed quarterly to evaluate the ongoing hedge effectiveness.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instruments as of March 31, 2025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80" w:type="dxa"/>
            <w:vAlign w:val="bottom"/>
            <w:tcBorders>
              <w:bottom w:val="single" w:sz="8" w:color="auto"/>
            </w:tcBorders>
          </w:tcPr>
          <w:p>
            <w:pPr>
              <w:spacing w:after="0"/>
              <w:rPr>
                <w:sz w:val="20"/>
                <w:szCs w:val="20"/>
                <w:color w:val="auto"/>
              </w:rPr>
            </w:pPr>
          </w:p>
        </w:tc>
      </w:tr>
      <w:tr>
        <w:trPr>
          <w:trHeight w:val="186"/>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ind w:left="100"/>
              <w:spacing w:after="0" w:line="187"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80"/>
              <w:spacing w:after="0" w:line="187"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8"/>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Derivatives Instruments</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 (a)</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 (a)</w:t>
            </w:r>
          </w:p>
        </w:tc>
      </w:tr>
      <w:tr>
        <w:trPr>
          <w:trHeight w:val="20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20,272</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21,658</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See Note 10 for the fair value measurements related to these financial instruments.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 of the cash flow hedge on other comprehensive income (loss) and earnings for the periods presented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Qualifying as Hedges, net of tax </w:t>
            </w:r>
            <w:r>
              <w:rPr>
                <w:rFonts w:ascii="Times New Roman" w:cs="Times New Roman" w:eastAsia="Times New Roman" w:hAnsi="Times New Roman"/>
                <w:sz w:val="18"/>
                <w:szCs w:val="18"/>
                <w:color w:val="auto"/>
              </w:rPr>
              <w:t>(in thousands)</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7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recognized in OCI on derivatives (effective portion)</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AOCI to interest expense</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 w:type="dxa"/>
            <w:vAlign w:val="bottom"/>
            <w:tcBorders>
              <w:bottom w:val="single" w:sz="8" w:color="auto"/>
            </w:tcBorders>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Assets (Liabilities) </w:t>
            </w: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Fair Value as of March 31, 2025</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9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30"/>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0"/>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9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120" w:firstLine="484"/>
        <w:spacing w:after="0" w:line="265"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liabilities. The fair value of the Company’s interest rate swap agreement was based on SOFR yield curves at the reporting date and is included within other current liabilities on the consolidated balance sheets at both March 31, 2025 and December 31, 2024.</w:t>
      </w:r>
    </w:p>
    <w:p>
      <w:pPr>
        <w:spacing w:after="0" w:line="200" w:lineRule="exact"/>
        <w:rPr>
          <w:sz w:val="20"/>
          <w:szCs w:val="20"/>
          <w:color w:val="auto"/>
        </w:rPr>
      </w:pPr>
    </w:p>
    <w:p>
      <w:pPr>
        <w:spacing w:after="0" w:line="213"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Stock-based compensation expense for the three months ended March 31, 2025 and 2024 was allocated as follows: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100" w:firstLine="484"/>
        <w:spacing w:after="0" w:line="280" w:lineRule="auto"/>
        <w:rPr>
          <w:sz w:val="20"/>
          <w:szCs w:val="20"/>
          <w:color w:val="auto"/>
        </w:rPr>
      </w:pPr>
      <w:r>
        <w:rPr>
          <w:rFonts w:ascii="Times New Roman" w:cs="Times New Roman" w:eastAsia="Times New Roman" w:hAnsi="Times New Roman"/>
          <w:sz w:val="18"/>
          <w:szCs w:val="18"/>
          <w:color w:val="auto"/>
        </w:rPr>
        <w:t>As of March 31, 2025, the total compensation costs related to unvested awards not yet recognized was $3.1 million and the weighted average period over which it is expected to be recognized is approximately 1.5 years. The Company did not capitalize any stock-based compensation.</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Restricted stock unit (“RSU”) activity for the three months ended March 31, 2025 was as follows: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50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50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5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1,378,995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558,958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375,895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5"/>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09"/>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1,070,823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496,697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337,112</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0"/>
        </w:trPr>
        <w:tc>
          <w:tcPr>
            <w:tcW w:w="2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100" w:firstLine="484"/>
        <w:spacing w:after="0" w:line="265" w:lineRule="auto"/>
        <w:rPr>
          <w:sz w:val="20"/>
          <w:szCs w:val="20"/>
          <w:color w:val="auto"/>
        </w:rPr>
      </w:pPr>
      <w:r>
        <w:rPr>
          <w:rFonts w:ascii="Times New Roman" w:cs="Times New Roman" w:eastAsia="Times New Roman" w:hAnsi="Times New Roman"/>
          <w:sz w:val="18"/>
          <w:szCs w:val="18"/>
          <w:color w:val="auto"/>
        </w:rPr>
        <w:t>The aggregate fair value of RSUs that vested during the three months ended March 31, 2025, and 2024 was $0.2 million and $0.1 million, respectively. Unvested shares related to market-based and performance-based vesting conditions are reflected at 100% of their target vesting amount in the table above. Actual vesting could range from zero to 150% of their target amounts.</w:t>
      </w:r>
    </w:p>
    <w:p>
      <w:pPr>
        <w:spacing w:after="0" w:line="175" w:lineRule="exact"/>
        <w:rPr>
          <w:sz w:val="20"/>
          <w:szCs w:val="20"/>
          <w:color w:val="auto"/>
        </w:rPr>
      </w:pPr>
    </w:p>
    <w:p>
      <w:pPr>
        <w:jc w:val="both"/>
        <w:ind w:right="100" w:firstLine="484"/>
        <w:spacing w:after="0" w:line="265"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1"/>
        </w:trPr>
        <w:tc>
          <w:tcPr>
            <w:tcW w:w="500" w:type="dxa"/>
            <w:vAlign w:val="bottom"/>
          </w:tcPr>
          <w:p>
            <w:pPr>
              <w:spacing w:after="0"/>
              <w:rPr>
                <w:sz w:val="24"/>
                <w:szCs w:val="24"/>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2025 was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8"/>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38"/>
        </w:trPr>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0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9"/>
        </w:trPr>
        <w:tc>
          <w:tcPr>
            <w:tcW w:w="500" w:type="dxa"/>
            <w:vAlign w:val="bottom"/>
          </w:tcPr>
          <w:p>
            <w:pPr>
              <w:spacing w:after="0"/>
              <w:rPr>
                <w:sz w:val="18"/>
                <w:szCs w:val="18"/>
                <w:color w:val="auto"/>
              </w:rPr>
            </w:pPr>
          </w:p>
        </w:tc>
        <w:tc>
          <w:tcPr>
            <w:tcW w:w="5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2024</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827,458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53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r>
      <w:tr>
        <w:trPr>
          <w:trHeight w:val="209"/>
        </w:trPr>
        <w:tc>
          <w:tcPr>
            <w:tcW w:w="50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March 31, 2025</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781,958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00" w:firstLine="484"/>
        <w:spacing w:after="0" w:line="280" w:lineRule="auto"/>
        <w:rPr>
          <w:sz w:val="20"/>
          <w:szCs w:val="20"/>
          <w:color w:val="auto"/>
        </w:rPr>
      </w:pPr>
      <w:r>
        <w:rPr>
          <w:rFonts w:ascii="Times New Roman" w:cs="Times New Roman" w:eastAsia="Times New Roman" w:hAnsi="Times New Roman"/>
          <w:sz w:val="18"/>
          <w:szCs w:val="18"/>
          <w:color w:val="auto"/>
        </w:rPr>
        <w:t>There is no aggregate intrinsic value at March 31, 2025 because the Company’s closing stock price of $0.57 is below the exercise price of the outstanding options.</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7" w:lineRule="exact"/>
        <w:rPr>
          <w:sz w:val="20"/>
          <w:szCs w:val="20"/>
          <w:color w:val="auto"/>
        </w:rPr>
      </w:pPr>
    </w:p>
    <w:p>
      <w:pPr>
        <w:jc w:val="both"/>
        <w:ind w:right="100" w:firstLine="484"/>
        <w:spacing w:after="0" w:line="259" w:lineRule="auto"/>
        <w:rPr>
          <w:sz w:val="20"/>
          <w:szCs w:val="20"/>
          <w:color w:val="auto"/>
        </w:rPr>
      </w:pPr>
      <w:r>
        <w:rPr>
          <w:rFonts w:ascii="Times New Roman" w:cs="Times New Roman" w:eastAsia="Times New Roman" w:hAnsi="Times New Roman"/>
          <w:sz w:val="18"/>
          <w:szCs w:val="18"/>
          <w:color w:val="auto"/>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spacing w:after="0" w:line="183"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18"/>
          <w:szCs w:val="18"/>
          <w:color w:val="auto"/>
        </w:rPr>
        <w:t>Income tax (benefit) expense was $(0.5) million and $0.2 million for the three months ended March 31, 2025 and 2024, respectively. The Company’s effective tax rate of 0.9% for the three months ended March 31, 2025, was lower than the U.S statutory rate due to the tax effect of goodwill impairment. The Company’s effective tax rate of (4.7)% for the three months ended March 31, 2024, was lower than the U.S statutory rate due to non-deductible executive compensation. The effective tax rate for both periods was also impacted by changes in valuation allowances associated with the Company’s assessment of the likelihood of the recoverability of deferred tax assets.</w:t>
      </w:r>
    </w:p>
    <w:p>
      <w:pPr>
        <w:spacing w:after="0" w:line="200" w:lineRule="exact"/>
        <w:rPr>
          <w:sz w:val="20"/>
          <w:szCs w:val="20"/>
          <w:color w:val="auto"/>
        </w:rPr>
      </w:pPr>
    </w:p>
    <w:p>
      <w:pPr>
        <w:spacing w:after="0" w:line="221"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27"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18"/>
          <w:szCs w:val="18"/>
          <w:color w:val="auto"/>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83" w:lineRule="exact"/>
        <w:rPr>
          <w:sz w:val="20"/>
          <w:szCs w:val="20"/>
          <w:color w:val="auto"/>
        </w:rPr>
      </w:pPr>
    </w:p>
    <w:p>
      <w:pPr>
        <w:jc w:val="both"/>
        <w:ind w:right="100" w:firstLine="484"/>
        <w:spacing w:after="0" w:line="259"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and officers.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March 31, 2025.</w:t>
      </w:r>
    </w:p>
    <w:p>
      <w:pPr>
        <w:spacing w:after="0" w:line="183"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18"/>
          <w:szCs w:val="18"/>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During the three months ended March 31, 2024, the Company accrued $0.5 million of loss contingencies related to an unclaimed property audit, which has been included in other operating expenses in the consolidated statement of operations. The unclaimed property audit was completed during the second quarter of fiscal 2024.</w:t>
      </w:r>
    </w:p>
    <w:p>
      <w:pPr>
        <w:spacing w:after="0" w:line="200" w:lineRule="exact"/>
        <w:rPr>
          <w:sz w:val="20"/>
          <w:szCs w:val="20"/>
          <w:color w:val="auto"/>
        </w:rPr>
      </w:pPr>
    </w:p>
    <w:p>
      <w:pPr>
        <w:spacing w:after="0" w:line="22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227" w:lineRule="exact"/>
        <w:rPr>
          <w:sz w:val="20"/>
          <w:szCs w:val="20"/>
          <w:color w:val="auto"/>
        </w:rPr>
      </w:pPr>
    </w:p>
    <w:p>
      <w:pPr>
        <w:jc w:val="both"/>
        <w:ind w:right="100" w:firstLine="484"/>
        <w:spacing w:after="0" w:line="265"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operational efficiencies and align its cost base and infrastructure with customer needs and its strategic plans. In order to realize these goals, the Company undertakes activities from time to time to optimize its business.</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0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2025, the Company initiated additional restructurings for which it expects to incur $0.1 million of costs, primarily consisting of severance incurred in connection with headcount reductions in North America and Europe. The Company expects the restructuring to be completed during the year ended December 31, 2025. There were no restructuring costs incurred during the three months ended March 31, 2024. Severance and other costs have been included as a component of other operating expenses (see Note 1). The changes in the accrued liability for restructuring and other charges for the three months ended March 31, 2025 were as follows:</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5"/>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(82)</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1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18"/>
          <w:szCs w:val="18"/>
          <w:color w:val="auto"/>
        </w:rPr>
        <w:t>The Company conducts business as a single operating segment, which is based upon the Company’s organizational and management structure, as well as information used by the chief operating decision maker (“CODM”) to allocate resources and other factors. The key measure of segment profitability that the CODM uses to allocate resources and assess performance is consolidated net income (loss), as reported on the consolidated statements of operations. The CODM utilizes consolidated net loss by comparing actual results against budgeted amounts on a quarterly basis. The following table presents the significant revenue and expense categories of the Company’s single operating segment:</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80" w:type="dxa"/>
            <w:vAlign w:val="bottom"/>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w:t>
            </w: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 (1)</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15"/>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 expenses (1)</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r>
      <w:tr>
        <w:trPr>
          <w:trHeight w:val="215"/>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15"/>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15"/>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15"/>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5"/>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5"/>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segment expenses (2)</w:t>
            </w:r>
          </w:p>
        </w:tc>
        <w:tc>
          <w:tcPr>
            <w:tcW w:w="22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tcPr>
          <w:p>
            <w:pPr>
              <w:spacing w:after="0"/>
              <w:rPr>
                <w:sz w:val="18"/>
                <w:szCs w:val="18"/>
                <w:color w:val="auto"/>
              </w:rPr>
            </w:pPr>
          </w:p>
        </w:tc>
        <w:tc>
          <w:tcPr>
            <w:tcW w:w="9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0"/>
        </w:trPr>
        <w:tc>
          <w:tcPr>
            <w:tcW w:w="5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w:t>
      </w:r>
    </w:p>
    <w:p>
      <w:pPr>
        <w:spacing w:after="0" w:line="2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other operating expenses, loss on equity securities and other expenses</w:t>
      </w:r>
    </w:p>
    <w:p>
      <w:pPr>
        <w:spacing w:after="0" w:line="205" w:lineRule="exact"/>
        <w:rPr>
          <w:sz w:val="20"/>
          <w:szCs w:val="20"/>
          <w:color w:val="auto"/>
        </w:rPr>
      </w:pPr>
    </w:p>
    <w:p>
      <w:pPr>
        <w:jc w:val="both"/>
        <w:ind w:right="100" w:firstLine="484"/>
        <w:spacing w:after="0" w:line="265" w:lineRule="auto"/>
        <w:rPr>
          <w:sz w:val="20"/>
          <w:szCs w:val="20"/>
          <w:color w:val="auto"/>
        </w:rPr>
      </w:pPr>
      <w:r>
        <w:rPr>
          <w:rFonts w:ascii="Times New Roman" w:cs="Times New Roman" w:eastAsia="Times New Roman" w:hAnsi="Times New Roman"/>
          <w:sz w:val="18"/>
          <w:szCs w:val="18"/>
          <w:color w:val="auto"/>
        </w:rPr>
        <w:t>Asset information provided to the CODM is consistent with that reported on the consolidated balance sheets with particular emphasis on the Company’s available liquidity, including its cash, accounts receivable, and inventory, reduced by current liabilities. Information relating to the Company’s products and services and geographical distribution of revenues is disclosed in Note 3.</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ind w:firstLine="484"/>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 forward-looking statements are principally, but not exclusively, contained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confidence or expectations, and our plans, objectives, expectations, and intentions that are not historical facts. In some cases, you can identify forward-looking statements by terms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aim,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think,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objectives,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optimistic,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strategy,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goals,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new,</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guidance,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future,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drive,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growth,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long-term,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develop,</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possible,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emerging,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opportunity,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pursue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similar expressions intended to identify forward-looking statements. These statements reflect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2024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Company.</w:t>
      </w:r>
      <w:r>
        <w:rPr>
          <w:rFonts w:ascii="Times New Roman" w:cs="Times New Roman" w:eastAsia="Times New Roman" w:hAnsi="Times New Roman"/>
          <w:sz w:val="17"/>
          <w:szCs w:val="17"/>
          <w:color w:val="auto"/>
        </w:rPr>
        <w: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drug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Developments</w:t>
      </w:r>
    </w:p>
    <w:p>
      <w:pPr>
        <w:spacing w:after="0" w:line="227"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Our business is affected by global and regional economic trends and uncertainties. Our revenue has been and may continue to be affected by our customers forgoing or delaying purchases of our products and services as a result of ongoing uncertainty with respect to the level and timing of funding from the U.S. National Institutes of Health (the “NIH”) or similar government sources. Our business has also been affected by the imposition of increased tariffs on shipments of products between the United States and other countries, and in particular between the United States and China. Our revenue has been and may continue to be affected by greater restrictions and economic disincentives on international trade, including these tariffs. Products and services that we obtain from overseas sources has been and may continue to be affected by these tariffs, resulting in increased costs to our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If these trends are prolonged or are more severe than anticipated, our business, results of operations, and cash flow may be materially impacted.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ended March 31, 2024</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140" w:type="dxa"/>
            <w:vAlign w:val="bottom"/>
            <w:tcBorders>
              <w:bottom w:val="single" w:sz="8" w:color="auto"/>
            </w:tcBorders>
          </w:tcPr>
          <w:p>
            <w:pPr>
              <w:spacing w:after="0"/>
              <w:rPr>
                <w:sz w:val="20"/>
                <w:szCs w:val="20"/>
                <w:color w:val="auto"/>
              </w:rPr>
            </w:pP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370"/>
              <w:spacing w:after="0" w:line="187"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370"/>
              <w:spacing w:after="0" w:line="187"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Revenues decreased $2.7 million, or 11.2%, to $21.8 million for the three months ended March 31, 2025, compared to $24.5 million for the three months ended March 31, 2024. The decrease in revenues was primarily due to continued softening of worldwide demand primarily from academic research institutions and CROs.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Gross profit decreased $2.6 million, or 17.5%, to $12.2 million for the three months ended March 31, 2025, compared with $14.8 million for the three months ended March 31, 2024, primarily due to the decrease in revenues as well as the associated lower absorption of fixed manufacturing costs. Gross margin was 56.0% for the three months ended March 31, 2025, compared to 60.3% for the three months ending March 31, 2024. The decrease in gross margin was primarily the result of under-absorption of fixed manufacturing overhead costs due to the decrease in revenues, increases in purchase price variance as well as a higher mix of lower margin products.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Sales and marketing expenses decreased $0.9 million, or 15.8%, to $5.0 million for the three months ended March 31, 2025, compared with $5.9 million for the three months ended March 31, 2024. This decrease was primarily due to reduced compensation, travel and entertainment, consulting and trade show expenses.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decreased $0.8 million, or 13.0%, to $5.2 million for the three months ended March 31, 2025, compared with $6.0 million for the three months ended March 31, 2024. The decrease was primarily due to reduced compensation, partially offset by higher professional fees.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Research and development expenses decreased $0.6 million, or 19.5%, to $2.3 million for the three months ended March 31, 2025, compared with $2.9 million for the three months ended March 31, 2024. This decrease was primarily due to reduced compensation costs.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Amortization of intangible assets included in operating expenses was $1.2 million for the three months ended March 31, 2025, compared with $1.3 million for the three months ended March 31,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2025, we identified a triggering event, including the sustained decrease in our stock price, our recent operating results, liquidity risk and the current macroeconomic conditions impacting the life sciences industries, requiring an interim impairment test. We recorded a non-cash goodwill impairment charge of $48.0 million in connection with the interim impairment test.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Other operating expenses for the three months ended March 31, 2025 were $0.3 million, compared with $1.0 million for the three months ended March 31, 2024. During the three months ended March 31, 2025, other operating expenses included a fee of $0.2 million in connection with the receipt of employee retention credits and $0.1 million of restructuring costs in connection with headcount reductions in North America and Europe. During the three months ended March 31, 2024 other operating expenses included a fee of $0.5 million in connection with the receipt of employee retention credits and an estimated loss of $0.5 million related to an unclaimed property audit.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was $0.8 million for both the three months ended March 31, 2025 and March 31, 2024.</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securities</w:t>
      </w:r>
    </w:p>
    <w:p>
      <w:pPr>
        <w:spacing w:after="0" w:line="22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we recorded a loss on equity securities of $1.3 million consisting of a realized loss of $0.3 million for shares sold and an unrealized loss of $1.0 million for shares held of common stock of Harvard Apparatus Regenerative Technology Inc. (“HRGN”). We did not hold any shares of HRGN stock during the three months ended March 31, 2025.</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7"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income tax (benefit) expense was $(0.5) million and $0.2 million for the three months ended March 31, 2025 and 2024, respectively. The effective tax rates for the three months ended March 31, 2025 and 2024 were 0.9% and (4.7)%, respectively. The higher effective tax rate during the three months ended March 31, 2025, compared to the three months ended March 31, 2024, was primarily due to the tax effect of goodwill impairment and the release of reserves related to uncertain tax positions. The Company’s effective tax rate for the three months ended March 31, 2025, was different than the U.S. statutory rate primarily due to the tax effect of goodwill impairment and changes in valuation allowances associated with the Company’s assessment of the likelihood of the recoverability of deferred tax assets.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shelf registration statement that provides for the issuance of common stock, preferred stock, warrants and units up to an amount equal to $100 million. Our expected cash outlays relate primarily to cash payments due under our Credit Agreement described below as well as salaries, inventory, and capital expenditures. We held cash and cash equivalents of $5.5 million and $4.1 million as of March 31, 2025 and December 31, 2024, respectively. Borrowings outstanding were $36.4 million and $37.4 million as of March 31, 2025 and December 31, 2024, respectively.</w:t>
      </w:r>
    </w:p>
    <w:p>
      <w:pPr>
        <w:spacing w:after="0" w:line="18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Coronavirus Aid, Relief, and Economic Security Act of 2020 (the “CARES Act”) provided an employee retention tax credit (“ERTC”) that was a refundable tax credit against certain employer taxes. The Company has received ERTC refunds of $4.2 million as of March 31, 2025 with $1.1 million received during the three months ended March 31, 2025. The Company’s compliance with the program’s qualifications may be subject to audit until May 2028, which is when the statute of limitation expires.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We maintain a Credit Agreement that provides for a term loan of $40.0 million and a $25.0 million revolving credit facility with an original maturity of December 22, 2025. On March 10, 2025, we entered into an amendment to the Credit Agreement (the “March 2025 Amendment”). The March 2025 Amendment provides, among other things, that the lender’s commitment under our revolving credit facility is capped at the amount outstanding thereunder as of the date thereof and thus we are unable to make additional borrowings under our revolving credit facility. The March 2025 Amendment also establishes certain milestones with respect to the refinancing of the debt underlying the Credit Agreement (the “Refinancing”) and dates by which such milestones must be met. These milestones (the “Refinancing Milestones”) include: (1) continuing to retain an investment banker for the purpose of assisting with the consummation of the Refinancing; (2) by March 14, 2025, the engagement of a financial advisor acceptable to the administrative agent; (3) by April 30, 2025, the delivery to the administrative agent of an executed bona fide indication of interest from one or more potential lenders with respect to the Refinancing on terms and conditions acceptable to the administrative agent; (4) by May 23, 2025, the delivery to the administrative agent of a term sheet or commitment letter from one or more potential lenders that provides for the Refinancing on terms and conditions acceptable to the administrative agent; (5) by June 13, 2025, delivery to the administrative agent of: (i) a statement of sources and uses of transaction proceeds; and (ii) evidence that the potential lender’s conditions to closing (other than customary closing deliveries) of the Refinancing, such as business commitments, are satisfied; and (6) by June 30, 2025, the closing of the Refinancing. the lenders also agreed not to assert the financial covenants included in the Credit Agreement for the first quarter of fiscal year 2025 provided that we continue to comply with our payment obligations, achieve the Refinancing Milestones, maintain minimum liquidity (the “Minimum Liquidity Requirement”) (defined as the sum of (a) unrestricted cash and cash equivalents and (b) the amount by which the aggregate amount committed under the Company’s revolving credit facility exceeds the total amount drawn under the credit facility) of $3.5 million and provide the administrative agent with certain financial reports. In addition, pursuant to the terms of the March 2025 Amendment the applicable interest rate margin is increased such that interest rate is equal to a rate per annum based on the Secured Overnight Financing Rate (“SOFR”) plus 400 bps and amortization payments were revised so that a proportionate payment must be made on a monthly rather than a quarterly basis. As of May 12, 2025,we were in compliance with the Refinancing Milestones applicable as of such date and the Minimum Liquidity Requirement.</w:t>
      </w:r>
    </w:p>
    <w:p>
      <w:pPr>
        <w:spacing w:after="0" w:line="19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If we are not able to comply with the terms and conditions of the March 2025 Amendment, or if we are otherwise unable to regain and maintain compliance with the covenants under the Credit Agreement, as amended, or are unsuccessful in obtaining waivers or amendments for any covenant in the future, in addition to other actions our lenders may require, the amounts outstanding under the Credit Agreement may become immediately due and payable.</w:t>
      </w:r>
    </w:p>
    <w:p>
      <w:pPr>
        <w:spacing w:after="0" w:line="183"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are exploring alternative sources of capital that would allow us to refinance the outstanding indebtedness by June 30, 2025, in order to avoid default under the Credit Agreement, but our ability to access such other sources of capital is uncertain. There is no assurance that such capital will be available, be obtainable on commercially acceptable terms, or provide sufficient funds to meet our objectives. Based on our anticipated cash flows from operations, unless we are able to access other sources of capital or extend the date for repayment under the Credit Agreement, we will be unable to pay our debt obligations and fund our operations for at least twelve months from the date of issuance of the unaudited consolidated financial statements contained in this Quarterly Report on Form 10-Q. As a result, there is substantial doubt about our ability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CASH FLOW STATEMENTS</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5"/>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Cash provided by operations was $3.0 million and $1.4 million for the three months ended March 31, 2025 and 2024, respectively. Cash flow from operations for the three months ended March 31, 2025 was positively impacted by cash inflows from accounts receivable of $0.7 million and inventories of $1.3 million compared with the three months ended March 31,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Cash used in investing activities was $0.7 million and $0.2 million for the three months ended March 31, 2025 and 2024, respectively. Cash used in investing for the three months ended March 31, 2025 consisted of $0.7 million of capital expenditures for manufacturing and capitalized software development. Cash used in investing activities for the three months ended March 31, 2024 primarily consisted of capital expenditures in manufacturing and information technology infrastructure of $0.7 million, partially offset by $0.5 million from the proceeds from the sale of marketable equity securities.</w:t>
      </w:r>
    </w:p>
    <w:p>
      <w:pPr>
        <w:spacing w:after="0" w:line="18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Cash used in financing activities was $1.2 million and $1.1 million for the three months ended March 31, 2025 and 2024, respectively. During the three months ended March 31, 2025, we made $1.0 million in debt repayments on our term loan and paid $0.1 million in debt issuance costs as part of the March 2025 Amendment. During the three months ended March 31, 2024, debt outstanding under our credit facility decreased by $1.0 million, consisting of net borrowings under our revolver of $2.0 million, and payments of $3.0 million against the term loan.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British pound.</w:t>
      </w:r>
    </w:p>
    <w:p>
      <w:pPr>
        <w:spacing w:after="0" w:line="163"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2025, changes in foreign currency exchange rates resulted in an unfavorable effect on revenues of $0.1 million and a favorable effect on expenses of $0.1 million. The loss associated with the translation of our foreign equity into U.S. dollars included as a component of other comprehensive loss was $1.3 million and $0.8 million for the three months ended March 31, 2025 and 2024, respectively. Currency exchange rate fluctuations included as a component of net loss resulted in losses of $0.2 million for the three months ended March 31, 2025. Currency exchange rate fluctuations included as a component of net loss during the three months ended March 31, 2024 were not significant.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underlying the accompanying unaudited consolidated financial statements and as set forth in Part II, Item 7 included in our Annual Report on Form 10-K for the fiscal year ended December 31, 2024.</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“Recently Issued Accounting Pronouncements Yet to Be Adopted” included in Note 1 to our Condensed Consolidated Financial Statements included in Part I, Item 1. of this report.</w:t>
      </w:r>
    </w:p>
    <w:p>
      <w:pPr>
        <w:spacing w:after="0" w:line="1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Under the supervision of our Chief Executive Officer and Chief Financial Officer, we evaluated the effectiveness of our disclosure controls and procedures (as defined in Rules 13a-15(e) and 15d-15(e) under the Exchange Act) as of March 31, 2025.</w:t>
      </w:r>
    </w:p>
    <w:p>
      <w:pPr>
        <w:spacing w:after="0" w:line="163"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March 31,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Previously Reported Material Weaknesses</w:t>
      </w:r>
    </w:p>
    <w:p>
      <w:pPr>
        <w:spacing w:after="0" w:line="225" w:lineRule="exact"/>
        <w:rPr>
          <w:sz w:val="20"/>
          <w:szCs w:val="20"/>
          <w:color w:val="auto"/>
        </w:rPr>
      </w:pPr>
    </w:p>
    <w:p>
      <w:pPr>
        <w:jc w:val="both"/>
        <w:ind w:firstLine="484"/>
        <w:spacing w:after="0" w:line="273" w:lineRule="auto"/>
        <w:rPr>
          <w:sz w:val="20"/>
          <w:szCs w:val="20"/>
          <w:color w:val="auto"/>
        </w:rPr>
      </w:pPr>
      <w:r>
        <w:rPr>
          <w:rFonts w:ascii="Times New Roman" w:cs="Times New Roman" w:eastAsia="Times New Roman" w:hAnsi="Times New Roman"/>
          <w:sz w:val="17"/>
          <w:szCs w:val="17"/>
          <w:color w:val="auto"/>
        </w:rPr>
        <w:t>As reported in Part II, Item 9A. “Controls and Procedures” of our Annual Reports on Form 10-K for the year ended December 31, 2024, we identified material weaknesses in our internal control over financial reporting related to controls over (i) our order to cash cycle and (ii) our physical count of inventories. Specifically, we did not design and maintain effective manual controls over the processing and review of a substantial portion of our revenue transactions. Additionally, we did not design and maintain an effective cycle count program to verify quantities of inventories held at Company locations that account for a substantial portion of inventories. The timeliness, level of precision, and appropriate segregation of duties in our review processes over revenue transactions and our physical counts of inventories were not sufficient to prevent, detect, and correct potential misstatements in a timely manner.</w:t>
      </w:r>
    </w:p>
    <w:p>
      <w:pPr>
        <w:spacing w:after="0" w:line="172"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While management, with oversight from the Audit Committee of our Board of Directors, has commenced implementing changes to our internal control over financial reporting in order to remediate the control deficiencies that resulted in the material weaknesses as previously disclosed in our Form 10-K for the fiscal year ended December 31, 2024, additional time is required to complete the material weakness remediation work. We expect to continue our efforts throughout fiscal year 2025. We believe that the implementation of the remediation plans disclosed under “Part II - Item 9A - Controls and Procedures” in our Annual Report on Form 10-K for the fiscal year ended December 31, 2024, will allow us to address the deficient controls within our internal control environment, which will facilitate the remediation of the material weaknesses. The material weaknesses will not be considered remediated until management completes the design and implementation of the measures disclosed under “Part II - Item 9A - Controls and Procedures” in our Annual Report on Form 10-K for the fiscal year ended December 31, 2024 and the controls operate for a sufficient period of time such that the effectiveness of those changes is demonstrated with an appropriate amount of consistency and management has concluded, through testing, that these controls are effective. We also may conclude that additional measures may be required to remediate the material weaknesses or determine to modify the remediation plans..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Other than changes related to remediation of the material weaknesses, there were no changes in our internal control over financial reporting during the first quarter of fiscal 2025 that have materially affected, or are reasonably likely to materially affect, our internal control over financial reporting.</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information included in Note 13 to the Condensed Consolidated Financial Statements (Unaudited) included in Part I, Item 1 of this quarterly report is incorporated herein by reference.</w:t>
      </w:r>
    </w:p>
    <w:p>
      <w:pPr>
        <w:spacing w:after="0" w:line="1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Annual Report on Form 10-K for the fiscal year ended December 31, 2024,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 The risk factor set forth below updates, and should be read together with, the risk factors described in our Annual Report on Form 10-K for the fiscal year ended December 31, 2024.</w:t>
      </w:r>
    </w:p>
    <w:p>
      <w:pPr>
        <w:spacing w:after="0" w:line="179" w:lineRule="exact"/>
        <w:rPr>
          <w:sz w:val="20"/>
          <w:szCs w:val="20"/>
          <w:color w:val="auto"/>
        </w:rPr>
      </w:pPr>
    </w:p>
    <w:p>
      <w:pPr>
        <w:jc w:val="both"/>
        <w:ind w:firstLine="484"/>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have received written notice from Nasdaq that we are not in compliance with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minimum bid price requirements and if we are unable to regain compliance with Nasdaq continued listing standards, which may require effecting a reverse stock split of our common stock, we could be delisted from Nasdaq, which would negatively impact our business, our ability to raise capital, and the market price and liquidity of our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Nasdaq Stock Market LLC (“Nasdaq”) Listing Rule 5450(a)(1) requires that securities listed on The Nasdaq Global Market maintain a minimum bid price of $1.00 per share (the “Minimum Bid Price Requirement”), and Nasdaq Listing Rule 5810(c)(3)(A) provides that a failure to meet the Minimum Bid Price Requirement exists if the deficiency continues for a period of thirty (30) consecutive business days.</w:t>
      </w:r>
    </w:p>
    <w:p>
      <w:pPr>
        <w:spacing w:after="0" w:line="17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April 4, 2025, the Company received written notice (the “Notification Letter”) from Nasdaq notifying the Company that, based on the closing bid price of the Company’s common stock for the thirty (30) consecutive business days from February 21, 2025 to April 3, 2025, the Company no longer meets the Minimum Bid Price Requirement. The Notification Letter had no immediate effect on the listing of the Company’s common stock on The Nasdaq Global Market. The Company has been provided an initial compliance period of 180 calendar days, or until October 1, 2025, to regain compliance with the Minimum Bid Price Requirement. During the compliance period, the Company’s shares of common stock will continue to be listed and traded on The Nasdaq Global Market</w:t>
      </w:r>
    </w:p>
    <w:p>
      <w:pPr>
        <w:spacing w:after="0" w:line="18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There is no assurance that we will be able to regain compliance with the Minimum Bid Price Requirement. To regain compliance, the bid price of the Company’s common stock must have a closing bid price of at least $1.00 per share for a minimum of ten (10) consecutive business days. If the Company does not regain compliance with the Minimum Bid Price Requirement by October 1, 2025, the Company may be eligible to transfer from The Nasdaq Global Market to the Nasdaq Capital Market and seek an additional 180 calendar day compliance period. To qualify for such transfer, the Company would be required to meet the continued listing requirement for market value of publicly held shares and all other initial listing standards for The Nasdaq Capital Market, with the exception of the Minimum Bid Price Requirement, and would need to provide written notice of its intention to cure the deficiency during the second compliance period, by effecting a reverse stock split, if necessary. However, if it appears to the staff of Nasdaq (the “Staff”) that the Company will not be able to cure the Minimum Bid Price Requirement deficiency, or if the Company is otherwise not eligible, Nasdaq would notify the Company that its securities would be subject to delisting. In the event of such a notification, the Company may appeal the Staff’s determination to delist its securities, but there can be no assurance the Staff would grant the Company’s request for continued listing.</w:t>
      </w:r>
    </w:p>
    <w:p>
      <w:pPr>
        <w:spacing w:after="0" w:line="18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intends to actively monitor the bid price for its common stock and will consider available options, including effecting a reverse stock split, to regain compliance with the Minimum Bid Price Requirement. Our ability to take action and the effect of any of our actions, including seeking stockholder approval for and effecting a reverse stock split, on the market price of our common stock cannot be predicted with certainty, and the history of the impact of similar measures for companies in like circumstances is varied. For example, it is possible that the per share price of the common stock after a reverse stock split will not rise in proportion to the reduction in the number of shares of the common stock outstanding resulting from the reverse stock split, effectively reducing our market capitalization, and there can be no assurance that the market price per post-reverse split share will either exceed or remain in excess of the required minimum bid price for a sustained period of time. The market price of our common stock may vary based on other factors that are unrelated to the number of shares outstanding, including the Company’s future performance.</w:t>
      </w:r>
    </w:p>
    <w:p>
      <w:pPr>
        <w:spacing w:after="0" w:line="18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If our common stock is delisted by Nasdaq, it could adversely affect our ability to raise additional financing through public or private sales of equity securities, could significantly affect the ability of investors to trade our securities and could negatively affect the value and liquidity of our common stock. Delisting could also have other negative impacts, including the potential loss of confidence by our employees and customers, the loss of investor and analyst interest in the Company and in our common stock and fewer business development opportunities for the Company.</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line="185" w:lineRule="auto"/>
        <w:framePr w:w="500" w:h="160" w:wrap="auto" w:vAnchor="page" w:hAnchor="page" w:x="280" w:y="3074"/>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32.2*</w:t>
      </w:r>
    </w:p>
    <w:p>
      <w:pPr>
        <w:spacing w:after="0" w:line="185" w:lineRule="auto"/>
        <w:framePr w:w="500" w:h="160" w:wrap="auto" w:vAnchor="page" w:hAnchor="page" w:x="280" w:y="2644"/>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32.1*</w:t>
      </w:r>
    </w:p>
    <w:p>
      <w:pPr>
        <w:spacing w:after="0" w:line="185" w:lineRule="auto"/>
        <w:framePr w:w="400" w:h="160" w:wrap="auto" w:vAnchor="page" w:hAnchor="page" w:x="280" w:y="2213"/>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31.2</w:t>
      </w:r>
    </w:p>
    <w:p>
      <w:pPr>
        <w:spacing w:after="0" w:line="185" w:lineRule="auto"/>
        <w:framePr w:w="400" w:h="160" w:wrap="auto" w:vAnchor="page" w:hAnchor="page" w:x="280" w:y="1783"/>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31.1</w:t>
      </w: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rFonts w:ascii="Times New Roman" w:cs="Times New Roman" w:eastAsia="Times New Roman" w:hAnsi="Times New Roman"/>
          <w:sz w:val="18"/>
          <w:szCs w:val="18"/>
          <w:u w:val="single" w:color="auto"/>
          <w:color w:val="0000EE"/>
        </w:rPr>
      </w:pPr>
    </w:p>
    <w:p>
      <w:pPr>
        <w:spacing w:after="0" w:line="26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rFonts w:ascii="Times New Roman" w:cs="Times New Roman" w:eastAsia="Times New Roman" w:hAnsi="Times New Roman"/>
          <w:sz w:val="18"/>
          <w:szCs w:val="18"/>
          <w:u w:val="single" w:color="auto"/>
          <w:color w:val="0000EE"/>
        </w:rPr>
      </w:pPr>
    </w:p>
    <w:p>
      <w:pPr>
        <w:spacing w:after="0"/>
        <w:tabs>
          <w:tab w:leader="none" w:pos="660" w:val="left"/>
        </w:tabs>
        <w:rPr>
          <w:rFonts w:ascii="Times New Roman" w:cs="Times New Roman" w:eastAsia="Times New Roman" w:hAnsi="Times New Roman"/>
          <w:sz w:val="17"/>
          <w:szCs w:val="17"/>
          <w:u w:val="single" w:color="auto"/>
          <w:color w:val="0000EE"/>
        </w:rPr>
      </w:pPr>
      <w:hyperlink r:id="rId30">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30">
        <w:r>
          <w:rPr>
            <w:rFonts w:ascii="Times New Roman" w:cs="Times New Roman" w:eastAsia="Times New Roman" w:hAnsi="Times New Roman"/>
            <w:sz w:val="17"/>
            <w:szCs w:val="17"/>
            <w:u w:val="single" w:color="auto"/>
            <w:color w:val="0000EE"/>
          </w:rPr>
          <w:t>Letter Agreement between Mark Frost and the Company dated April 10, 2025 (previously filed as an exhibit to the Company’s Current Report on</w:t>
        </w:r>
      </w:hyperlink>
    </w:p>
    <w:p>
      <w:pPr>
        <w:spacing w:after="0" w:line="27" w:lineRule="exact"/>
        <w:rPr>
          <w:sz w:val="20"/>
          <w:szCs w:val="20"/>
          <w:color w:val="auto"/>
        </w:rPr>
      </w:pPr>
    </w:p>
    <w:p>
      <w:pPr>
        <w:ind w:left="680"/>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Form 8-K, filed with the Securities and Exchange Commission on April 10, 2025 and incorporated by reference thereto).</w:t>
        </w:r>
      </w:hyperlink>
    </w:p>
    <w:p>
      <w:pPr>
        <w:spacing w:after="0" w:line="8" w:lineRule="exact"/>
        <w:rPr>
          <w:sz w:val="20"/>
          <w:szCs w:val="20"/>
          <w:color w:val="auto"/>
        </w:rPr>
      </w:pPr>
    </w:p>
    <w:p>
      <w:pPr>
        <w:ind w:left="680" w:right="260"/>
        <w:spacing w:after="0" w:line="249"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Rules 13a-14(a) and 15d-14(a), as adopted pursuant to Section 302 of the Sarbanes-Oxley Act of 2002.</w:t>
      </w:r>
    </w:p>
    <w:p>
      <w:pPr>
        <w:spacing w:after="0" w:line="1" w:lineRule="exact"/>
        <w:rPr>
          <w:sz w:val="20"/>
          <w:szCs w:val="20"/>
          <w:color w:val="auto"/>
        </w:rPr>
      </w:pPr>
    </w:p>
    <w:p>
      <w:pPr>
        <w:ind w:left="680" w:right="220"/>
        <w:spacing w:after="0" w:line="249"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Rules 13a-14(a) and 15d-14(a), as adopted pursuant to Section 302 of the Sarbanes-Oxley Act of 2002.</w:t>
      </w:r>
    </w:p>
    <w:p>
      <w:pPr>
        <w:spacing w:after="0" w:line="1" w:lineRule="exact"/>
        <w:rPr>
          <w:sz w:val="20"/>
          <w:szCs w:val="20"/>
          <w:color w:val="auto"/>
        </w:rPr>
      </w:pPr>
    </w:p>
    <w:p>
      <w:pPr>
        <w:ind w:left="680"/>
        <w:spacing w:after="0" w:line="249"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18 U.S.C. Section 1350, as adopted pursuant to Section 906 of the Sarbanes-Oxley Act of 2002.</w:t>
      </w:r>
    </w:p>
    <w:p>
      <w:pPr>
        <w:spacing w:after="0" w:line="1" w:lineRule="exact"/>
        <w:rPr>
          <w:sz w:val="20"/>
          <w:szCs w:val="20"/>
          <w:color w:val="auto"/>
        </w:rPr>
      </w:pPr>
    </w:p>
    <w:p>
      <w:pPr>
        <w:ind w:left="680" w:right="220"/>
        <w:spacing w:after="0" w:line="249"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18 U.S.C. Section 1350, as adopted pursuant to Section 906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101.SCHInline XBRL Taxonomy Extension Schema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101.CALInline XBRL Taxonomy Extension Calculation Linkbase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101.DEFInline XBRL Taxonomy Extension Definition Linkbase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101.LABInline XBRL Taxonomy Extension Labels Linkbase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5" w:lineRule="exact"/>
        <w:rPr>
          <w:sz w:val="20"/>
          <w:szCs w:val="20"/>
          <w:color w:val="auto"/>
        </w:rPr>
      </w:pPr>
    </w:p>
    <w:p>
      <w:pPr>
        <w:ind w:left="680" w:right="300" w:hanging="672"/>
        <w:spacing w:after="0" w:line="265"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HARVARD BIOSCIENCE, INC.</w:t>
            </w:r>
          </w:p>
        </w:tc>
      </w:tr>
      <w:tr>
        <w:trPr>
          <w:trHeight w:val="21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280" w:type="dxa"/>
            <w:vAlign w:val="bottom"/>
          </w:tcPr>
          <w:p>
            <w:pPr>
              <w:spacing w:after="0"/>
              <w:rPr>
                <w:sz w:val="18"/>
                <w:szCs w:val="18"/>
                <w:color w:val="auto"/>
              </w:rPr>
            </w:pPr>
          </w:p>
        </w:tc>
      </w:tr>
      <w:tr>
        <w:trPr>
          <w:trHeight w:val="234"/>
        </w:trPr>
        <w:tc>
          <w:tcPr>
            <w:tcW w:w="59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GREEN</w:t>
            </w:r>
          </w:p>
        </w:tc>
      </w:tr>
      <w:tr>
        <w:trPr>
          <w:trHeight w:val="190"/>
        </w:trPr>
        <w:tc>
          <w:tcPr>
            <w:tcW w:w="5960" w:type="dxa"/>
            <w:vAlign w:val="bottom"/>
          </w:tcPr>
          <w:p>
            <w:pPr>
              <w:spacing w:after="0"/>
              <w:rPr>
                <w:sz w:val="16"/>
                <w:szCs w:val="16"/>
                <w:color w:val="auto"/>
              </w:rPr>
            </w:pPr>
          </w:p>
        </w:tc>
        <w:tc>
          <w:tcPr>
            <w:tcW w:w="52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James Green</w:t>
            </w:r>
          </w:p>
        </w:tc>
      </w:tr>
      <w:tr>
        <w:trPr>
          <w:trHeight w:val="234"/>
        </w:trPr>
        <w:tc>
          <w:tcPr>
            <w:tcW w:w="59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646"/>
        </w:trPr>
        <w:tc>
          <w:tcPr>
            <w:tcW w:w="59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90"/>
        </w:trPr>
        <w:tc>
          <w:tcPr>
            <w:tcW w:w="5960" w:type="dxa"/>
            <w:vAlign w:val="bottom"/>
          </w:tcPr>
          <w:p>
            <w:pPr>
              <w:spacing w:after="0"/>
              <w:rPr>
                <w:sz w:val="16"/>
                <w:szCs w:val="16"/>
                <w:color w:val="auto"/>
              </w:rPr>
            </w:pPr>
          </w:p>
        </w:tc>
        <w:tc>
          <w:tcPr>
            <w:tcW w:w="52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Jennifer Cote</w:t>
            </w:r>
          </w:p>
        </w:tc>
      </w:tr>
      <w:tr>
        <w:trPr>
          <w:trHeight w:val="234"/>
        </w:trPr>
        <w:tc>
          <w:tcPr>
            <w:tcW w:w="59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861"/>
        </w:trPr>
        <w:tc>
          <w:tcPr>
            <w:tcW w:w="59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Cote, certify that:</w:t>
      </w:r>
    </w:p>
    <w:p>
      <w:pPr>
        <w:spacing w:after="0" w:line="223"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3" w:lineRule="exact"/>
        <w:rPr>
          <w:rFonts w:ascii="Times New Roman" w:cs="Times New Roman" w:eastAsia="Times New Roman" w:hAnsi="Times New Roman"/>
          <w:sz w:val="18"/>
          <w:szCs w:val="18"/>
          <w:color w:val="auto"/>
        </w:rPr>
      </w:pPr>
    </w:p>
    <w:p>
      <w:pPr>
        <w:jc w:val="both"/>
        <w:ind w:left="500" w:right="320" w:hanging="492"/>
        <w:spacing w:after="0" w:line="265"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00" w:right="260" w:hanging="492"/>
        <w:spacing w:after="0" w:line="265"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00" w:hanging="488"/>
        <w:spacing w:after="0" w:line="265"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00" w:hanging="488"/>
        <w:spacing w:after="0" w:line="265"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80" w:hanging="488"/>
        <w:spacing w:after="0" w:line="311" w:lineRule="auto"/>
        <w:tabs>
          <w:tab w:leader="none" w:pos="9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8"/>
        <w:spacing w:after="0" w:line="265"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980" w:right="820" w:hanging="488"/>
        <w:spacing w:after="0" w:line="28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80" w:right="500" w:hanging="488"/>
        <w:spacing w:after="0" w:line="280"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7"/>
          <w:szCs w:val="17"/>
          <w:color w:val="auto"/>
        </w:rPr>
        <w:t>/s/ JENNIFER COTE</w:t>
      </w:r>
    </w:p>
    <w:p>
      <w:pPr>
        <w:spacing w:after="0" w:line="2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Jennifer Cote</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3"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3" w:lineRule="exact"/>
        <w:rPr>
          <w:rFonts w:ascii="Times New Roman" w:cs="Times New Roman" w:eastAsia="Times New Roman" w:hAnsi="Times New Roman"/>
          <w:sz w:val="18"/>
          <w:szCs w:val="18"/>
          <w:color w:val="auto"/>
        </w:rPr>
      </w:pPr>
    </w:p>
    <w:p>
      <w:pPr>
        <w:jc w:val="both"/>
        <w:ind w:left="500" w:right="320" w:hanging="492"/>
        <w:spacing w:after="0" w:line="265"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00" w:right="260" w:hanging="492"/>
        <w:spacing w:after="0" w:line="265"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00" w:hanging="488"/>
        <w:spacing w:after="0" w:line="265"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00" w:hanging="488"/>
        <w:spacing w:after="0" w:line="265"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80" w:hanging="488"/>
        <w:spacing w:after="0" w:line="311" w:lineRule="auto"/>
        <w:tabs>
          <w:tab w:leader="none" w:pos="9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8"/>
        <w:spacing w:after="0" w:line="265"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980" w:right="820" w:hanging="488"/>
        <w:spacing w:after="0" w:line="280"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980" w:right="500" w:hanging="488"/>
        <w:spacing w:after="0" w:line="280"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7"/>
          <w:szCs w:val="17"/>
          <w:color w:val="auto"/>
        </w:rPr>
        <w:t>/s/ JAMES GREEN</w:t>
      </w:r>
    </w:p>
    <w:p>
      <w:pPr>
        <w:spacing w:after="0" w:line="2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James Green</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her knowledge that the Company’s Quarterly Report on Form 10-Q for the quarterly period ended March 31, 2025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7"/>
          <w:szCs w:val="17"/>
          <w:color w:val="auto"/>
        </w:rPr>
        <w:t>/s/ JENNIFER COTE</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Cote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March 31, 2025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7"/>
          <w:szCs w:val="17"/>
          <w:color w:val="auto"/>
        </w:rPr>
        <w:t>/s/ JAMES GREEN</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Green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decimal"/>
      <w:start w:val="13"/>
    </w:lvl>
  </w:abstractNum>
  <w:abstractNum w:abstractNumId="15">
    <w:nsid w:val="3F2DBA31"/>
    <w:multiLevelType w:val="hybridMultilevel"/>
    <w:lvl w:ilvl="0">
      <w:lvlJc w:val="left"/>
      <w:lvlText w:val="%1."/>
      <w:numFmt w:val="decimal"/>
      <w:start w:val="14"/>
    </w:lvl>
  </w:abstractNum>
  <w:abstractNum w:abstractNumId="16">
    <w:nsid w:val="7C83E458"/>
    <w:multiLevelType w:val="hybridMultilevel"/>
    <w:lvl w:ilvl="0">
      <w:lvlJc w:val="left"/>
      <w:lvlText w:val="%1."/>
      <w:numFmt w:val="decimal"/>
      <w:start w:val="15"/>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0" Type="http://schemas.openxmlformats.org/officeDocument/2006/relationships/hyperlink" Target="http://www.sec.gov/Archives/edgar/data/1123494/000117184325002149/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2025-05-12T15:48:43Z</dcterms:created>
  <dcterms:modified xsi:type="dcterms:W3CDTF">2025-05-12T15:48:43Z</dcterms:modified>
</cp:coreProperties>
</file>