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hboi20230930_10q.htm"/>
      <w:bookmarkStart w:id="1" w:name="kshboi20230930_10q"/>
      <w:bookmarkEnd w:id="0"/>
      <w:bookmarkEnd w:id="1"/>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 WASHINGTON, DC 20549</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290"/>
        <w:gridCol w:w="7370"/>
      </w:tblGrid>
      <w:tr>
        <w:trPr/>
        <w:tc>
          <w:tcPr>
            <w:tcW w:w="290" w:type="dxa"/>
            <w:tcBorders/>
            <w:vAlign w:val="center"/>
          </w:tcPr>
          <w:p>
            <w:pPr>
              <w:pStyle w:val="TableContents"/>
              <w:bidi w:val="0"/>
              <w:spacing w:before="0" w:after="0"/>
              <w:ind w:left="0" w:right="0" w:hanging="0"/>
              <w:jc w:val="left"/>
              <w:rPr/>
            </w:pPr>
            <w:r>
              <w:rPr/>
              <w:t xml:space="preserve">☒ </w:t>
            </w:r>
          </w:p>
        </w:tc>
        <w:tc>
          <w:tcPr>
            <w:tcW w:w="73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September 30, 2023</w:t>
      </w:r>
    </w:p>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290"/>
        <w:gridCol w:w="7415"/>
      </w:tblGrid>
      <w:tr>
        <w:trPr/>
        <w:tc>
          <w:tcPr>
            <w:tcW w:w="290" w:type="dxa"/>
            <w:tcBorders/>
            <w:vAlign w:val="center"/>
          </w:tcPr>
          <w:p>
            <w:pPr>
              <w:pStyle w:val="TableContents"/>
              <w:bidi w:val="0"/>
              <w:spacing w:before="0" w:after="0"/>
              <w:ind w:left="0" w:right="0" w:hanging="0"/>
              <w:jc w:val="left"/>
              <w:rPr/>
            </w:pPr>
            <w:r>
              <w:rPr/>
              <w:t xml:space="preserve">☐ </w:t>
            </w:r>
          </w:p>
        </w:tc>
        <w:tc>
          <w:tcPr>
            <w:tcW w:w="74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For the transition period from </w:t>
      </w:r>
      <w:r>
        <w:rPr>
          <w:rFonts w:ascii="Times New Roman" w:hAnsi="Times New Roman"/>
          <w:caps w:val="false"/>
          <w:smallCaps w:val="false"/>
          <w:sz w:val="20"/>
          <w:u w:val="single"/>
        </w:rPr>
        <w:t>         </w:t>
      </w:r>
      <w:r>
        <w:rPr>
          <w:rFonts w:ascii="Times New Roman" w:hAnsi="Times New Roman"/>
          <w:b/>
          <w:caps w:val="false"/>
          <w:smallCaps w:val="false"/>
          <w:sz w:val="20"/>
        </w:rPr>
        <w:t xml:space="preserve">to </w:t>
      </w:r>
      <w:r>
        <w:rPr>
          <w:rFonts w:ascii="Times New Roman" w:hAnsi="Times New Roman"/>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001-33957</w:t>
      </w:r>
    </w:p>
    <w:p>
      <w:pPr>
        <w:pStyle w:val="TextBody"/>
        <w:bidi w:val="0"/>
        <w:spacing w:before="0" w:after="0"/>
        <w:ind w:left="0" w:right="0" w:hanging="0"/>
        <w:jc w:val="left"/>
        <w:rPr>
          <w:caps w:val="false"/>
          <w:smallCaps w:val="false"/>
        </w:rPr>
      </w:pPr>
      <w:r>
        <w:rPr>
          <w:caps w:val="false"/>
          <w:smallCaps w:val="false"/>
        </w:rPr>
        <w:t> </w:t>
      </w:r>
    </w:p>
    <w:tbl>
      <w:tblPr>
        <w:tblW w:w="4325" w:type="dxa"/>
        <w:jc w:val="left"/>
        <w:tblInd w:w="0" w:type="dxa"/>
        <w:tblLayout w:type="fixed"/>
        <w:tblCellMar>
          <w:top w:w="0" w:type="dxa"/>
          <w:left w:w="0" w:type="dxa"/>
          <w:bottom w:w="0" w:type="dxa"/>
          <w:right w:w="0" w:type="dxa"/>
        </w:tblCellMar>
      </w:tblPr>
      <w:tblGrid>
        <w:gridCol w:w="4325"/>
      </w:tblGrid>
      <w:tr>
        <w:trPr/>
        <w:tc>
          <w:tcPr>
            <w:tcW w:w="43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HARVARD BIOSCIENCE, INC.</w:t>
            </w:r>
          </w:p>
        </w:tc>
      </w:tr>
      <w:tr>
        <w:trPr/>
        <w:tc>
          <w:tcPr>
            <w:tcW w:w="43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4865"/>
        <w:gridCol w:w="2900"/>
      </w:tblGrid>
      <w:tr>
        <w:trPr/>
        <w:tc>
          <w:tcPr>
            <w:tcW w:w="48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04-3306140</w:t>
            </w:r>
          </w:p>
        </w:tc>
      </w:tr>
      <w:tr>
        <w:trPr/>
        <w:tc>
          <w:tcPr>
            <w:tcW w:w="48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organization)</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880" w:type="dxa"/>
        <w:jc w:val="left"/>
        <w:tblInd w:w="0" w:type="dxa"/>
        <w:tblLayout w:type="fixed"/>
        <w:tblCellMar>
          <w:top w:w="0" w:type="dxa"/>
          <w:left w:w="0" w:type="dxa"/>
          <w:bottom w:w="0" w:type="dxa"/>
          <w:right w:w="0" w:type="dxa"/>
        </w:tblCellMar>
      </w:tblPr>
      <w:tblGrid>
        <w:gridCol w:w="4880"/>
      </w:tblGrid>
      <w:tr>
        <w:trPr/>
        <w:tc>
          <w:tcPr>
            <w:tcW w:w="48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84 October Hill Road, Holliston, Massachusetts 01746</w:t>
            </w:r>
          </w:p>
        </w:tc>
      </w:tr>
      <w:tr>
        <w:trPr/>
        <w:tc>
          <w:tcPr>
            <w:tcW w:w="48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including zip code)</w:t>
            </w:r>
          </w:p>
        </w:tc>
      </w:tr>
    </w:tbl>
    <w:p>
      <w:pPr>
        <w:pStyle w:val="TextBody"/>
        <w:bidi w:val="0"/>
        <w:spacing w:before="0" w:after="0"/>
        <w:ind w:left="0" w:right="0" w:hanging="0"/>
        <w:jc w:val="left"/>
        <w:rPr>
          <w:caps w:val="false"/>
          <w:smallCaps w:val="false"/>
        </w:rPr>
      </w:pPr>
      <w:r>
        <w:rPr>
          <w:caps w:val="false"/>
          <w:smallCaps w:val="false"/>
        </w:rPr>
        <w:t> </w:t>
      </w:r>
    </w:p>
    <w:tbl>
      <w:tblPr>
        <w:tblW w:w="4325" w:type="dxa"/>
        <w:jc w:val="left"/>
        <w:tblInd w:w="0" w:type="dxa"/>
        <w:tblLayout w:type="fixed"/>
        <w:tblCellMar>
          <w:top w:w="0" w:type="dxa"/>
          <w:left w:w="0" w:type="dxa"/>
          <w:bottom w:w="0" w:type="dxa"/>
          <w:right w:w="0" w:type="dxa"/>
        </w:tblCellMar>
      </w:tblPr>
      <w:tblGrid>
        <w:gridCol w:w="4325"/>
      </w:tblGrid>
      <w:tr>
        <w:trPr/>
        <w:tc>
          <w:tcPr>
            <w:tcW w:w="43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(508) 893-8999</w:t>
            </w:r>
          </w:p>
        </w:tc>
      </w:tr>
      <w:tr>
        <w:trPr/>
        <w:tc>
          <w:tcPr>
            <w:tcW w:w="43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Securities registered pursuant to Section 12(b) of the Act</w:t>
      </w:r>
      <w:r>
        <w:rPr>
          <w:rFonts w:ascii="Times New Roman" w:hAnsi="Times New Roman"/>
          <w:caps w:val="false"/>
          <w:smallCaps w:val="false"/>
          <w:sz w:val="20"/>
        </w:rPr>
        <w:t>:</w:t>
        <w:br/>
        <w:t> </w:t>
      </w:r>
    </w:p>
    <w:tbl>
      <w:tblPr>
        <w:tblW w:w="7740" w:type="dxa"/>
        <w:jc w:val="left"/>
        <w:tblInd w:w="0" w:type="dxa"/>
        <w:tblLayout w:type="fixed"/>
        <w:tblCellMar>
          <w:top w:w="28" w:type="dxa"/>
          <w:left w:w="28" w:type="dxa"/>
          <w:bottom w:w="28" w:type="dxa"/>
          <w:right w:w="0" w:type="dxa"/>
        </w:tblCellMar>
      </w:tblPr>
      <w:tblGrid>
        <w:gridCol w:w="2630"/>
        <w:gridCol w:w="1535"/>
        <w:gridCol w:w="3575"/>
      </w:tblGrid>
      <w:tr>
        <w:trPr/>
        <w:tc>
          <w:tcPr>
            <w:tcW w:w="263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263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$0.01 par value</w:t>
            </w:r>
          </w:p>
        </w:tc>
        <w:tc>
          <w:tcPr>
            <w:tcW w:w="15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HBIO</w:t>
            </w:r>
          </w:p>
        </w:tc>
        <w:tc>
          <w:tcPr>
            <w:tcW w:w="3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 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045"/>
        <w:gridCol w:w="2450"/>
      </w:tblGrid>
      <w:tr>
        <w:trPr/>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04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October 31, 2023, there were 42,688,246 shares of the registrant’s common stock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HARVARD BIOSCIENCE,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w:t>
      </w:r>
    </w:p>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880"/>
        <w:gridCol w:w="515"/>
      </w:tblGrid>
      <w:tr>
        <w:trPr/>
        <w:tc>
          <w:tcPr>
            <w:tcW w:w="78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b/>
              </w:rPr>
            </w:pPr>
            <w:r>
              <w:rPr>
                <w:b/>
              </w:rPr>
              <w:t>Page</w:t>
            </w:r>
          </w:p>
        </w:tc>
      </w:tr>
      <w:tr>
        <w:trPr/>
        <w:tc>
          <w:tcPr>
            <w:tcW w:w="78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880" w:type="dxa"/>
            <w:tcBorders/>
            <w:vAlign w:val="center"/>
          </w:tcPr>
          <w:p>
            <w:pPr>
              <w:pStyle w:val="TableContents"/>
              <w:bidi w:val="0"/>
              <w:spacing w:before="0" w:after="0"/>
              <w:ind w:left="0" w:right="0" w:hanging="0"/>
              <w:jc w:val="left"/>
              <w:rPr/>
            </w:pPr>
            <w:hyperlink w:anchor="p1">
              <w:r>
                <w:rPr>
                  <w:rStyle w:val="InternetLink"/>
                  <w:rFonts w:ascii="Times New Roman" w:hAnsi="Times New Roman"/>
                  <w:caps w:val="false"/>
                  <w:smallCaps w:val="false"/>
                  <w:sz w:val="20"/>
                </w:rPr>
                <w:t>PART I - FINANCIAL INFORMATION</w:t>
              </w:r>
            </w:hyperlink>
          </w:p>
        </w:tc>
        <w:tc>
          <w:tcPr>
            <w:tcW w:w="515" w:type="dxa"/>
            <w:tcBorders/>
            <w:vAlign w:val="center"/>
          </w:tcPr>
          <w:p>
            <w:pPr>
              <w:pStyle w:val="TableContents"/>
              <w:bidi w:val="0"/>
              <w:spacing w:before="0" w:after="283"/>
              <w:jc w:val="center"/>
              <w:rPr/>
            </w:pPr>
            <w:hyperlink w:anchor="p1">
              <w:r>
                <w:rPr>
                  <w:rStyle w:val="InternetLink"/>
                </w:rPr>
                <w:t>3</w:t>
              </w:r>
            </w:hyperlink>
          </w:p>
        </w:tc>
      </w:tr>
      <w:tr>
        <w:trPr/>
        <w:tc>
          <w:tcPr>
            <w:tcW w:w="78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880" w:type="dxa"/>
            <w:tcBorders/>
            <w:vAlign w:val="center"/>
          </w:tcPr>
          <w:p>
            <w:pPr>
              <w:pStyle w:val="TableContents"/>
              <w:bidi w:val="0"/>
              <w:spacing w:before="0" w:after="0"/>
              <w:ind w:left="0" w:right="0" w:hanging="0"/>
              <w:jc w:val="left"/>
              <w:rPr/>
            </w:pPr>
            <w:hyperlink w:anchor="p1i1">
              <w:r>
                <w:rPr>
                  <w:rStyle w:val="InternetLink"/>
                  <w:rFonts w:ascii="Times New Roman" w:hAnsi="Times New Roman"/>
                  <w:caps w:val="false"/>
                  <w:smallCaps w:val="false"/>
                  <w:sz w:val="20"/>
                </w:rPr>
                <w:t>Item 1. Condensed Consolidated Financial Statements (unaudited)</w:t>
              </w:r>
            </w:hyperlink>
          </w:p>
        </w:tc>
        <w:tc>
          <w:tcPr>
            <w:tcW w:w="515" w:type="dxa"/>
            <w:tcBorders/>
            <w:vAlign w:val="center"/>
          </w:tcPr>
          <w:p>
            <w:pPr>
              <w:pStyle w:val="TableContents"/>
              <w:bidi w:val="0"/>
              <w:spacing w:before="0" w:after="283"/>
              <w:jc w:val="center"/>
              <w:rPr/>
            </w:pPr>
            <w:hyperlink w:anchor="p1i1">
              <w:r>
                <w:rPr>
                  <w:rStyle w:val="InternetLink"/>
                </w:rPr>
                <w:t>3</w:t>
              </w:r>
            </w:hyperlink>
          </w:p>
        </w:tc>
      </w:tr>
      <w:tr>
        <w:trPr/>
        <w:tc>
          <w:tcPr>
            <w:tcW w:w="78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880" w:type="dxa"/>
            <w:tcBorders/>
            <w:vAlign w:val="center"/>
          </w:tcPr>
          <w:p>
            <w:pPr>
              <w:pStyle w:val="TableContents"/>
              <w:bidi w:val="0"/>
              <w:spacing w:before="0" w:after="0"/>
              <w:ind w:left="900" w:right="0" w:hanging="0"/>
              <w:jc w:val="left"/>
              <w:rPr/>
            </w:pPr>
            <w:hyperlink w:anchor="bal">
              <w:r>
                <w:rPr>
                  <w:rStyle w:val="InternetLink"/>
                  <w:rFonts w:ascii="Times New Roman" w:hAnsi="Times New Roman"/>
                  <w:caps w:val="false"/>
                  <w:smallCaps w:val="false"/>
                  <w:sz w:val="20"/>
                </w:rPr>
                <w:t>Consolidated Balance Sheets</w:t>
              </w:r>
            </w:hyperlink>
          </w:p>
        </w:tc>
        <w:tc>
          <w:tcPr>
            <w:tcW w:w="515" w:type="dxa"/>
            <w:tcBorders/>
            <w:vAlign w:val="center"/>
          </w:tcPr>
          <w:p>
            <w:pPr>
              <w:pStyle w:val="TableContents"/>
              <w:bidi w:val="0"/>
              <w:spacing w:before="0" w:after="283"/>
              <w:jc w:val="center"/>
              <w:rPr/>
            </w:pPr>
            <w:hyperlink w:anchor="bal">
              <w:r>
                <w:rPr>
                  <w:rStyle w:val="InternetLink"/>
                </w:rPr>
                <w:t>3</w:t>
              </w:r>
            </w:hyperlink>
          </w:p>
        </w:tc>
      </w:tr>
      <w:tr>
        <w:trPr/>
        <w:tc>
          <w:tcPr>
            <w:tcW w:w="78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880" w:type="dxa"/>
            <w:tcBorders/>
            <w:vAlign w:val="center"/>
          </w:tcPr>
          <w:p>
            <w:pPr>
              <w:pStyle w:val="TableContents"/>
              <w:bidi w:val="0"/>
              <w:spacing w:before="0" w:after="0"/>
              <w:ind w:left="900" w:right="0" w:hanging="0"/>
              <w:jc w:val="left"/>
              <w:rPr/>
            </w:pPr>
            <w:hyperlink w:anchor="ops">
              <w:r>
                <w:rPr>
                  <w:rStyle w:val="InternetLink"/>
                  <w:rFonts w:ascii="Times New Roman" w:hAnsi="Times New Roman"/>
                  <w:caps w:val="false"/>
                  <w:smallCaps w:val="false"/>
                  <w:sz w:val="20"/>
                </w:rPr>
                <w:t>Consolidated Statements of Operations</w:t>
              </w:r>
            </w:hyperlink>
          </w:p>
        </w:tc>
        <w:tc>
          <w:tcPr>
            <w:tcW w:w="515" w:type="dxa"/>
            <w:tcBorders/>
            <w:vAlign w:val="center"/>
          </w:tcPr>
          <w:p>
            <w:pPr>
              <w:pStyle w:val="TableContents"/>
              <w:bidi w:val="0"/>
              <w:spacing w:before="0" w:after="283"/>
              <w:jc w:val="center"/>
              <w:rPr/>
            </w:pPr>
            <w:hyperlink w:anchor="ops">
              <w:r>
                <w:rPr>
                  <w:rStyle w:val="InternetLink"/>
                </w:rPr>
                <w:t>4</w:t>
              </w:r>
            </w:hyperlink>
          </w:p>
        </w:tc>
      </w:tr>
      <w:tr>
        <w:trPr/>
        <w:tc>
          <w:tcPr>
            <w:tcW w:w="78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880" w:type="dxa"/>
            <w:tcBorders/>
            <w:vAlign w:val="center"/>
          </w:tcPr>
          <w:p>
            <w:pPr>
              <w:pStyle w:val="TableContents"/>
              <w:bidi w:val="0"/>
              <w:spacing w:before="0" w:after="0"/>
              <w:ind w:left="900" w:right="0" w:hanging="0"/>
              <w:jc w:val="left"/>
              <w:rPr/>
            </w:pPr>
            <w:hyperlink w:anchor="loss">
              <w:r>
                <w:rPr>
                  <w:rStyle w:val="InternetLink"/>
                  <w:rFonts w:ascii="Times New Roman" w:hAnsi="Times New Roman"/>
                  <w:caps w:val="false"/>
                  <w:smallCaps w:val="false"/>
                  <w:sz w:val="20"/>
                </w:rPr>
                <w:t>Consolidated Statements of Comprehensive Loss</w:t>
              </w:r>
            </w:hyperlink>
          </w:p>
        </w:tc>
        <w:tc>
          <w:tcPr>
            <w:tcW w:w="515" w:type="dxa"/>
            <w:tcBorders/>
            <w:vAlign w:val="center"/>
          </w:tcPr>
          <w:p>
            <w:pPr>
              <w:pStyle w:val="TableContents"/>
              <w:bidi w:val="0"/>
              <w:spacing w:before="0" w:after="283"/>
              <w:jc w:val="center"/>
              <w:rPr/>
            </w:pPr>
            <w:hyperlink w:anchor="loss">
              <w:r>
                <w:rPr>
                  <w:rStyle w:val="InternetLink"/>
                </w:rPr>
                <w:t>5</w:t>
              </w:r>
            </w:hyperlink>
          </w:p>
        </w:tc>
      </w:tr>
      <w:tr>
        <w:trPr/>
        <w:tc>
          <w:tcPr>
            <w:tcW w:w="78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880" w:type="dxa"/>
            <w:tcBorders/>
            <w:vAlign w:val="center"/>
          </w:tcPr>
          <w:p>
            <w:pPr>
              <w:pStyle w:val="TableContents"/>
              <w:bidi w:val="0"/>
              <w:spacing w:before="0" w:after="0"/>
              <w:ind w:left="900" w:right="0" w:hanging="0"/>
              <w:jc w:val="left"/>
              <w:rPr/>
            </w:pPr>
            <w:hyperlink w:anchor="equ">
              <w:r>
                <w:rPr>
                  <w:rStyle w:val="InternetLink"/>
                  <w:rFonts w:ascii="Times New Roman" w:hAnsi="Times New Roman"/>
                  <w:caps w:val="false"/>
                  <w:smallCaps w:val="false"/>
                  <w:sz w:val="20"/>
                </w:rPr>
                <w:t>Consolidated Statements of Stockholders' Equity</w:t>
              </w:r>
            </w:hyperlink>
          </w:p>
        </w:tc>
        <w:tc>
          <w:tcPr>
            <w:tcW w:w="515" w:type="dxa"/>
            <w:tcBorders/>
            <w:vAlign w:val="center"/>
          </w:tcPr>
          <w:p>
            <w:pPr>
              <w:pStyle w:val="TableContents"/>
              <w:bidi w:val="0"/>
              <w:spacing w:before="0" w:after="283"/>
              <w:jc w:val="center"/>
              <w:rPr/>
            </w:pPr>
            <w:hyperlink w:anchor="equ">
              <w:r>
                <w:rPr>
                  <w:rStyle w:val="InternetLink"/>
                </w:rPr>
                <w:t>6</w:t>
              </w:r>
            </w:hyperlink>
          </w:p>
        </w:tc>
      </w:tr>
      <w:tr>
        <w:trPr/>
        <w:tc>
          <w:tcPr>
            <w:tcW w:w="78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880" w:type="dxa"/>
            <w:tcBorders/>
            <w:vAlign w:val="center"/>
          </w:tcPr>
          <w:p>
            <w:pPr>
              <w:pStyle w:val="TableContents"/>
              <w:bidi w:val="0"/>
              <w:spacing w:before="0" w:after="0"/>
              <w:ind w:left="900" w:right="0" w:hanging="0"/>
              <w:jc w:val="left"/>
              <w:rPr/>
            </w:pPr>
            <w:hyperlink w:anchor="cf">
              <w:r>
                <w:rPr>
                  <w:rStyle w:val="InternetLink"/>
                  <w:rFonts w:ascii="Times New Roman" w:hAnsi="Times New Roman"/>
                  <w:caps w:val="false"/>
                  <w:smallCaps w:val="false"/>
                  <w:sz w:val="20"/>
                </w:rPr>
                <w:t>Consolidated Statements of Cash Flows</w:t>
              </w:r>
            </w:hyperlink>
          </w:p>
        </w:tc>
        <w:tc>
          <w:tcPr>
            <w:tcW w:w="515" w:type="dxa"/>
            <w:tcBorders/>
            <w:vAlign w:val="center"/>
          </w:tcPr>
          <w:p>
            <w:pPr>
              <w:pStyle w:val="TableContents"/>
              <w:bidi w:val="0"/>
              <w:spacing w:before="0" w:after="283"/>
              <w:jc w:val="center"/>
              <w:rPr/>
            </w:pPr>
            <w:hyperlink w:anchor="cf">
              <w:r>
                <w:rPr>
                  <w:rStyle w:val="InternetLink"/>
                </w:rPr>
                <w:t>7</w:t>
              </w:r>
            </w:hyperlink>
          </w:p>
        </w:tc>
      </w:tr>
      <w:tr>
        <w:trPr/>
        <w:tc>
          <w:tcPr>
            <w:tcW w:w="78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880" w:type="dxa"/>
            <w:tcBorders/>
            <w:vAlign w:val="center"/>
          </w:tcPr>
          <w:p>
            <w:pPr>
              <w:pStyle w:val="TableContents"/>
              <w:bidi w:val="0"/>
              <w:spacing w:before="0" w:after="0"/>
              <w:ind w:left="900" w:right="0" w:hanging="0"/>
              <w:jc w:val="left"/>
              <w:rPr/>
            </w:pPr>
            <w:hyperlink w:anchor="notes">
              <w:r>
                <w:rPr>
                  <w:rStyle w:val="InternetLink"/>
                  <w:rFonts w:ascii="Times New Roman" w:hAnsi="Times New Roman"/>
                  <w:caps w:val="false"/>
                  <w:smallCaps w:val="false"/>
                  <w:sz w:val="20"/>
                </w:rPr>
                <w:t>Notes to Consolidated Financial Statements</w:t>
              </w:r>
            </w:hyperlink>
          </w:p>
        </w:tc>
        <w:tc>
          <w:tcPr>
            <w:tcW w:w="515" w:type="dxa"/>
            <w:tcBorders/>
            <w:vAlign w:val="center"/>
          </w:tcPr>
          <w:p>
            <w:pPr>
              <w:pStyle w:val="TableContents"/>
              <w:bidi w:val="0"/>
              <w:spacing w:before="0" w:after="283"/>
              <w:jc w:val="center"/>
              <w:rPr/>
            </w:pPr>
            <w:hyperlink w:anchor="notes">
              <w:r>
                <w:rPr>
                  <w:rStyle w:val="InternetLink"/>
                </w:rPr>
                <w:t>8</w:t>
              </w:r>
            </w:hyperlink>
          </w:p>
        </w:tc>
      </w:tr>
      <w:tr>
        <w:trPr/>
        <w:tc>
          <w:tcPr>
            <w:tcW w:w="78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880" w:type="dxa"/>
            <w:tcBorders/>
            <w:vAlign w:val="center"/>
          </w:tcPr>
          <w:p>
            <w:pPr>
              <w:pStyle w:val="TableContents"/>
              <w:bidi w:val="0"/>
              <w:spacing w:before="0" w:after="0"/>
              <w:ind w:left="0" w:right="0" w:hanging="0"/>
              <w:jc w:val="left"/>
              <w:rPr/>
            </w:pPr>
            <w:hyperlink w:anchor="p1i2">
              <w:r>
                <w:rPr>
                  <w:rStyle w:val="InternetLink"/>
                  <w:rFonts w:ascii="Times New Roman" w:hAnsi="Times New Roman"/>
                  <w:caps w:val="false"/>
                  <w:smallCaps w:val="false"/>
                  <w:sz w:val="20"/>
                </w:rPr>
                <w:t>Item 2. Management’s Discussion and Analysis of Financial Condition and Results of Operations</w:t>
              </w:r>
            </w:hyperlink>
          </w:p>
        </w:tc>
        <w:tc>
          <w:tcPr>
            <w:tcW w:w="515" w:type="dxa"/>
            <w:tcBorders/>
            <w:vAlign w:val="center"/>
          </w:tcPr>
          <w:p>
            <w:pPr>
              <w:pStyle w:val="TableContents"/>
              <w:bidi w:val="0"/>
              <w:spacing w:before="0" w:after="283"/>
              <w:jc w:val="center"/>
              <w:rPr/>
            </w:pPr>
            <w:hyperlink w:anchor="p1i2">
              <w:r>
                <w:rPr>
                  <w:rStyle w:val="InternetLink"/>
                </w:rPr>
                <w:t>19</w:t>
              </w:r>
            </w:hyperlink>
          </w:p>
        </w:tc>
      </w:tr>
      <w:tr>
        <w:trPr/>
        <w:tc>
          <w:tcPr>
            <w:tcW w:w="78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880" w:type="dxa"/>
            <w:tcBorders/>
            <w:vAlign w:val="center"/>
          </w:tcPr>
          <w:p>
            <w:pPr>
              <w:pStyle w:val="TableContents"/>
              <w:bidi w:val="0"/>
              <w:spacing w:before="0" w:after="0"/>
              <w:ind w:left="0" w:right="0" w:hanging="0"/>
              <w:jc w:val="left"/>
              <w:rPr/>
            </w:pPr>
            <w:hyperlink w:anchor="p1i3">
              <w:r>
                <w:rPr>
                  <w:rStyle w:val="InternetLink"/>
                  <w:rFonts w:ascii="Times New Roman" w:hAnsi="Times New Roman"/>
                  <w:caps w:val="false"/>
                  <w:smallCaps w:val="false"/>
                  <w:sz w:val="20"/>
                </w:rPr>
                <w:t>Item 3. Quantitative and Qualitative Disclosures about Market Risk</w:t>
              </w:r>
            </w:hyperlink>
          </w:p>
        </w:tc>
        <w:tc>
          <w:tcPr>
            <w:tcW w:w="515" w:type="dxa"/>
            <w:tcBorders/>
            <w:vAlign w:val="center"/>
          </w:tcPr>
          <w:p>
            <w:pPr>
              <w:pStyle w:val="TableContents"/>
              <w:bidi w:val="0"/>
              <w:spacing w:before="0" w:after="283"/>
              <w:jc w:val="center"/>
              <w:rPr/>
            </w:pPr>
            <w:hyperlink w:anchor="p1i3">
              <w:r>
                <w:rPr>
                  <w:rStyle w:val="InternetLink"/>
                </w:rPr>
                <w:t>26</w:t>
              </w:r>
            </w:hyperlink>
          </w:p>
        </w:tc>
      </w:tr>
      <w:tr>
        <w:trPr/>
        <w:tc>
          <w:tcPr>
            <w:tcW w:w="78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880" w:type="dxa"/>
            <w:tcBorders/>
            <w:vAlign w:val="center"/>
          </w:tcPr>
          <w:p>
            <w:pPr>
              <w:pStyle w:val="TableContents"/>
              <w:bidi w:val="0"/>
              <w:spacing w:before="0" w:after="0"/>
              <w:ind w:left="0" w:right="0" w:hanging="0"/>
              <w:jc w:val="left"/>
              <w:rPr/>
            </w:pPr>
            <w:hyperlink w:anchor="p1i4">
              <w:r>
                <w:rPr>
                  <w:rStyle w:val="InternetLink"/>
                  <w:rFonts w:ascii="Times New Roman" w:hAnsi="Times New Roman"/>
                  <w:caps w:val="false"/>
                  <w:smallCaps w:val="false"/>
                  <w:sz w:val="20"/>
                </w:rPr>
                <w:t>Item 4. Controls and Procedures</w:t>
              </w:r>
            </w:hyperlink>
          </w:p>
        </w:tc>
        <w:tc>
          <w:tcPr>
            <w:tcW w:w="515" w:type="dxa"/>
            <w:tcBorders/>
            <w:vAlign w:val="center"/>
          </w:tcPr>
          <w:p>
            <w:pPr>
              <w:pStyle w:val="TableContents"/>
              <w:bidi w:val="0"/>
              <w:spacing w:before="0" w:after="283"/>
              <w:jc w:val="center"/>
              <w:rPr/>
            </w:pPr>
            <w:hyperlink w:anchor="p1i4">
              <w:r>
                <w:rPr>
                  <w:rStyle w:val="InternetLink"/>
                </w:rPr>
                <w:t>26</w:t>
              </w:r>
            </w:hyperlink>
          </w:p>
        </w:tc>
      </w:tr>
      <w:tr>
        <w:trPr/>
        <w:tc>
          <w:tcPr>
            <w:tcW w:w="78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7880" w:type="dxa"/>
            <w:tcBorders/>
            <w:vAlign w:val="center"/>
          </w:tcPr>
          <w:p>
            <w:pPr>
              <w:pStyle w:val="TableContents"/>
              <w:bidi w:val="0"/>
              <w:spacing w:before="0" w:after="0"/>
              <w:ind w:left="0" w:right="0" w:hanging="0"/>
              <w:jc w:val="left"/>
              <w:rPr/>
            </w:pPr>
            <w:hyperlink w:anchor="p2">
              <w:r>
                <w:rPr>
                  <w:rStyle w:val="InternetLink"/>
                  <w:rFonts w:ascii="Times New Roman" w:hAnsi="Times New Roman"/>
                  <w:caps w:val="false"/>
                  <w:smallCaps w:val="false"/>
                  <w:sz w:val="20"/>
                </w:rPr>
                <w:t>PART II - OTHER INFORMATION</w:t>
              </w:r>
            </w:hyperlink>
          </w:p>
        </w:tc>
        <w:tc>
          <w:tcPr>
            <w:tcW w:w="515" w:type="dxa"/>
            <w:tcBorders/>
            <w:vAlign w:val="center"/>
          </w:tcPr>
          <w:p>
            <w:pPr>
              <w:pStyle w:val="TableContents"/>
              <w:bidi w:val="0"/>
              <w:spacing w:before="0" w:after="283"/>
              <w:jc w:val="center"/>
              <w:rPr/>
            </w:pPr>
            <w:hyperlink w:anchor="p2">
              <w:r>
                <w:rPr>
                  <w:rStyle w:val="InternetLink"/>
                </w:rPr>
                <w:t>27</w:t>
              </w:r>
            </w:hyperlink>
          </w:p>
        </w:tc>
      </w:tr>
      <w:tr>
        <w:trPr/>
        <w:tc>
          <w:tcPr>
            <w:tcW w:w="78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880" w:type="dxa"/>
            <w:tcBorders/>
            <w:vAlign w:val="center"/>
          </w:tcPr>
          <w:p>
            <w:pPr>
              <w:pStyle w:val="TableContents"/>
              <w:bidi w:val="0"/>
              <w:spacing w:before="0" w:after="0"/>
              <w:ind w:left="0" w:right="0" w:hanging="0"/>
              <w:jc w:val="left"/>
              <w:rPr/>
            </w:pPr>
            <w:hyperlink w:anchor="p2i1">
              <w:r>
                <w:rPr>
                  <w:rStyle w:val="InternetLink"/>
                  <w:rFonts w:ascii="Times New Roman" w:hAnsi="Times New Roman"/>
                  <w:caps w:val="false"/>
                  <w:smallCaps w:val="false"/>
                  <w:sz w:val="20"/>
                </w:rPr>
                <w:t>Item 1. Legal Proceedings</w:t>
              </w:r>
            </w:hyperlink>
          </w:p>
        </w:tc>
        <w:tc>
          <w:tcPr>
            <w:tcW w:w="515" w:type="dxa"/>
            <w:tcBorders/>
            <w:vAlign w:val="center"/>
          </w:tcPr>
          <w:p>
            <w:pPr>
              <w:pStyle w:val="TableContents"/>
              <w:bidi w:val="0"/>
              <w:spacing w:before="0" w:after="283"/>
              <w:jc w:val="center"/>
              <w:rPr/>
            </w:pPr>
            <w:hyperlink w:anchor="p2i1">
              <w:r>
                <w:rPr>
                  <w:rStyle w:val="InternetLink"/>
                </w:rPr>
                <w:t>27</w:t>
              </w:r>
            </w:hyperlink>
          </w:p>
        </w:tc>
      </w:tr>
      <w:tr>
        <w:trPr/>
        <w:tc>
          <w:tcPr>
            <w:tcW w:w="78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7880" w:type="dxa"/>
            <w:tcBorders/>
            <w:vAlign w:val="center"/>
          </w:tcPr>
          <w:p>
            <w:pPr>
              <w:pStyle w:val="TableContents"/>
              <w:bidi w:val="0"/>
              <w:spacing w:before="0" w:after="0"/>
              <w:ind w:left="0" w:right="0" w:hanging="0"/>
              <w:jc w:val="left"/>
              <w:rPr/>
            </w:pPr>
            <w:hyperlink w:anchor="p2i1a">
              <w:r>
                <w:rPr>
                  <w:rStyle w:val="InternetLink"/>
                  <w:rFonts w:ascii="Times New Roman" w:hAnsi="Times New Roman"/>
                  <w:caps w:val="false"/>
                  <w:smallCaps w:val="false"/>
                  <w:sz w:val="20"/>
                </w:rPr>
                <w:t>Item1A. Risk Factors</w:t>
              </w:r>
            </w:hyperlink>
          </w:p>
        </w:tc>
        <w:tc>
          <w:tcPr>
            <w:tcW w:w="515" w:type="dxa"/>
            <w:tcBorders/>
            <w:vAlign w:val="center"/>
          </w:tcPr>
          <w:p>
            <w:pPr>
              <w:pStyle w:val="TableContents"/>
              <w:bidi w:val="0"/>
              <w:spacing w:before="0" w:after="283"/>
              <w:jc w:val="center"/>
              <w:rPr/>
            </w:pPr>
            <w:hyperlink w:anchor="p2i1a">
              <w:r>
                <w:rPr>
                  <w:rStyle w:val="InternetLink"/>
                </w:rPr>
                <w:t>27</w:t>
              </w:r>
            </w:hyperlink>
          </w:p>
        </w:tc>
      </w:tr>
      <w:tr>
        <w:trPr/>
        <w:tc>
          <w:tcPr>
            <w:tcW w:w="78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880" w:type="dxa"/>
            <w:tcBorders/>
            <w:vAlign w:val="center"/>
          </w:tcPr>
          <w:p>
            <w:pPr>
              <w:pStyle w:val="TableContents"/>
              <w:bidi w:val="0"/>
              <w:spacing w:before="0" w:after="0"/>
              <w:ind w:left="0" w:right="0" w:hanging="0"/>
              <w:jc w:val="left"/>
              <w:rPr/>
            </w:pPr>
            <w:hyperlink w:anchor="p2i2">
              <w:r>
                <w:rPr>
                  <w:rStyle w:val="InternetLink"/>
                  <w:rFonts w:ascii="Times New Roman" w:hAnsi="Times New Roman"/>
                  <w:caps w:val="false"/>
                  <w:smallCaps w:val="false"/>
                  <w:sz w:val="20"/>
                </w:rPr>
                <w:t>Item 2. Unregistered Sales of Equity Securities and Use of Proceeds.</w:t>
              </w:r>
            </w:hyperlink>
          </w:p>
        </w:tc>
        <w:tc>
          <w:tcPr>
            <w:tcW w:w="515" w:type="dxa"/>
            <w:tcBorders/>
            <w:vAlign w:val="center"/>
          </w:tcPr>
          <w:p>
            <w:pPr>
              <w:pStyle w:val="TableContents"/>
              <w:bidi w:val="0"/>
              <w:spacing w:before="0" w:after="283"/>
              <w:jc w:val="center"/>
              <w:rPr/>
            </w:pPr>
            <w:hyperlink w:anchor="p2i2">
              <w:r>
                <w:rPr>
                  <w:rStyle w:val="InternetLink"/>
                </w:rPr>
                <w:t>27</w:t>
              </w:r>
            </w:hyperlink>
          </w:p>
        </w:tc>
      </w:tr>
      <w:tr>
        <w:trPr/>
        <w:tc>
          <w:tcPr>
            <w:tcW w:w="78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880" w:type="dxa"/>
            <w:tcBorders/>
            <w:vAlign w:val="center"/>
          </w:tcPr>
          <w:p>
            <w:pPr>
              <w:pStyle w:val="TableContents"/>
              <w:bidi w:val="0"/>
              <w:spacing w:before="0" w:after="0"/>
              <w:ind w:left="0" w:right="0" w:hanging="0"/>
              <w:jc w:val="left"/>
              <w:rPr/>
            </w:pPr>
            <w:hyperlink w:anchor="p2i3">
              <w:r>
                <w:rPr>
                  <w:rStyle w:val="InternetLink"/>
                  <w:rFonts w:ascii="Times New Roman" w:hAnsi="Times New Roman"/>
                  <w:caps w:val="false"/>
                  <w:smallCaps w:val="false"/>
                  <w:sz w:val="20"/>
                </w:rPr>
                <w:t>Item 3. Defaults Upon Senior Securities</w:t>
              </w:r>
            </w:hyperlink>
          </w:p>
        </w:tc>
        <w:tc>
          <w:tcPr>
            <w:tcW w:w="515" w:type="dxa"/>
            <w:tcBorders/>
            <w:vAlign w:val="center"/>
          </w:tcPr>
          <w:p>
            <w:pPr>
              <w:pStyle w:val="TableContents"/>
              <w:bidi w:val="0"/>
              <w:spacing w:before="0" w:after="283"/>
              <w:jc w:val="center"/>
              <w:rPr/>
            </w:pPr>
            <w:hyperlink w:anchor="p2i3">
              <w:r>
                <w:rPr>
                  <w:rStyle w:val="InternetLink"/>
                </w:rPr>
                <w:t>27</w:t>
              </w:r>
            </w:hyperlink>
          </w:p>
        </w:tc>
      </w:tr>
      <w:tr>
        <w:trPr/>
        <w:tc>
          <w:tcPr>
            <w:tcW w:w="78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880" w:type="dxa"/>
            <w:tcBorders/>
            <w:vAlign w:val="center"/>
          </w:tcPr>
          <w:p>
            <w:pPr>
              <w:pStyle w:val="TableContents"/>
              <w:bidi w:val="0"/>
              <w:spacing w:before="0" w:after="0"/>
              <w:ind w:left="0" w:right="0" w:hanging="0"/>
              <w:jc w:val="left"/>
              <w:rPr/>
            </w:pPr>
            <w:hyperlink w:anchor="p2i4">
              <w:r>
                <w:rPr>
                  <w:rStyle w:val="InternetLink"/>
                  <w:rFonts w:ascii="Times New Roman" w:hAnsi="Times New Roman"/>
                  <w:caps w:val="false"/>
                  <w:smallCaps w:val="false"/>
                  <w:sz w:val="20"/>
                </w:rPr>
                <w:t>Item 4. Mine Safety Disclosures</w:t>
              </w:r>
            </w:hyperlink>
          </w:p>
        </w:tc>
        <w:tc>
          <w:tcPr>
            <w:tcW w:w="515" w:type="dxa"/>
            <w:tcBorders/>
            <w:vAlign w:val="center"/>
          </w:tcPr>
          <w:p>
            <w:pPr>
              <w:pStyle w:val="TableContents"/>
              <w:bidi w:val="0"/>
              <w:spacing w:before="0" w:after="283"/>
              <w:jc w:val="center"/>
              <w:rPr/>
            </w:pPr>
            <w:hyperlink w:anchor="p2i4">
              <w:r>
                <w:rPr>
                  <w:rStyle w:val="InternetLink"/>
                </w:rPr>
                <w:t>27</w:t>
              </w:r>
            </w:hyperlink>
          </w:p>
        </w:tc>
      </w:tr>
      <w:tr>
        <w:trPr/>
        <w:tc>
          <w:tcPr>
            <w:tcW w:w="78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880" w:type="dxa"/>
            <w:tcBorders/>
            <w:vAlign w:val="center"/>
          </w:tcPr>
          <w:p>
            <w:pPr>
              <w:pStyle w:val="TableContents"/>
              <w:bidi w:val="0"/>
              <w:spacing w:before="0" w:after="0"/>
              <w:ind w:left="0" w:right="0" w:hanging="0"/>
              <w:jc w:val="left"/>
              <w:rPr/>
            </w:pPr>
            <w:hyperlink w:anchor="p2i5">
              <w:r>
                <w:rPr>
                  <w:rStyle w:val="InternetLink"/>
                  <w:rFonts w:ascii="Times New Roman" w:hAnsi="Times New Roman"/>
                  <w:caps w:val="false"/>
                  <w:smallCaps w:val="false"/>
                  <w:sz w:val="20"/>
                </w:rPr>
                <w:t>Item 5. Other Information</w:t>
              </w:r>
            </w:hyperlink>
          </w:p>
        </w:tc>
        <w:tc>
          <w:tcPr>
            <w:tcW w:w="515" w:type="dxa"/>
            <w:tcBorders/>
            <w:vAlign w:val="center"/>
          </w:tcPr>
          <w:p>
            <w:pPr>
              <w:pStyle w:val="TableContents"/>
              <w:bidi w:val="0"/>
              <w:spacing w:before="0" w:after="283"/>
              <w:jc w:val="center"/>
              <w:rPr/>
            </w:pPr>
            <w:hyperlink w:anchor="p2i5">
              <w:r>
                <w:rPr>
                  <w:rStyle w:val="InternetLink"/>
                </w:rPr>
                <w:t>27</w:t>
              </w:r>
            </w:hyperlink>
          </w:p>
        </w:tc>
      </w:tr>
      <w:tr>
        <w:trPr/>
        <w:tc>
          <w:tcPr>
            <w:tcW w:w="78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880" w:type="dxa"/>
            <w:tcBorders/>
            <w:vAlign w:val="center"/>
          </w:tcPr>
          <w:p>
            <w:pPr>
              <w:pStyle w:val="TableContents"/>
              <w:bidi w:val="0"/>
              <w:spacing w:before="0" w:after="0"/>
              <w:ind w:left="0" w:right="0" w:hanging="0"/>
              <w:jc w:val="left"/>
              <w:rPr/>
            </w:pPr>
            <w:hyperlink w:anchor="p2i6">
              <w:r>
                <w:rPr>
                  <w:rStyle w:val="InternetLink"/>
                  <w:rFonts w:ascii="Times New Roman" w:hAnsi="Times New Roman"/>
                  <w:caps w:val="false"/>
                  <w:smallCaps w:val="false"/>
                  <w:sz w:val="20"/>
                </w:rPr>
                <w:t>Item 6. Exhibits</w:t>
              </w:r>
            </w:hyperlink>
          </w:p>
        </w:tc>
        <w:tc>
          <w:tcPr>
            <w:tcW w:w="515" w:type="dxa"/>
            <w:tcBorders/>
            <w:vAlign w:val="center"/>
          </w:tcPr>
          <w:p>
            <w:pPr>
              <w:pStyle w:val="TableContents"/>
              <w:bidi w:val="0"/>
              <w:spacing w:before="0" w:after="283"/>
              <w:jc w:val="center"/>
              <w:rPr/>
            </w:pPr>
            <w:hyperlink w:anchor="p2i6">
              <w:r>
                <w:rPr>
                  <w:rStyle w:val="InternetLink"/>
                </w:rPr>
                <w:t>27</w:t>
              </w:r>
            </w:hyperlink>
          </w:p>
        </w:tc>
      </w:tr>
      <w:tr>
        <w:trPr/>
        <w:tc>
          <w:tcPr>
            <w:tcW w:w="78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880" w:type="dxa"/>
            <w:tcBorders/>
            <w:vAlign w:val="center"/>
          </w:tcPr>
          <w:p>
            <w:pPr>
              <w:pStyle w:val="TableContents"/>
              <w:bidi w:val="0"/>
              <w:spacing w:before="0" w:after="0"/>
              <w:ind w:left="0" w:right="0" w:hanging="0"/>
              <w:jc w:val="left"/>
              <w:rPr/>
            </w:pPr>
            <w:hyperlink w:anchor="sig">
              <w:r>
                <w:rPr>
                  <w:rStyle w:val="InternetLink"/>
                  <w:rFonts w:ascii="Times New Roman" w:hAnsi="Times New Roman"/>
                  <w:caps w:val="false"/>
                  <w:smallCaps w:val="false"/>
                  <w:sz w:val="20"/>
                </w:rPr>
                <w:t>SIGNATURES</w:t>
              </w:r>
            </w:hyperlink>
          </w:p>
        </w:tc>
        <w:tc>
          <w:tcPr>
            <w:tcW w:w="515" w:type="dxa"/>
            <w:tcBorders/>
            <w:vAlign w:val="center"/>
          </w:tcPr>
          <w:p>
            <w:pPr>
              <w:pStyle w:val="TableContents"/>
              <w:bidi w:val="0"/>
              <w:jc w:val="center"/>
              <w:rPr/>
            </w:pPr>
            <w:hyperlink w:anchor="sig">
              <w:r>
                <w:rPr>
                  <w:rStyle w:val="InternetLink"/>
                </w:rPr>
                <w:t>28</w:t>
              </w:r>
            </w:hyperlink>
            <w:r>
              <w:rPr/>
              <w:t xml:space="preserve"> </w:t>
            </w:r>
          </w:p>
          <w:p>
            <w:pPr>
              <w:pStyle w:val="TableContents"/>
              <w:bidi w:val="0"/>
              <w:spacing w:before="0" w:after="0"/>
              <w:ind w:left="0" w:right="0" w:hanging="0"/>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p1"/>
      <w:bookmarkEnd w:id="3"/>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605"/>
        <w:gridCol w:w="183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w:t>
            </w:r>
          </w:p>
        </w:tc>
        <w:tc>
          <w:tcPr>
            <w:tcW w:w="18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Statements.</w:t>
            </w:r>
            <w:bookmarkStart w:id="4" w:name="p1i1"/>
            <w:bookmarkEnd w:id="4"/>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HARVARD BIOSCIENCE, INC.</w:t>
      </w:r>
      <w:bookmarkStart w:id="5" w:name="bal"/>
      <w:bookmarkEnd w:id="5"/>
    </w:p>
    <w:p>
      <w:pPr>
        <w:pStyle w:val="TextBody"/>
        <w:bidi w:val="0"/>
        <w:spacing w:before="0" w:after="0"/>
        <w:ind w:left="0" w:right="0" w:hanging="0"/>
        <w:jc w:val="center"/>
        <w:rPr>
          <w:rFonts w:ascii="Times New Roman" w:hAnsi="Times New Roman"/>
          <w:sz w:val="20"/>
        </w:rPr>
      </w:pPr>
      <w:r>
        <w:rPr>
          <w:rFonts w:ascii="Times New Roman" w:hAnsi="Times New Roman"/>
          <w:b/>
          <w:sz w:val="20"/>
        </w:rPr>
        <w:t>CONSOLIDATED BALANCE SHEETS</w:t>
      </w:r>
      <w:r>
        <w:rPr>
          <w:rFonts w:ascii="Times New Roman" w:hAnsi="Times New Roman"/>
          <w:sz w:val="20"/>
        </w:rPr>
        <w:t> </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(Unaudited, in thousands, except share and per share data)</w:t>
      </w:r>
      <w:r>
        <w:rPr>
          <w:rFonts w:ascii="Times New Roman" w:hAnsi="Times New Roman"/>
          <w:sz w:val="2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00"/>
        <w:gridCol w:w="60"/>
        <w:gridCol w:w="174"/>
        <w:gridCol w:w="1058"/>
        <w:gridCol w:w="80"/>
        <w:gridCol w:w="60"/>
        <w:gridCol w:w="168"/>
        <w:gridCol w:w="1022"/>
        <w:gridCol w:w="83"/>
      </w:tblGrid>
      <w:tr>
        <w:trPr/>
        <w:tc>
          <w:tcPr>
            <w:tcW w:w="7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 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2022</w:t>
            </w:r>
          </w:p>
        </w:tc>
        <w:tc>
          <w:tcPr>
            <w:tcW w:w="8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75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5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5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4,508</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50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0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16,705</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5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0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26,439</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50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3,472</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750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50,486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0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51,124</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5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0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3,366</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5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0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5,816</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5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56,222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0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56,260</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5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0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21,014</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5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long-term assets</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7,513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7,780</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750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139,735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145,360</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75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5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50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long-term debt</w:t>
            </w:r>
          </w:p>
        </w:tc>
        <w:tc>
          <w:tcPr>
            <w:tcW w:w="60" w:type="dxa"/>
            <w:tcBorders/>
            <w:shd w:fill="FFFFFF" w:val="clear"/>
            <w:vAlign w:val="center"/>
          </w:tcPr>
          <w:p>
            <w:pPr>
              <w:pStyle w:val="TableContents"/>
              <w:bidi w:val="0"/>
              <w:spacing w:before="0" w:after="283"/>
              <w:ind w:left="0" w:right="0" w:hanging="0"/>
              <w:jc w:val="left"/>
              <w:rPr/>
            </w:pPr>
            <w:r>
              <w:rPr/>
              <w:t> </w:t>
            </w:r>
          </w:p>
        </w:tc>
        <w:tc>
          <w:tcPr>
            <w:tcW w:w="17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3,811</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5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0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2,135</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50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0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6,447</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5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0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3,370</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50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8,336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7,486</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750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0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23,249</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5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Long-term debt, net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35,273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0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43,013</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5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tax liability</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0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590</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5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0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5,282</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5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1,006</w:t>
            </w:r>
          </w:p>
        </w:tc>
        <w:tc>
          <w:tcPr>
            <w:tcW w:w="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750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65,449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73,140</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75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Commitments and contingencies - Note 13</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5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5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Preferred stock, par value $0.01 per share, 5,000,000 shares authorized</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0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50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Common stock, par value $0.01 per share, 80,000,000 shares authorized: 42,688,246 shares issued and outstanding at September 30, 2023; 42,081,707 shares issued and outstanding at December 31, 2022</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0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454</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5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paid-in-capital</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232,896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0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229,008</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50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(143,787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0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(142,190</w:t>
            </w:r>
          </w:p>
        </w:tc>
        <w:tc>
          <w:tcPr>
            <w:tcW w:w="8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5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(15,280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(15,052</w:t>
            </w:r>
          </w:p>
        </w:tc>
        <w:tc>
          <w:tcPr>
            <w:tcW w:w="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50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74,286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72,220</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750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139,735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145,360</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HARVARD BIOSCIENCE, INC.</w:t>
      </w:r>
      <w:bookmarkStart w:id="6" w:name="ops"/>
      <w:bookmarkEnd w:id="6"/>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CONSOLIDATED STATEMENTS OF OPERATIONS</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(Unaudited, in thousands, except per share data)</w:t>
      </w:r>
      <w:r>
        <w:rPr>
          <w:rFonts w:ascii="Times New Roman" w:hAnsi="Times New Roman"/>
          <w:sz w:val="2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2"/>
        <w:gridCol w:w="60"/>
        <w:gridCol w:w="235"/>
        <w:gridCol w:w="1116"/>
        <w:gridCol w:w="150"/>
        <w:gridCol w:w="112"/>
        <w:gridCol w:w="235"/>
        <w:gridCol w:w="1116"/>
        <w:gridCol w:w="80"/>
        <w:gridCol w:w="60"/>
        <w:gridCol w:w="227"/>
        <w:gridCol w:w="1073"/>
        <w:gridCol w:w="145"/>
        <w:gridCol w:w="108"/>
        <w:gridCol w:w="227"/>
        <w:gridCol w:w="1073"/>
        <w:gridCol w:w="86"/>
      </w:tblGrid>
      <w:tr>
        <w:trPr/>
        <w:tc>
          <w:tcPr>
            <w:tcW w:w="41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6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5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8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50" w:type="dxa"/>
            <w:tcBorders>
              <w:bottom w:val="single" w:sz="2" w:space="0" w:color="000000"/>
            </w:tcBorders>
            <w:tcMar>
              <w:bottom w:w="28" w:type="dxa"/>
            </w:tcMar>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ind w:left="0" w:right="0" w:hanging="0"/>
              <w:jc w:val="left"/>
              <w:rPr/>
            </w:pPr>
            <w:r>
              <w:rPr/>
              <w:t> </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45" w:type="dxa"/>
            <w:tcBorders>
              <w:bottom w:val="single" w:sz="2" w:space="0" w:color="000000"/>
            </w:tcBorders>
            <w:tcMar>
              <w:bottom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ind w:left="0" w:right="0" w:hanging="0"/>
              <w:jc w:val="left"/>
              <w:rPr/>
            </w:pPr>
            <w:r>
              <w:rPr/>
              <w:t> </w:t>
            </w:r>
          </w:p>
        </w:tc>
        <w:tc>
          <w:tcPr>
            <w:tcW w:w="13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r>
      <w:tr>
        <w:trPr/>
        <w:tc>
          <w:tcPr>
            <w:tcW w:w="410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25,363</w:t>
            </w:r>
          </w:p>
        </w:tc>
        <w:tc>
          <w:tcPr>
            <w:tcW w:w="15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84,097</w:t>
            </w:r>
          </w:p>
        </w:tc>
        <w:tc>
          <w:tcPr>
            <w:tcW w:w="145"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84,908</w:t>
            </w:r>
          </w:p>
        </w:tc>
        <w:tc>
          <w:tcPr>
            <w:tcW w:w="86" w:type="dxa"/>
            <w:tcBorders/>
            <w:shd w:fill="CCEEFF" w:val="clear"/>
            <w:vAlign w:val="center"/>
          </w:tcPr>
          <w:p>
            <w:pPr>
              <w:pStyle w:val="TableContents"/>
              <w:bidi w:val="0"/>
              <w:spacing w:before="0" w:after="283"/>
              <w:jc w:val="left"/>
              <w:rPr/>
            </w:pPr>
            <w:r>
              <w:rPr/>
              <w:t> </w:t>
            </w:r>
          </w:p>
        </w:tc>
      </w:tr>
      <w:tr>
        <w:trPr/>
        <w:tc>
          <w:tcPr>
            <w:tcW w:w="410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10,636</w:t>
            </w:r>
          </w:p>
        </w:tc>
        <w:tc>
          <w:tcPr>
            <w:tcW w:w="15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14,750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34,351</w:t>
            </w:r>
          </w:p>
        </w:tc>
        <w:tc>
          <w:tcPr>
            <w:tcW w:w="1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39,922</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02"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14,727</w:t>
            </w:r>
          </w:p>
        </w:tc>
        <w:tc>
          <w:tcPr>
            <w:tcW w:w="1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12,172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49,746</w:t>
            </w:r>
          </w:p>
        </w:tc>
        <w:tc>
          <w:tcPr>
            <w:tcW w:w="1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44,986</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4102"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11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5,732</w:t>
            </w:r>
          </w:p>
        </w:tc>
        <w:tc>
          <w:tcPr>
            <w:tcW w:w="15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11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17,888</w:t>
            </w:r>
          </w:p>
        </w:tc>
        <w:tc>
          <w:tcPr>
            <w:tcW w:w="145"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19,093</w:t>
            </w:r>
          </w:p>
        </w:tc>
        <w:tc>
          <w:tcPr>
            <w:tcW w:w="86" w:type="dxa"/>
            <w:tcBorders/>
            <w:shd w:fill="CCEEFF" w:val="clear"/>
            <w:vAlign w:val="center"/>
          </w:tcPr>
          <w:p>
            <w:pPr>
              <w:pStyle w:val="TableContents"/>
              <w:bidi w:val="0"/>
              <w:spacing w:before="0" w:after="283"/>
              <w:jc w:val="left"/>
              <w:rPr/>
            </w:pPr>
            <w:r>
              <w:rPr/>
              <w:t> </w:t>
            </w:r>
          </w:p>
        </w:tc>
      </w:tr>
      <w:tr>
        <w:trPr/>
        <w:tc>
          <w:tcPr>
            <w:tcW w:w="4102"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11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5,807</w:t>
            </w:r>
          </w:p>
        </w:tc>
        <w:tc>
          <w:tcPr>
            <w:tcW w:w="15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11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17,494</w:t>
            </w:r>
          </w:p>
        </w:tc>
        <w:tc>
          <w:tcPr>
            <w:tcW w:w="145"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18,630</w:t>
            </w:r>
          </w:p>
        </w:tc>
        <w:tc>
          <w:tcPr>
            <w:tcW w:w="86" w:type="dxa"/>
            <w:tcBorders/>
            <w:shd w:fill="FFFFFF" w:val="clear"/>
            <w:vAlign w:val="center"/>
          </w:tcPr>
          <w:p>
            <w:pPr>
              <w:pStyle w:val="TableContents"/>
              <w:bidi w:val="0"/>
              <w:spacing w:before="0" w:after="283"/>
              <w:jc w:val="left"/>
              <w:rPr/>
            </w:pPr>
            <w:r>
              <w:rPr/>
              <w:t> </w:t>
            </w:r>
          </w:p>
        </w:tc>
      </w:tr>
      <w:tr>
        <w:trPr/>
        <w:tc>
          <w:tcPr>
            <w:tcW w:w="4102"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11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2,760</w:t>
            </w:r>
          </w:p>
        </w:tc>
        <w:tc>
          <w:tcPr>
            <w:tcW w:w="15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11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8,614</w:t>
            </w:r>
          </w:p>
        </w:tc>
        <w:tc>
          <w:tcPr>
            <w:tcW w:w="145"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9,480</w:t>
            </w:r>
          </w:p>
        </w:tc>
        <w:tc>
          <w:tcPr>
            <w:tcW w:w="86" w:type="dxa"/>
            <w:tcBorders/>
            <w:shd w:fill="CCEEFF" w:val="clear"/>
            <w:vAlign w:val="center"/>
          </w:tcPr>
          <w:p>
            <w:pPr>
              <w:pStyle w:val="TableContents"/>
              <w:bidi w:val="0"/>
              <w:spacing w:before="0" w:after="283"/>
              <w:jc w:val="left"/>
              <w:rPr/>
            </w:pPr>
            <w:r>
              <w:rPr/>
              <w:t> </w:t>
            </w:r>
          </w:p>
        </w:tc>
      </w:tr>
      <w:tr>
        <w:trPr/>
        <w:tc>
          <w:tcPr>
            <w:tcW w:w="4102"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11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1,361</w:t>
            </w:r>
          </w:p>
        </w:tc>
        <w:tc>
          <w:tcPr>
            <w:tcW w:w="15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11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4,138</w:t>
            </w:r>
          </w:p>
        </w:tc>
        <w:tc>
          <w:tcPr>
            <w:tcW w:w="145"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4,492</w:t>
            </w:r>
          </w:p>
        </w:tc>
        <w:tc>
          <w:tcPr>
            <w:tcW w:w="86" w:type="dxa"/>
            <w:tcBorders/>
            <w:shd w:fill="FFFFFF" w:val="clear"/>
            <w:vAlign w:val="center"/>
          </w:tcPr>
          <w:p>
            <w:pPr>
              <w:pStyle w:val="TableContents"/>
              <w:bidi w:val="0"/>
              <w:spacing w:before="0" w:after="283"/>
              <w:jc w:val="left"/>
              <w:rPr/>
            </w:pPr>
            <w:r>
              <w:rPr/>
              <w:t> </w:t>
            </w:r>
          </w:p>
        </w:tc>
      </w:tr>
      <w:tr>
        <w:trPr/>
        <w:tc>
          <w:tcPr>
            <w:tcW w:w="4102"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Litigation settlement - Note 14</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0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15,660</w:t>
            </w:r>
          </w:p>
        </w:tc>
        <w:tc>
          <w:tcPr>
            <w:tcW w:w="15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15,934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48,134</w:t>
            </w:r>
          </w:p>
        </w:tc>
        <w:tc>
          <w:tcPr>
            <w:tcW w:w="1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51,462</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410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(loss) income</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(933</w:t>
            </w:r>
          </w:p>
        </w:tc>
        <w:tc>
          <w:tcPr>
            <w:tcW w:w="15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2" w:type="dxa"/>
            <w:tcBorders/>
            <w:shd w:fill="FFFFFF" w:val="clear"/>
            <w:vAlign w:val="center"/>
          </w:tcPr>
          <w:p>
            <w:pPr>
              <w:pStyle w:val="TableContents"/>
              <w:bidi w:val="0"/>
              <w:spacing w:before="0" w:after="283"/>
              <w:jc w:val="left"/>
              <w:rPr/>
            </w:pPr>
            <w:r>
              <w:rPr/>
              <w:t> </w:t>
            </w:r>
          </w:p>
        </w:tc>
        <w:tc>
          <w:tcPr>
            <w:tcW w:w="2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(3,762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1,612</w:t>
            </w:r>
          </w:p>
        </w:tc>
        <w:tc>
          <w:tcPr>
            <w:tcW w:w="1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(6,476</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410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4102"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Unrealized gain (loss) on equity securities - Note 14</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11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1,208</w:t>
            </w:r>
          </w:p>
        </w:tc>
        <w:tc>
          <w:tcPr>
            <w:tcW w:w="15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11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w:t>
            </w:r>
          </w:p>
        </w:tc>
        <w:tc>
          <w:tcPr>
            <w:tcW w:w="1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6" w:type="dxa"/>
            <w:tcBorders/>
            <w:shd w:fill="CCEEFF" w:val="clear"/>
            <w:vAlign w:val="center"/>
          </w:tcPr>
          <w:p>
            <w:pPr>
              <w:pStyle w:val="TableContents"/>
              <w:bidi w:val="0"/>
              <w:spacing w:before="0" w:after="283"/>
              <w:jc w:val="left"/>
              <w:rPr/>
            </w:pPr>
            <w:r>
              <w:rPr/>
              <w:t> </w:t>
            </w:r>
          </w:p>
        </w:tc>
      </w:tr>
      <w:tr>
        <w:trPr/>
        <w:tc>
          <w:tcPr>
            <w:tcW w:w="4102"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11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(882</w:t>
            </w:r>
          </w:p>
        </w:tc>
        <w:tc>
          <w:tcPr>
            <w:tcW w:w="15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11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(2,797</w:t>
            </w:r>
          </w:p>
        </w:tc>
        <w:tc>
          <w:tcPr>
            <w:tcW w:w="1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(1,648</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02"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1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w:t>
            </w:r>
          </w:p>
        </w:tc>
        <w:tc>
          <w:tcPr>
            <w:tcW w:w="1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0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 (expense)</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w:t>
            </w:r>
          </w:p>
        </w:tc>
        <w:tc>
          <w:tcPr>
            <w:tcW w:w="15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(3,065</w:t>
            </w:r>
          </w:p>
        </w:tc>
        <w:tc>
          <w:tcPr>
            <w:tcW w:w="1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(1,811</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410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11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(562</w:t>
            </w:r>
          </w:p>
        </w:tc>
        <w:tc>
          <w:tcPr>
            <w:tcW w:w="15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11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(4,690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(1,453</w:t>
            </w:r>
          </w:p>
        </w:tc>
        <w:tc>
          <w:tcPr>
            <w:tcW w:w="1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(8,287</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0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 (benefit)</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677</w:t>
            </w:r>
          </w:p>
        </w:tc>
        <w:tc>
          <w:tcPr>
            <w:tcW w:w="1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w:t>
            </w:r>
          </w:p>
        </w:tc>
        <w:tc>
          <w:tcPr>
            <w:tcW w:w="1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(437</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0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(1,239</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2" w:type="dxa"/>
            <w:tcBorders/>
            <w:shd w:fill="FFFF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(1,597</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(7,850</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410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per share:</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4102"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Basic and diluted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(0.03</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2" w:type="dxa"/>
            <w:tcBorders/>
            <w:shd w:fill="CCEE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(0.04</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(0.19</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410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common shares:</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4102"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Basic and diluted</w:t>
            </w:r>
          </w:p>
        </w:tc>
        <w:tc>
          <w:tcPr>
            <w:tcW w:w="60"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42,688</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41,637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42,345</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41,353</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sz w:val="20"/>
        </w:rPr>
      </w:pPr>
      <w:bookmarkStart w:id="7" w:name="loss"/>
      <w:bookmarkEnd w:id="7"/>
      <w:r>
        <w:rPr>
          <w:rFonts w:ascii="Times New Roman" w:hAnsi="Times New Roman"/>
          <w:b/>
          <w:sz w:val="20"/>
        </w:rPr>
        <w:t>HARVARD BIOSCIENCE, INC.</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CONSOLIDATED STATEMENTS OF COMPREHENSIVE LOSS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(Unaudited, in thousands)</w:t>
      </w:r>
    </w:p>
    <w:p>
      <w:pPr>
        <w:pStyle w:val="TextBody"/>
        <w:bidi w:val="0"/>
        <w:spacing w:before="0" w:after="0"/>
        <w:ind w:left="0" w:right="0" w:hanging="0"/>
        <w:jc w:val="left"/>
        <w:rPr>
          <w:caps w:val="false"/>
          <w:smallCaps w:val="false"/>
        </w:rPr>
      </w:pPr>
      <w:r>
        <w:rPr>
          <w:caps w:val="false"/>
          <w:smallCaps w:val="false"/>
        </w:rPr>
        <w:t> </w:t>
      </w:r>
    </w:p>
    <w:tbl>
      <w:tblPr>
        <w:tblW w:w="9755" w:type="dxa"/>
        <w:jc w:val="left"/>
        <w:tblInd w:w="0" w:type="dxa"/>
        <w:tblLayout w:type="fixed"/>
        <w:tblCellMar>
          <w:top w:w="0" w:type="dxa"/>
          <w:left w:w="0" w:type="dxa"/>
          <w:bottom w:w="0" w:type="dxa"/>
          <w:right w:w="0" w:type="dxa"/>
        </w:tblCellMar>
      </w:tblPr>
      <w:tblGrid>
        <w:gridCol w:w="3530"/>
        <w:gridCol w:w="60"/>
        <w:gridCol w:w="256"/>
        <w:gridCol w:w="1117"/>
        <w:gridCol w:w="164"/>
        <w:gridCol w:w="123"/>
        <w:gridCol w:w="256"/>
        <w:gridCol w:w="1117"/>
        <w:gridCol w:w="80"/>
        <w:gridCol w:w="60"/>
        <w:gridCol w:w="229"/>
        <w:gridCol w:w="1002"/>
        <w:gridCol w:w="147"/>
        <w:gridCol w:w="110"/>
        <w:gridCol w:w="229"/>
        <w:gridCol w:w="1195"/>
        <w:gridCol w:w="80"/>
      </w:tblGrid>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3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64" w:type="dxa"/>
            <w:tcBorders>
              <w:bottom w:val="single" w:sz="2" w:space="0" w:color="000000"/>
            </w:tcBorders>
            <w:tcMar>
              <w:bottom w:w="28" w:type="dxa"/>
            </w:tcMar>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0" w:right="0" w:hanging="0"/>
              <w:jc w:val="left"/>
              <w:rPr/>
            </w:pPr>
            <w:r>
              <w:rPr/>
              <w:t> </w:t>
            </w:r>
          </w:p>
        </w:tc>
        <w:tc>
          <w:tcPr>
            <w:tcW w:w="13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47" w:type="dxa"/>
            <w:tcBorders>
              <w:bottom w:val="single" w:sz="2" w:space="0" w:color="000000"/>
            </w:tcBorders>
            <w:tcMar>
              <w:bottom w:w="28" w:type="dxa"/>
            </w:tcMar>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0"/>
              <w:jc w:val="left"/>
              <w:rPr/>
            </w:pPr>
            <w:r>
              <w:rPr/>
              <w:t> </w:t>
            </w:r>
          </w:p>
        </w:tc>
        <w:tc>
          <w:tcPr>
            <w:tcW w:w="14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(1,239</w:t>
            </w:r>
          </w:p>
        </w:tc>
        <w:tc>
          <w:tcPr>
            <w:tcW w:w="16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3"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(1,597</w:t>
            </w:r>
          </w:p>
        </w:tc>
        <w:tc>
          <w:tcPr>
            <w:tcW w:w="14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center"/>
          </w:tcPr>
          <w:p>
            <w:pPr>
              <w:pStyle w:val="TableContents"/>
              <w:bidi w:val="0"/>
              <w:spacing w:before="0" w:after="283"/>
              <w:ind w:left="0" w:right="0" w:hanging="0"/>
              <w:jc w:val="left"/>
              <w:rPr/>
            </w:pPr>
            <w:r>
              <w:rPr/>
              <w:t> </w:t>
            </w:r>
          </w:p>
        </w:tc>
        <w:tc>
          <w:tcPr>
            <w:tcW w:w="2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(7,850</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5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(loss) income:</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5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(1,343</w:t>
            </w:r>
          </w:p>
        </w:tc>
        <w:tc>
          <w:tcPr>
            <w:tcW w:w="16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3"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w:t>
            </w:r>
          </w:p>
        </w:tc>
        <w:tc>
          <w:tcPr>
            <w:tcW w:w="14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1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(6,152</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5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Derivatives qualifying as hedges, net of tax</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w:t>
            </w:r>
          </w:p>
        </w:tc>
        <w:tc>
          <w:tcPr>
            <w:tcW w:w="1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w:t>
            </w:r>
          </w:p>
        </w:tc>
        <w:tc>
          <w:tcPr>
            <w:tcW w:w="14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(1,226</w:t>
            </w:r>
          </w:p>
        </w:tc>
        <w:tc>
          <w:tcPr>
            <w:tcW w:w="16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3" w:type="dxa"/>
            <w:tcBorders/>
            <w:shd w:fill="CCEEFF" w:val="clear"/>
            <w:vAlign w:val="center"/>
          </w:tcPr>
          <w:p>
            <w:pPr>
              <w:pStyle w:val="TableContents"/>
              <w:bidi w:val="0"/>
              <w:spacing w:before="0" w:after="283"/>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w:t>
            </w:r>
          </w:p>
        </w:tc>
        <w:tc>
          <w:tcPr>
            <w:tcW w:w="14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center"/>
          </w:tcPr>
          <w:p>
            <w:pPr>
              <w:pStyle w:val="TableContents"/>
              <w:bidi w:val="0"/>
              <w:spacing w:before="0" w:after="283"/>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(6,152</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5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(2,465</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3" w:type="dxa"/>
            <w:tcBorders/>
            <w:shd w:fill="FFFF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(6,341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(1,825</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(14,002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40" w:right="0" w:hanging="328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HARVARD BIOSCIENCE, INC.</w:t>
      </w:r>
      <w:bookmarkStart w:id="8" w:name="equ"/>
      <w:bookmarkEnd w:id="8"/>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CONSOLIDATED STATEMENTS OF STOCKHOLDERS' EQUITY</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(Unaudited, in thousands)</w:t>
      </w:r>
    </w:p>
    <w:p>
      <w:pPr>
        <w:pStyle w:val="TextBody"/>
        <w:bidi w:val="0"/>
        <w:spacing w:before="0" w:after="0"/>
        <w:ind w:left="0" w:right="0" w:hanging="0"/>
        <w:jc w:val="left"/>
        <w:rPr>
          <w:caps w:val="false"/>
          <w:smallCaps w:val="false"/>
        </w:rPr>
      </w:pPr>
      <w:r>
        <w:rPr>
          <w:caps w:val="false"/>
          <w:smallCaps w:val="false"/>
        </w:rPr>
        <w:t> </w:t>
      </w:r>
    </w:p>
    <w:tbl>
      <w:tblPr>
        <w:tblW w:w="9767" w:type="dxa"/>
        <w:jc w:val="left"/>
        <w:tblInd w:w="0" w:type="dxa"/>
        <w:tblLayout w:type="fixed"/>
        <w:tblCellMar>
          <w:top w:w="0" w:type="dxa"/>
          <w:left w:w="0" w:type="dxa"/>
          <w:bottom w:w="0" w:type="dxa"/>
          <w:right w:w="0" w:type="dxa"/>
        </w:tblCellMar>
      </w:tblPr>
      <w:tblGrid>
        <w:gridCol w:w="2900"/>
        <w:gridCol w:w="60"/>
        <w:gridCol w:w="71"/>
        <w:gridCol w:w="713"/>
        <w:gridCol w:w="60"/>
        <w:gridCol w:w="60"/>
        <w:gridCol w:w="209"/>
        <w:gridCol w:w="561"/>
        <w:gridCol w:w="60"/>
        <w:gridCol w:w="60"/>
        <w:gridCol w:w="146"/>
        <w:gridCol w:w="818"/>
        <w:gridCol w:w="60"/>
        <w:gridCol w:w="60"/>
        <w:gridCol w:w="158"/>
        <w:gridCol w:w="957"/>
        <w:gridCol w:w="80"/>
        <w:gridCol w:w="60"/>
        <w:gridCol w:w="208"/>
        <w:gridCol w:w="1087"/>
        <w:gridCol w:w="80"/>
        <w:gridCol w:w="60"/>
        <w:gridCol w:w="202"/>
        <w:gridCol w:w="957"/>
        <w:gridCol w:w="80"/>
      </w:tblGrid>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60" w:type="dxa"/>
            <w:tcBorders/>
            <w:vAlign w:val="center"/>
          </w:tcPr>
          <w:p>
            <w:pPr>
              <w:pStyle w:val="TableContents"/>
              <w:bidi w:val="0"/>
              <w:spacing w:before="0" w:after="283"/>
              <w:ind w:left="0" w:right="0" w:hanging="0"/>
              <w:jc w:val="left"/>
              <w:rPr/>
            </w:pPr>
            <w:r>
              <w:rPr/>
              <w:t> </w:t>
            </w:r>
          </w:p>
        </w:tc>
        <w:tc>
          <w:tcPr>
            <w:tcW w:w="784"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w:t>
            </w:r>
            <w:r>
              <w:rPr>
                <w:rFonts w:ascii="Times New Roman" w:hAnsi="Times New Roman"/>
                <w:b/>
                <w:caps w:val="false"/>
                <w:smallCaps w:val="false"/>
                <w:sz w:val="20"/>
              </w:rPr>
              <w:t xml:space="preserv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r>
              <w:rPr>
                <w:rFonts w:ascii="Times New Roman" w:hAnsi="Times New Roman"/>
                <w:b/>
                <w:caps w:val="false"/>
                <w:smallCaps w:val="false"/>
                <w:sz w:val="20"/>
              </w:rPr>
              <w:t xml:space="preserv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 2023</w:t>
            </w:r>
          </w:p>
        </w:tc>
        <w:tc>
          <w:tcPr>
            <w:tcW w:w="60" w:type="dxa"/>
            <w:tcBorders/>
            <w:vAlign w:val="center"/>
          </w:tcPr>
          <w:p>
            <w:pPr>
              <w:pStyle w:val="TableContents"/>
              <w:bidi w:val="0"/>
              <w:spacing w:before="0" w:after="283"/>
              <w:ind w:left="0" w:right="0" w:hanging="0"/>
              <w:jc w:val="left"/>
              <w:rPr/>
            </w:pPr>
            <w:r>
              <w:rPr/>
              <w:t> </w:t>
            </w:r>
          </w:p>
        </w:tc>
        <w:tc>
          <w:tcPr>
            <w:tcW w:w="784"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0"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w:t>
            </w:r>
            <w:r>
              <w:rPr>
                <w:rFonts w:ascii="Times New Roman" w:hAnsi="Times New Roman"/>
                <w:b/>
                <w:caps w:val="false"/>
                <w:smallCaps w:val="false"/>
                <w:sz w:val="20"/>
              </w:rPr>
              <w:t>’</w:t>
            </w:r>
          </w:p>
        </w:tc>
        <w:tc>
          <w:tcPr>
            <w:tcW w:w="8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Issued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at June 30, 2023</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(142,548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(14,054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75,388</w:t>
            </w:r>
          </w:p>
        </w:tc>
        <w:tc>
          <w:tcPr>
            <w:tcW w:w="8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1,363</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0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at September 30, 2023</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42,688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232,896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(143,787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(15,280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74,286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9807" w:type="dxa"/>
        <w:jc w:val="left"/>
        <w:tblInd w:w="0" w:type="dxa"/>
        <w:tblLayout w:type="fixed"/>
        <w:tblCellMar>
          <w:top w:w="0" w:type="dxa"/>
          <w:left w:w="0" w:type="dxa"/>
          <w:bottom w:w="0" w:type="dxa"/>
          <w:right w:w="0" w:type="dxa"/>
        </w:tblCellMar>
      </w:tblPr>
      <w:tblGrid>
        <w:gridCol w:w="2900"/>
        <w:gridCol w:w="60"/>
        <w:gridCol w:w="71"/>
        <w:gridCol w:w="713"/>
        <w:gridCol w:w="80"/>
        <w:gridCol w:w="60"/>
        <w:gridCol w:w="209"/>
        <w:gridCol w:w="561"/>
        <w:gridCol w:w="60"/>
        <w:gridCol w:w="60"/>
        <w:gridCol w:w="146"/>
        <w:gridCol w:w="818"/>
        <w:gridCol w:w="80"/>
        <w:gridCol w:w="60"/>
        <w:gridCol w:w="158"/>
        <w:gridCol w:w="957"/>
        <w:gridCol w:w="80"/>
        <w:gridCol w:w="60"/>
        <w:gridCol w:w="208"/>
        <w:gridCol w:w="1087"/>
        <w:gridCol w:w="80"/>
        <w:gridCol w:w="60"/>
        <w:gridCol w:w="202"/>
        <w:gridCol w:w="957"/>
        <w:gridCol w:w="80"/>
      </w:tblGrid>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60" w:type="dxa"/>
            <w:tcBorders/>
            <w:vAlign w:val="center"/>
          </w:tcPr>
          <w:p>
            <w:pPr>
              <w:pStyle w:val="TableContents"/>
              <w:bidi w:val="0"/>
              <w:spacing w:before="0" w:after="283"/>
              <w:ind w:left="0" w:right="0" w:hanging="0"/>
              <w:jc w:val="left"/>
              <w:rPr/>
            </w:pPr>
            <w:r>
              <w:rPr/>
              <w:t> </w:t>
            </w:r>
          </w:p>
        </w:tc>
        <w:tc>
          <w:tcPr>
            <w:tcW w:w="784"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w:t>
            </w:r>
            <w:r>
              <w:rPr>
                <w:rFonts w:ascii="Times New Roman" w:hAnsi="Times New Roman"/>
                <w:b/>
                <w:caps w:val="false"/>
                <w:smallCaps w:val="false"/>
                <w:sz w:val="20"/>
              </w:rPr>
              <w:t xml:space="preserve">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r>
              <w:rPr>
                <w:rFonts w:ascii="Times New Roman" w:hAnsi="Times New Roman"/>
                <w:b/>
                <w:caps w:val="false"/>
                <w:smallCaps w:val="false"/>
                <w:sz w:val="20"/>
              </w:rPr>
              <w:t xml:space="preserve">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 2022</w:t>
            </w:r>
          </w:p>
        </w:tc>
        <w:tc>
          <w:tcPr>
            <w:tcW w:w="60" w:type="dxa"/>
            <w:tcBorders/>
            <w:vAlign w:val="center"/>
          </w:tcPr>
          <w:p>
            <w:pPr>
              <w:pStyle w:val="TableContents"/>
              <w:bidi w:val="0"/>
              <w:spacing w:before="0" w:after="283"/>
              <w:ind w:left="0" w:right="0" w:hanging="0"/>
              <w:jc w:val="left"/>
              <w:rPr/>
            </w:pPr>
            <w:r>
              <w:rPr/>
              <w:t> </w:t>
            </w:r>
          </w:p>
        </w:tc>
        <w:tc>
          <w:tcPr>
            <w:tcW w:w="784"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of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0"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w:t>
            </w:r>
            <w:r>
              <w:rPr>
                <w:rFonts w:ascii="Times New Roman" w:hAnsi="Times New Roman"/>
                <w:b/>
                <w:caps w:val="false"/>
                <w:smallCaps w:val="false"/>
                <w:sz w:val="20"/>
              </w:rPr>
              <w:t>’</w:t>
            </w:r>
          </w:p>
        </w:tc>
        <w:tc>
          <w:tcPr>
            <w:tcW w:w="8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Issued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at June 30, 2022</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227,413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(137,119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(13,243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77,504</w:t>
            </w:r>
          </w:p>
        </w:tc>
        <w:tc>
          <w:tcPr>
            <w:tcW w:w="8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 option exercises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Shares withheld for taxes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1,139</w:t>
            </w:r>
          </w:p>
        </w:tc>
        <w:tc>
          <w:tcPr>
            <w:tcW w:w="8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0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at September 30, 2022</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41,657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228,229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(140,524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(16,179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71,979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9807" w:type="dxa"/>
        <w:jc w:val="left"/>
        <w:tblInd w:w="0" w:type="dxa"/>
        <w:tblLayout w:type="fixed"/>
        <w:tblCellMar>
          <w:top w:w="0" w:type="dxa"/>
          <w:left w:w="0" w:type="dxa"/>
          <w:bottom w:w="0" w:type="dxa"/>
          <w:right w:w="0" w:type="dxa"/>
        </w:tblCellMar>
      </w:tblPr>
      <w:tblGrid>
        <w:gridCol w:w="2900"/>
        <w:gridCol w:w="60"/>
        <w:gridCol w:w="71"/>
        <w:gridCol w:w="713"/>
        <w:gridCol w:w="80"/>
        <w:gridCol w:w="60"/>
        <w:gridCol w:w="209"/>
        <w:gridCol w:w="561"/>
        <w:gridCol w:w="60"/>
        <w:gridCol w:w="60"/>
        <w:gridCol w:w="146"/>
        <w:gridCol w:w="818"/>
        <w:gridCol w:w="80"/>
        <w:gridCol w:w="60"/>
        <w:gridCol w:w="158"/>
        <w:gridCol w:w="957"/>
        <w:gridCol w:w="80"/>
        <w:gridCol w:w="60"/>
        <w:gridCol w:w="208"/>
        <w:gridCol w:w="1087"/>
        <w:gridCol w:w="80"/>
        <w:gridCol w:w="60"/>
        <w:gridCol w:w="202"/>
        <w:gridCol w:w="957"/>
        <w:gridCol w:w="80"/>
      </w:tblGrid>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tc>
        <w:tc>
          <w:tcPr>
            <w:tcW w:w="60" w:type="dxa"/>
            <w:tcBorders/>
            <w:vAlign w:val="center"/>
          </w:tcPr>
          <w:p>
            <w:pPr>
              <w:pStyle w:val="TableContents"/>
              <w:bidi w:val="0"/>
              <w:spacing w:before="0" w:after="283"/>
              <w:ind w:left="0" w:right="0" w:hanging="0"/>
              <w:jc w:val="left"/>
              <w:rPr/>
            </w:pPr>
            <w:r>
              <w:rPr/>
              <w:t> </w:t>
            </w:r>
          </w:p>
        </w:tc>
        <w:tc>
          <w:tcPr>
            <w:tcW w:w="784"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w:t>
            </w:r>
            <w:r>
              <w:rPr>
                <w:rFonts w:ascii="Times New Roman" w:hAnsi="Times New Roman"/>
                <w:b/>
                <w:caps w:val="false"/>
                <w:smallCaps w:val="false"/>
                <w:sz w:val="20"/>
              </w:rPr>
              <w:t xml:space="preserve">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r>
              <w:rPr>
                <w:rFonts w:ascii="Times New Roman" w:hAnsi="Times New Roman"/>
                <w:b/>
                <w:caps w:val="false"/>
                <w:smallCaps w:val="false"/>
                <w:sz w:val="20"/>
              </w:rPr>
              <w:t xml:space="preserve">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 2023</w:t>
            </w:r>
          </w:p>
        </w:tc>
        <w:tc>
          <w:tcPr>
            <w:tcW w:w="60" w:type="dxa"/>
            <w:tcBorders/>
            <w:vAlign w:val="center"/>
          </w:tcPr>
          <w:p>
            <w:pPr>
              <w:pStyle w:val="TableContents"/>
              <w:bidi w:val="0"/>
              <w:spacing w:before="0" w:after="283"/>
              <w:ind w:left="0" w:right="0" w:hanging="0"/>
              <w:jc w:val="left"/>
              <w:rPr/>
            </w:pPr>
            <w:r>
              <w:rPr/>
              <w:t> </w:t>
            </w:r>
          </w:p>
        </w:tc>
        <w:tc>
          <w:tcPr>
            <w:tcW w:w="784"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of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0"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w:t>
            </w:r>
            <w:r>
              <w:rPr>
                <w:rFonts w:ascii="Times New Roman" w:hAnsi="Times New Roman"/>
                <w:b/>
                <w:caps w:val="false"/>
                <w:smallCaps w:val="false"/>
                <w:sz w:val="20"/>
              </w:rPr>
              <w:t>’</w:t>
            </w:r>
          </w:p>
        </w:tc>
        <w:tc>
          <w:tcPr>
            <w:tcW w:w="8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Issued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at December 31, 2022</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42,082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229,008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(142,190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(15,052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72,220</w:t>
            </w:r>
          </w:p>
        </w:tc>
        <w:tc>
          <w:tcPr>
            <w:tcW w:w="8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 option exercises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509</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 purchase plan</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w:t>
            </w:r>
          </w:p>
        </w:tc>
        <w:tc>
          <w:tcPr>
            <w:tcW w:w="8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Vesting of restricted stock units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Shares withheld for taxes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3,618</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0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at September 30, 2023</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42,688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232,896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(143,787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(15,280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74,286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9807" w:type="dxa"/>
        <w:jc w:val="left"/>
        <w:tblInd w:w="0" w:type="dxa"/>
        <w:tblLayout w:type="fixed"/>
        <w:tblCellMar>
          <w:top w:w="0" w:type="dxa"/>
          <w:left w:w="0" w:type="dxa"/>
          <w:bottom w:w="0" w:type="dxa"/>
          <w:right w:w="0" w:type="dxa"/>
        </w:tblCellMar>
      </w:tblPr>
      <w:tblGrid>
        <w:gridCol w:w="2900"/>
        <w:gridCol w:w="60"/>
        <w:gridCol w:w="71"/>
        <w:gridCol w:w="713"/>
        <w:gridCol w:w="80"/>
        <w:gridCol w:w="60"/>
        <w:gridCol w:w="209"/>
        <w:gridCol w:w="561"/>
        <w:gridCol w:w="60"/>
        <w:gridCol w:w="60"/>
        <w:gridCol w:w="146"/>
        <w:gridCol w:w="818"/>
        <w:gridCol w:w="80"/>
        <w:gridCol w:w="60"/>
        <w:gridCol w:w="158"/>
        <w:gridCol w:w="957"/>
        <w:gridCol w:w="80"/>
        <w:gridCol w:w="60"/>
        <w:gridCol w:w="208"/>
        <w:gridCol w:w="1087"/>
        <w:gridCol w:w="80"/>
        <w:gridCol w:w="60"/>
        <w:gridCol w:w="202"/>
        <w:gridCol w:w="957"/>
        <w:gridCol w:w="80"/>
      </w:tblGrid>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tc>
        <w:tc>
          <w:tcPr>
            <w:tcW w:w="60" w:type="dxa"/>
            <w:tcBorders/>
            <w:vAlign w:val="center"/>
          </w:tcPr>
          <w:p>
            <w:pPr>
              <w:pStyle w:val="TableContents"/>
              <w:bidi w:val="0"/>
              <w:spacing w:before="0" w:after="283"/>
              <w:ind w:left="0" w:right="0" w:hanging="0"/>
              <w:jc w:val="left"/>
              <w:rPr/>
            </w:pPr>
            <w:r>
              <w:rPr/>
              <w:t> </w:t>
            </w:r>
          </w:p>
        </w:tc>
        <w:tc>
          <w:tcPr>
            <w:tcW w:w="784"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w:t>
            </w:r>
            <w:r>
              <w:rPr>
                <w:rFonts w:ascii="Times New Roman" w:hAnsi="Times New Roman"/>
                <w:b/>
                <w:caps w:val="false"/>
                <w:smallCaps w:val="false"/>
                <w:sz w:val="20"/>
              </w:rPr>
              <w:t xml:space="preserve">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r>
              <w:rPr>
                <w:rFonts w:ascii="Times New Roman" w:hAnsi="Times New Roman"/>
                <w:b/>
                <w:caps w:val="false"/>
                <w:smallCaps w:val="false"/>
                <w:sz w:val="20"/>
              </w:rPr>
              <w:t xml:space="preserve">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 2022</w:t>
            </w:r>
          </w:p>
        </w:tc>
        <w:tc>
          <w:tcPr>
            <w:tcW w:w="60" w:type="dxa"/>
            <w:tcBorders/>
            <w:vAlign w:val="center"/>
          </w:tcPr>
          <w:p>
            <w:pPr>
              <w:pStyle w:val="TableContents"/>
              <w:bidi w:val="0"/>
              <w:spacing w:before="0" w:after="283"/>
              <w:ind w:left="0" w:right="0" w:hanging="0"/>
              <w:jc w:val="left"/>
              <w:rPr/>
            </w:pPr>
            <w:r>
              <w:rPr/>
              <w:t> </w:t>
            </w:r>
          </w:p>
        </w:tc>
        <w:tc>
          <w:tcPr>
            <w:tcW w:w="784"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of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0"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w:t>
            </w:r>
            <w:r>
              <w:rPr>
                <w:rFonts w:ascii="Times New Roman" w:hAnsi="Times New Roman"/>
                <w:b/>
                <w:caps w:val="false"/>
                <w:smallCaps w:val="false"/>
                <w:sz w:val="20"/>
              </w:rPr>
              <w:t>’</w:t>
            </w:r>
          </w:p>
        </w:tc>
        <w:tc>
          <w:tcPr>
            <w:tcW w:w="8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Issued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at December 31, 2021</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41,143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225,650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(132,674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(10,027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83,401</w:t>
            </w:r>
          </w:p>
        </w:tc>
        <w:tc>
          <w:tcPr>
            <w:tcW w:w="8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 option exercises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 purchase plan</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w:t>
            </w:r>
          </w:p>
        </w:tc>
        <w:tc>
          <w:tcPr>
            <w:tcW w:w="8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Vesting of restricted stock units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Shares withheld for taxes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3,401</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(7,850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(7,850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(6,152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(6,152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0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at September 30, 2022</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41,657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228,229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(140,524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(16,179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71,979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HARVARD BIOSCIENCE, INC.</w:t>
      </w:r>
      <w:bookmarkStart w:id="9" w:name="cf"/>
      <w:bookmarkEnd w:id="9"/>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CONSOLIDATED STATEMENTS OF CASH FLOWS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(Unaudited, in thousands)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138" w:type="dxa"/>
        <w:jc w:val="left"/>
        <w:tblInd w:w="0" w:type="dxa"/>
        <w:tblLayout w:type="fixed"/>
        <w:tblCellMar>
          <w:top w:w="0" w:type="dxa"/>
          <w:left w:w="0" w:type="dxa"/>
          <w:bottom w:w="0" w:type="dxa"/>
          <w:right w:w="0" w:type="dxa"/>
        </w:tblCellMar>
      </w:tblPr>
      <w:tblGrid>
        <w:gridCol w:w="7085"/>
        <w:gridCol w:w="60"/>
        <w:gridCol w:w="246"/>
        <w:gridCol w:w="1073"/>
        <w:gridCol w:w="157"/>
        <w:gridCol w:w="118"/>
        <w:gridCol w:w="246"/>
        <w:gridCol w:w="1073"/>
        <w:gridCol w:w="80"/>
      </w:tblGrid>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57" w:type="dxa"/>
            <w:tcBorders>
              <w:bottom w:val="single" w:sz="2" w:space="0" w:color="000000"/>
            </w:tcBorders>
            <w:tcMar>
              <w:bottom w:w="28" w:type="dxa"/>
            </w:tcMar>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ind w:left="0" w:right="0" w:hanging="0"/>
              <w:jc w:val="left"/>
              <w:rPr/>
            </w:pPr>
            <w:r>
              <w:rPr/>
              <w:t> </w:t>
            </w:r>
          </w:p>
        </w:tc>
        <w:tc>
          <w:tcPr>
            <w:tcW w:w="13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24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(1,597</w:t>
            </w:r>
          </w:p>
        </w:tc>
        <w:tc>
          <w:tcPr>
            <w:tcW w:w="15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8" w:type="dxa"/>
            <w:tcBorders/>
            <w:shd w:fill="FFFFFF" w:val="clear"/>
            <w:vAlign w:val="center"/>
          </w:tcPr>
          <w:p>
            <w:pPr>
              <w:pStyle w:val="TableContents"/>
              <w:bidi w:val="0"/>
              <w:spacing w:before="0" w:after="283"/>
              <w:ind w:left="0" w:right="0" w:hanging="0"/>
              <w:jc w:val="left"/>
              <w:rPr/>
            </w:pPr>
            <w:r>
              <w:rPr/>
              <w:t> </w:t>
            </w:r>
          </w:p>
        </w:tc>
        <w:tc>
          <w:tcPr>
            <w:tcW w:w="24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(7,850</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1,083</w:t>
            </w:r>
          </w:p>
        </w:tc>
        <w:tc>
          <w:tcPr>
            <w:tcW w:w="15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1,122</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4,138</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4,492</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Amortization of deferred financing costs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w:t>
            </w:r>
          </w:p>
        </w:tc>
        <w:tc>
          <w:tcPr>
            <w:tcW w:w="15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3,618</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3,401</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income taxes and other</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w:t>
            </w:r>
          </w:p>
        </w:tc>
        <w:tc>
          <w:tcPr>
            <w:tcW w:w="15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Unrealized loss on equity securities - Note 14</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Convertible Preferred Stock received in Biostage settlement - Note 14</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w:t>
            </w:r>
          </w:p>
        </w:tc>
        <w:tc>
          <w:tcPr>
            <w:tcW w:w="15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Gain on sale of product line</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(403</w:t>
            </w:r>
          </w:p>
        </w:tc>
        <w:tc>
          <w:tcPr>
            <w:tcW w:w="15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1,751</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6,060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w:t>
            </w:r>
          </w:p>
        </w:tc>
        <w:tc>
          <w:tcPr>
            <w:tcW w:w="15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15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(811</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0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and other current liabilities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695</w:t>
            </w:r>
          </w:p>
        </w:tc>
        <w:tc>
          <w:tcPr>
            <w:tcW w:w="15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(2,379</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635</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(551</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0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liabilities</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(993</w:t>
            </w:r>
          </w:p>
        </w:tc>
        <w:tc>
          <w:tcPr>
            <w:tcW w:w="15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8" w:type="dxa"/>
            <w:tcBorders/>
            <w:shd w:fill="FFFFFF" w:val="clear"/>
            <w:vAlign w:val="center"/>
          </w:tcPr>
          <w:p>
            <w:pPr>
              <w:pStyle w:val="TableContents"/>
              <w:bidi w:val="0"/>
              <w:spacing w:before="0" w:after="283"/>
              <w:jc w:val="left"/>
              <w:rPr/>
            </w:pPr>
            <w:r>
              <w:rPr/>
              <w:t> </w:t>
            </w:r>
          </w:p>
        </w:tc>
        <w:tc>
          <w:tcPr>
            <w:tcW w:w="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(832</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9,725</w:t>
            </w:r>
          </w:p>
        </w:tc>
        <w:tc>
          <w:tcPr>
            <w:tcW w:w="15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(1,527</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0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Additions to property, plant and equipment</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(958</w:t>
            </w:r>
          </w:p>
        </w:tc>
        <w:tc>
          <w:tcPr>
            <w:tcW w:w="15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Acquisition of intangible assets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w:t>
            </w:r>
          </w:p>
        </w:tc>
        <w:tc>
          <w:tcPr>
            <w:tcW w:w="15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sale of product line</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512</w:t>
            </w:r>
          </w:p>
        </w:tc>
        <w:tc>
          <w:tcPr>
            <w:tcW w:w="15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(738</w:t>
            </w:r>
          </w:p>
        </w:tc>
        <w:tc>
          <w:tcPr>
            <w:tcW w:w="15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8" w:type="dxa"/>
            <w:tcBorders/>
            <w:shd w:fill="FFFFFF" w:val="clear"/>
            <w:vAlign w:val="center"/>
          </w:tcPr>
          <w:p>
            <w:pPr>
              <w:pStyle w:val="TableContents"/>
              <w:bidi w:val="0"/>
              <w:spacing w:before="0" w:after="283"/>
              <w:jc w:val="left"/>
              <w:rPr/>
            </w:pPr>
            <w:r>
              <w:rPr/>
              <w:t> </w:t>
            </w:r>
          </w:p>
        </w:tc>
        <w:tc>
          <w:tcPr>
            <w:tcW w:w="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(1,355</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Borrowing from revolving line of credit</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3,500</w:t>
            </w:r>
          </w:p>
        </w:tc>
        <w:tc>
          <w:tcPr>
            <w:tcW w:w="15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7,800</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Repayment of revolving line of credit</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(8,450</w:t>
            </w:r>
          </w:p>
        </w:tc>
        <w:tc>
          <w:tcPr>
            <w:tcW w:w="15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(4,650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Repayment of term debt</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(3,341</w:t>
            </w:r>
          </w:p>
        </w:tc>
        <w:tc>
          <w:tcPr>
            <w:tcW w:w="15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exercise of stock options and employee stock purchase plan</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724</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346</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Taxes paid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w:t>
            </w:r>
          </w:p>
        </w:tc>
        <w:tc>
          <w:tcPr>
            <w:tcW w:w="15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8" w:type="dxa"/>
            <w:tcBorders/>
            <w:shd w:fill="FFFFFF" w:val="clear"/>
            <w:vAlign w:val="center"/>
          </w:tcPr>
          <w:p>
            <w:pPr>
              <w:pStyle w:val="TableContents"/>
              <w:bidi w:val="0"/>
              <w:spacing w:before="0" w:after="283"/>
              <w:jc w:val="left"/>
              <w:rPr/>
            </w:pPr>
            <w:r>
              <w:rPr/>
              <w:t> </w:t>
            </w:r>
          </w:p>
        </w:tc>
        <w:tc>
          <w:tcPr>
            <w:tcW w:w="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(1,167</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(8,018</w:t>
            </w:r>
          </w:p>
        </w:tc>
        <w:tc>
          <w:tcPr>
            <w:tcW w:w="15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8" w:type="dxa"/>
            <w:tcBorders/>
            <w:shd w:fill="CCEEFF" w:val="clear"/>
            <w:vAlign w:val="center"/>
          </w:tcPr>
          <w:p>
            <w:pPr>
              <w:pStyle w:val="TableContents"/>
              <w:bidi w:val="0"/>
              <w:spacing w:before="0" w:after="283"/>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0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w:t>
            </w:r>
          </w:p>
        </w:tc>
        <w:tc>
          <w:tcPr>
            <w:tcW w:w="15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8" w:type="dxa"/>
            <w:tcBorders/>
            <w:shd w:fill="FFFFFF" w:val="clear"/>
            <w:vAlign w:val="center"/>
          </w:tcPr>
          <w:p>
            <w:pPr>
              <w:pStyle w:val="TableContents"/>
              <w:bidi w:val="0"/>
              <w:spacing w:before="0" w:after="283"/>
              <w:jc w:val="left"/>
              <w:rPr/>
            </w:pPr>
            <w:r>
              <w:rPr/>
              <w:t> </w:t>
            </w:r>
          </w:p>
        </w:tc>
        <w:tc>
          <w:tcPr>
            <w:tcW w:w="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832</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(2,677</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0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at beginning of period</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4,508</w:t>
            </w:r>
          </w:p>
        </w:tc>
        <w:tc>
          <w:tcPr>
            <w:tcW w:w="15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7,821</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5,340</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5,144</w:t>
            </w:r>
          </w:p>
        </w:tc>
        <w:tc>
          <w:tcPr>
            <w:tcW w:w="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8464" w:type="dxa"/>
            <w:gridSpan w:val="4"/>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Supplemental disclosures of cash flow information:</w:t>
            </w:r>
          </w:p>
        </w:tc>
        <w:tc>
          <w:tcPr>
            <w:tcW w:w="15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paid for 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3,006</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paid for income taxes, net of refunds</w:t>
            </w:r>
          </w:p>
        </w:tc>
        <w:tc>
          <w:tcPr>
            <w:tcW w:w="60" w:type="dxa"/>
            <w:tcBorders/>
            <w:shd w:fill="FFFFFF" w:val="clear"/>
            <w:vAlign w:val="center"/>
          </w:tcPr>
          <w:p>
            <w:pPr>
              <w:pStyle w:val="TableContents"/>
              <w:bidi w:val="0"/>
              <w:spacing w:before="0" w:after="283"/>
              <w:ind w:left="0" w:right="0" w:hanging="0"/>
              <w:jc w:val="left"/>
              <w:rPr/>
            </w:pPr>
            <w:r>
              <w:rPr/>
              <w:t> </w:t>
            </w:r>
          </w:p>
        </w:tc>
        <w:tc>
          <w:tcPr>
            <w:tcW w:w="2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w:t>
            </w:r>
          </w:p>
        </w:tc>
        <w:tc>
          <w:tcPr>
            <w:tcW w:w="15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2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0" w:name="notes"/>
      <w:bookmarkEnd w:id="10"/>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8515" w:type="dxa"/>
        <w:jc w:val="left"/>
        <w:tblInd w:w="0" w:type="dxa"/>
        <w:tblLayout w:type="fixed"/>
        <w:tblCellMar>
          <w:top w:w="0" w:type="dxa"/>
          <w:left w:w="0" w:type="dxa"/>
          <w:bottom w:w="0" w:type="dxa"/>
          <w:right w:w="0" w:type="dxa"/>
        </w:tblCellMar>
      </w:tblPr>
      <w:tblGrid>
        <w:gridCol w:w="170"/>
        <w:gridCol w:w="834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1.</w:t>
            </w:r>
          </w:p>
        </w:tc>
        <w:tc>
          <w:tcPr>
            <w:tcW w:w="83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Basis of Presentation and Summary of Significant Accounting Policies, and Risks and Uncertainties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b/>
          <w:i/>
          <w:caps w:val="false"/>
          <w:smallCaps w:val="false"/>
          <w:sz w:val="20"/>
        </w:rPr>
      </w:pPr>
      <w:r>
        <w:rPr>
          <w:rFonts w:ascii="Times New Roman" w:hAnsi="Times New Roman"/>
          <w:b/>
          <w:i/>
          <w:caps w:val="false"/>
          <w:smallCaps w:val="false"/>
          <w:sz w:val="20"/>
        </w:rPr>
        <w:t>Basis of Presentation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unaudited consolidated financial statements of Harvard Bioscience, Inc. and its wholly-owned subsidiaries (collectively, the “Company”) as of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have been prepared by the Company pursuant to the rules and regulations of the Securities and Exchange Commission (the “SEC”). Certain information and footnote disclosures normally included in financial statements prepared in accordance with U.S. generally accepted accounting principles (“U.S. GAAP”) have been condensed or omitted pursuant to such rules and regulations. The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consolidated balance sheet was derived from audited financial statements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disclosures required by U.S. GAAP. However, the Company believes that the disclosures are adequate to make the information presented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misleading. These unaudited consolidated financial statements should be read in conjunction with the consolidated financial statements and the notes thereto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fiscal year ended </w:t>
      </w:r>
      <w:r>
        <w:rPr>
          <w:rStyle w:val="Emphasis"/>
          <w:rFonts w:ascii="Times New Roman" w:hAnsi="Times New Roman"/>
          <w:caps w:val="false"/>
          <w:smallCaps w:val="false"/>
          <w:sz w:val="20"/>
        </w:rPr>
        <w:t>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the opinion of management, all adjustments, which include normal recurring adjustments necessary to present a fair statement of financial position as of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results of operations and comprehensive income (loss) and cash flows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as applicable, have been made. The results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operating results for the full fiscal year or any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accounting policies underlying the accompanying unaudited consolidated financial statements are set forth in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to the consolidated financial statements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Except as described below, there have been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changes in the Company’s significant accounting policies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b/>
          <w:i/>
          <w:caps w:val="false"/>
          <w:smallCaps w:val="false"/>
          <w:sz w:val="20"/>
        </w:rPr>
      </w:pPr>
      <w:r>
        <w:rPr>
          <w:rFonts w:ascii="Times New Roman" w:hAnsi="Times New Roman"/>
          <w:b/>
          <w:i/>
          <w:caps w:val="false"/>
          <w:smallCaps w:val="false"/>
          <w:sz w:val="20"/>
        </w:rPr>
        <w:t>Marketable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Equity securities traded in active markets are marked to market at each balance sheet date based on their prices as quoted on the relevant stock exchange. Fair value mark-to-market adjustments are recorded as non-operating gains (losses) in the consolidated statement of operations. The Company’s investments in marketable equity securities are classified in the consolidated balance sheet based on the nature of the securities and their availability for use in current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b/>
          <w:i/>
          <w:caps w:val="false"/>
          <w:smallCaps w:val="false"/>
          <w:sz w:val="20"/>
        </w:rPr>
      </w:pPr>
      <w:r>
        <w:rPr>
          <w:rFonts w:ascii="Times New Roman" w:hAnsi="Times New Roman"/>
          <w:b/>
          <w:i/>
          <w:caps w:val="false"/>
          <w:smallCaps w:val="false"/>
          <w:sz w:val="20"/>
        </w:rPr>
        <w:t>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global supply chain has experienced significant disruptions over the last few years due to electronic component and labor shortages and other macroeconomic factors which have emerged since the onset of COVID-</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This has led to increased cost of freight, purchased materials, and manufacturing labor costs, while also delaying customer shipments. Additionally, the global economy has recently experienced increasing uncertainty, including inflationary pressure, rising interest rates, and fluctuations in exchange rates. These conditions have negatively impacted the Company’s past business, results of operations, and cash flow. Recent events in Ukraine and the Middle East, as well as delays in U.S. government funding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lead to additional economic uncertainties. If these factors are prolonged or are more severe than anticipated, the Company’s business, results of operations, and cash flow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materially impacted.</w:t>
      </w:r>
    </w:p>
    <w:p>
      <w:pPr>
        <w:pStyle w:val="TextBody"/>
        <w:bidi w:val="0"/>
        <w:spacing w:before="0" w:after="0"/>
        <w:ind w:left="0" w:right="0" w:firstLine="440"/>
        <w:jc w:val="both"/>
        <w:rPr>
          <w:caps w:val="false"/>
          <w:smallCaps w:val="false"/>
        </w:rPr>
      </w:pPr>
      <w:r>
        <w:rPr>
          <w:caps w:val="false"/>
          <w:smallCaps w:val="false"/>
        </w:rPr>
        <w:t> </w:t>
      </w:r>
    </w:p>
    <w:p>
      <w:pPr>
        <w:pStyle w:val="TextBody"/>
        <w:bidi w:val="0"/>
        <w:spacing w:before="0" w:after="0"/>
        <w:jc w:val="left"/>
        <w:rPr/>
      </w:pPr>
      <w:r>
        <w:rPr/>
        <w:t xml:space="preserve">  </w:t>
      </w:r>
    </w:p>
    <w:tbl>
      <w:tblPr>
        <w:tblW w:w="4135" w:type="dxa"/>
        <w:jc w:val="left"/>
        <w:tblInd w:w="0" w:type="dxa"/>
        <w:tblLayout w:type="fixed"/>
        <w:tblCellMar>
          <w:top w:w="0" w:type="dxa"/>
          <w:left w:w="0" w:type="dxa"/>
          <w:bottom w:w="0" w:type="dxa"/>
          <w:right w:w="0" w:type="dxa"/>
        </w:tblCellMar>
      </w:tblPr>
      <w:tblGrid>
        <w:gridCol w:w="170"/>
        <w:gridCol w:w="396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2.</w:t>
            </w:r>
          </w:p>
        </w:tc>
        <w:tc>
          <w:tcPr>
            <w:tcW w:w="39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Recently</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Adopted Accounting Pronouncements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2017, </w:t>
      </w:r>
      <w:r>
        <w:rPr>
          <w:rFonts w:ascii="Times New Roman" w:hAnsi="Times New Roman"/>
          <w:caps w:val="false"/>
          <w:smallCaps w:val="false"/>
          <w:sz w:val="20"/>
        </w:rPr>
        <w:t xml:space="preserve">the Financial Accounting Standards Board (“FASB”) issued Accounting Standards Update (“ASU”) </w:t>
      </w:r>
      <w:r>
        <w:rPr>
          <w:rStyle w:val="Emphasis"/>
          <w:rFonts w:ascii="Times New Roman" w:hAnsi="Times New Roman"/>
          <w:caps w:val="false"/>
          <w:smallCaps w:val="false"/>
          <w:sz w:val="20"/>
        </w:rPr>
        <w:t>2017</w:t>
      </w:r>
      <w:r>
        <w:rPr>
          <w:rFonts w:ascii="Times New Roman" w:hAnsi="Times New Roman"/>
          <w:caps w:val="false"/>
          <w:smallCaps w:val="false"/>
          <w:sz w:val="20"/>
        </w:rPr>
        <w:t>-</w:t>
      </w:r>
      <w:r>
        <w:rPr>
          <w:rStyle w:val="Emphasis"/>
          <w:rFonts w:ascii="Times New Roman" w:hAnsi="Times New Roman"/>
          <w:caps w:val="false"/>
          <w:smallCaps w:val="false"/>
          <w:sz w:val="20"/>
        </w:rPr>
        <w:t>04,</w:t>
      </w:r>
      <w:r>
        <w:rPr>
          <w:rFonts w:ascii="Times New Roman" w:hAnsi="Times New Roman"/>
          <w:caps w:val="false"/>
          <w:smallCaps w:val="false"/>
          <w:sz w:val="20"/>
        </w:rPr>
        <w:t xml:space="preserve"> </w:t>
      </w:r>
      <w:r>
        <w:rPr>
          <w:rFonts w:ascii="Times New Roman" w:hAnsi="Times New Roman"/>
          <w:i/>
          <w:caps w:val="false"/>
          <w:smallCaps w:val="false"/>
          <w:sz w:val="20"/>
        </w:rPr>
        <w:t>Intangibles</w:t>
      </w:r>
      <w:r>
        <w:rPr>
          <w:rFonts w:ascii="Times New Roman" w:hAnsi="Times New Roman"/>
          <w:caps w:val="false"/>
          <w:smallCaps w:val="false"/>
          <w:sz w:val="20"/>
        </w:rPr>
        <w:t>—</w:t>
      </w:r>
      <w:r>
        <w:rPr>
          <w:rFonts w:ascii="Times New Roman" w:hAnsi="Times New Roman"/>
          <w:i/>
          <w:caps w:val="false"/>
          <w:smallCaps w:val="false"/>
          <w:sz w:val="20"/>
        </w:rPr>
        <w:t xml:space="preserve">Goodwill and Other (Topic </w:t>
      </w:r>
      <w:r>
        <w:rPr>
          <w:rStyle w:val="Emphasis"/>
          <w:rFonts w:ascii="Times New Roman" w:hAnsi="Times New Roman"/>
          <w:i/>
          <w:caps w:val="false"/>
          <w:smallCaps w:val="false"/>
          <w:sz w:val="20"/>
        </w:rPr>
        <w:t>350</w:t>
      </w:r>
      <w:r>
        <w:rPr>
          <w:rFonts w:ascii="Times New Roman" w:hAnsi="Times New Roman"/>
          <w:i/>
          <w:caps w:val="false"/>
          <w:smallCaps w:val="false"/>
          <w:sz w:val="20"/>
        </w:rPr>
        <w:t>): Simplifying the Test for Goodwill Impairment</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2017</w:t>
      </w:r>
      <w:r>
        <w:rPr>
          <w:rFonts w:ascii="Times New Roman" w:hAnsi="Times New Roman"/>
          <w:caps w:val="false"/>
          <w:smallCaps w:val="false"/>
          <w:sz w:val="20"/>
        </w:rPr>
        <w:t>-</w:t>
      </w:r>
      <w:r>
        <w:rPr>
          <w:rStyle w:val="Emphasis"/>
          <w:rFonts w:ascii="Times New Roman" w:hAnsi="Times New Roman"/>
          <w:caps w:val="false"/>
          <w:smallCaps w:val="false"/>
          <w:sz w:val="20"/>
        </w:rPr>
        <w:t>04”</w:t>
      </w:r>
      <w:r>
        <w:rPr>
          <w:rFonts w:ascii="Times New Roman" w:hAnsi="Times New Roman"/>
          <w:caps w:val="false"/>
          <w:smallCaps w:val="false"/>
          <w:sz w:val="20"/>
        </w:rPr>
        <w:t xml:space="preserve">), which eliminates the performance of Step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from the goodwill impairment test. In performing its annual or interim impairment testing, an entity will instead compare the fair value of the reporting unit with its carrying amount and recognize any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The Company adopted ASU </w:t>
      </w:r>
      <w:r>
        <w:rPr>
          <w:rStyle w:val="Emphasis"/>
          <w:rFonts w:ascii="Times New Roman" w:hAnsi="Times New Roman"/>
          <w:caps w:val="false"/>
          <w:smallCaps w:val="false"/>
          <w:sz w:val="20"/>
        </w:rPr>
        <w:t>2016</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effective </w:t>
      </w:r>
      <w:r>
        <w:rPr>
          <w:rStyle w:val="Emphasis"/>
          <w:rFonts w:ascii="Times New Roman" w:hAnsi="Times New Roman"/>
          <w:caps w:val="false"/>
          <w:smallCaps w:val="false"/>
          <w:sz w:val="20"/>
        </w:rPr>
        <w:t xml:space="preserve">January 1, 2023 </w:t>
      </w:r>
      <w:r>
        <w:rPr>
          <w:rFonts w:ascii="Times New Roman" w:hAnsi="Times New Roman"/>
          <w:caps w:val="false"/>
          <w:smallCaps w:val="false"/>
          <w:sz w:val="20"/>
        </w:rPr>
        <w:t xml:space="preserve">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impact to the consolidated financial statements. The Company will perform future goodwill impairment test according to ASU </w:t>
      </w:r>
      <w:r>
        <w:rPr>
          <w:rStyle w:val="Emphasis"/>
          <w:rFonts w:ascii="Times New Roman" w:hAnsi="Times New Roman"/>
          <w:caps w:val="false"/>
          <w:smallCaps w:val="false"/>
          <w:sz w:val="20"/>
        </w:rPr>
        <w:t>2017</w:t>
      </w:r>
      <w:r>
        <w:rPr>
          <w:rFonts w:ascii="Times New Roman" w:hAnsi="Times New Roman"/>
          <w:caps w:val="false"/>
          <w:smallCaps w:val="false"/>
          <w:sz w:val="20"/>
        </w:rPr>
        <w:t>-</w:t>
      </w:r>
      <w:r>
        <w:rPr>
          <w:rStyle w:val="Emphasis"/>
          <w:rFonts w:ascii="Times New Roman" w:hAnsi="Times New Roman"/>
          <w:caps w:val="false"/>
          <w:smallCaps w:val="false"/>
          <w:sz w:val="20"/>
        </w:rPr>
        <w:t>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2016,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2016</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w:t>
      </w:r>
      <w:r>
        <w:rPr>
          <w:rFonts w:ascii="Times New Roman" w:hAnsi="Times New Roman"/>
          <w:i/>
          <w:caps w:val="false"/>
          <w:smallCaps w:val="false"/>
          <w:sz w:val="20"/>
        </w:rPr>
        <w:t>Financial Instruments</w:t>
      </w:r>
      <w:r>
        <w:rPr>
          <w:rFonts w:ascii="Times New Roman" w:hAnsi="Times New Roman"/>
          <w:caps w:val="false"/>
          <w:smallCaps w:val="false"/>
          <w:sz w:val="20"/>
        </w:rPr>
        <w:t>—</w:t>
      </w:r>
      <w:r>
        <w:rPr>
          <w:rFonts w:ascii="Times New Roman" w:hAnsi="Times New Roman"/>
          <w:i/>
          <w:caps w:val="false"/>
          <w:smallCaps w:val="false"/>
          <w:sz w:val="20"/>
        </w:rPr>
        <w:t xml:space="preserve">Credit Losses (Topic </w:t>
      </w:r>
      <w:r>
        <w:rPr>
          <w:rStyle w:val="Emphasis"/>
          <w:rFonts w:ascii="Times New Roman" w:hAnsi="Times New Roman"/>
          <w:i/>
          <w:caps w:val="false"/>
          <w:smallCaps w:val="false"/>
          <w:sz w:val="20"/>
        </w:rPr>
        <w:t>326</w:t>
      </w:r>
      <w:r>
        <w:rPr>
          <w:rFonts w:ascii="Times New Roman" w:hAnsi="Times New Roman"/>
          <w:i/>
          <w:caps w:val="false"/>
          <w:smallCaps w:val="false"/>
          <w:sz w:val="20"/>
        </w:rPr>
        <w:t>): Measurement of Credit Losses on Financial Instruments</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2016</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which amends the impairment model by requiring entities to use a forward-looking approach based on expected losses rather than incurred losses to estimate credit losses on certain types of financial instruments, including trade receivables. This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result in the earlier recognition of allowances for losses. The FASB issued several ASUs after ASU </w:t>
      </w:r>
      <w:r>
        <w:rPr>
          <w:rStyle w:val="Emphasis"/>
          <w:rFonts w:ascii="Times New Roman" w:hAnsi="Times New Roman"/>
          <w:caps w:val="false"/>
          <w:smallCaps w:val="false"/>
          <w:sz w:val="20"/>
        </w:rPr>
        <w:t>2016</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to clarify implementation guidance and to provide transition relief for certain entities. The Company adopted ASU </w:t>
      </w:r>
      <w:r>
        <w:rPr>
          <w:rStyle w:val="Emphasis"/>
          <w:rFonts w:ascii="Times New Roman" w:hAnsi="Times New Roman"/>
          <w:caps w:val="false"/>
          <w:smallCaps w:val="false"/>
          <w:sz w:val="20"/>
        </w:rPr>
        <w:t>2016</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effective </w:t>
      </w:r>
      <w:r>
        <w:rPr>
          <w:rStyle w:val="Emphasis"/>
          <w:rFonts w:ascii="Times New Roman" w:hAnsi="Times New Roman"/>
          <w:caps w:val="false"/>
          <w:smallCaps w:val="false"/>
          <w:sz w:val="20"/>
        </w:rPr>
        <w:t xml:space="preserve">January 1, 2023, </w:t>
      </w:r>
      <w:r>
        <w:rPr>
          <w:rFonts w:ascii="Times New Roman" w:hAnsi="Times New Roman"/>
          <w:caps w:val="false"/>
          <w:smallCaps w:val="false"/>
          <w:sz w:val="20"/>
        </w:rPr>
        <w:t>which resulted in an immaterial impact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800" w:type="dxa"/>
        <w:jc w:val="left"/>
        <w:tblInd w:w="0" w:type="dxa"/>
        <w:tblLayout w:type="fixed"/>
        <w:tblCellMar>
          <w:top w:w="0" w:type="dxa"/>
          <w:left w:w="0" w:type="dxa"/>
          <w:bottom w:w="0" w:type="dxa"/>
          <w:right w:w="0" w:type="dxa"/>
        </w:tblCellMar>
      </w:tblPr>
      <w:tblGrid>
        <w:gridCol w:w="170"/>
        <w:gridCol w:w="263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3.</w:t>
            </w:r>
          </w:p>
        </w:tc>
        <w:tc>
          <w:tcPr>
            <w:tcW w:w="263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Goodwill and Intangible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change in the carrying amount of goodwill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is as follows:</w:t>
      </w:r>
    </w:p>
    <w:p>
      <w:pPr>
        <w:pStyle w:val="TextBody"/>
        <w:bidi w:val="0"/>
        <w:spacing w:before="0" w:after="0"/>
        <w:ind w:left="0" w:right="0" w:hanging="0"/>
        <w:jc w:val="left"/>
        <w:rPr>
          <w:caps w:val="false"/>
          <w:smallCaps w:val="false"/>
        </w:rPr>
      </w:pPr>
      <w:r>
        <w:rPr>
          <w:caps w:val="false"/>
          <w:smallCaps w:val="false"/>
        </w:rPr>
        <w:t> </w:t>
      </w:r>
    </w:p>
    <w:tbl>
      <w:tblPr>
        <w:tblW w:w="4145" w:type="dxa"/>
        <w:jc w:val="left"/>
        <w:tblInd w:w="0" w:type="dxa"/>
        <w:tblLayout w:type="fixed"/>
        <w:tblCellMar>
          <w:top w:w="0" w:type="dxa"/>
          <w:left w:w="0" w:type="dxa"/>
          <w:bottom w:w="0" w:type="dxa"/>
          <w:right w:w="0" w:type="dxa"/>
        </w:tblCellMar>
      </w:tblPr>
      <w:tblGrid>
        <w:gridCol w:w="3275"/>
        <w:gridCol w:w="60"/>
        <w:gridCol w:w="125"/>
        <w:gridCol w:w="590"/>
        <w:gridCol w:w="95"/>
      </w:tblGrid>
      <w:tr>
        <w:trPr/>
        <w:tc>
          <w:tcPr>
            <w:tcW w:w="3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Carrying amount at December 31, 2022</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56,260</w:t>
            </w:r>
          </w:p>
        </w:tc>
        <w:tc>
          <w:tcPr>
            <w:tcW w:w="9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change in currency translation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Carrying amount at September 30,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56,222</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Intangible assets at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consist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00"/>
        <w:gridCol w:w="60"/>
        <w:gridCol w:w="225"/>
        <w:gridCol w:w="470"/>
        <w:gridCol w:w="60"/>
        <w:gridCol w:w="60"/>
        <w:gridCol w:w="125"/>
        <w:gridCol w:w="590"/>
        <w:gridCol w:w="60"/>
        <w:gridCol w:w="60"/>
        <w:gridCol w:w="175"/>
        <w:gridCol w:w="910"/>
        <w:gridCol w:w="80"/>
        <w:gridCol w:w="60"/>
        <w:gridCol w:w="125"/>
        <w:gridCol w:w="590"/>
        <w:gridCol w:w="60"/>
        <w:gridCol w:w="60"/>
        <w:gridCol w:w="125"/>
        <w:gridCol w:w="590"/>
        <w:gridCol w:w="60"/>
        <w:gridCol w:w="60"/>
        <w:gridCol w:w="175"/>
        <w:gridCol w:w="910"/>
        <w:gridCol w:w="80"/>
        <w:gridCol w:w="60"/>
        <w:gridCol w:w="125"/>
        <w:gridCol w:w="590"/>
        <w:gridCol w:w="60"/>
      </w:tblGrid>
      <w:tr>
        <w:trPr/>
        <w:tc>
          <w:tcPr>
            <w:tcW w:w="3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7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7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r>
      <w:tr>
        <w:trPr/>
        <w:tc>
          <w:tcPr>
            <w:tcW w:w="3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Amortizable intangible assets:</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Life*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Gross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Amortization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Net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Gross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Amortization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Net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6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Distribution agreements/customer relationships</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(9,467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(8,727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7,397</w:t>
            </w:r>
          </w:p>
        </w:tc>
        <w:tc>
          <w:tcPr>
            <w:tcW w:w="60" w:type="dxa"/>
            <w:tcBorders/>
            <w:shd w:fill="CCEEFF" w:val="clear"/>
            <w:vAlign w:val="center"/>
          </w:tcPr>
          <w:p>
            <w:pPr>
              <w:pStyle w:val="TableContents"/>
              <w:bidi w:val="0"/>
              <w:spacing w:before="0" w:after="283"/>
              <w:jc w:val="left"/>
              <w:rPr/>
            </w:pPr>
            <w:r>
              <w:rPr/>
              <w:t> </w:t>
            </w:r>
          </w:p>
        </w:tc>
      </w:tr>
      <w:tr>
        <w:trPr/>
        <w:tc>
          <w:tcPr>
            <w:tcW w:w="36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Existing technology &amp; software development</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470"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(28,851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(26,482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11,067</w:t>
            </w:r>
          </w:p>
        </w:tc>
        <w:tc>
          <w:tcPr>
            <w:tcW w:w="60" w:type="dxa"/>
            <w:tcBorders/>
            <w:shd w:fill="FFFFFF" w:val="clear"/>
            <w:vAlign w:val="center"/>
          </w:tcPr>
          <w:p>
            <w:pPr>
              <w:pStyle w:val="TableContents"/>
              <w:bidi w:val="0"/>
              <w:spacing w:before="0" w:after="283"/>
              <w:jc w:val="left"/>
              <w:rPr/>
            </w:pPr>
            <w:r>
              <w:rPr/>
              <w:t> </w:t>
            </w:r>
          </w:p>
        </w:tc>
      </w:tr>
      <w:tr>
        <w:trPr/>
        <w:tc>
          <w:tcPr>
            <w:tcW w:w="36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Trade names and patents</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7,484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(5,774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7,523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(5,197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6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amortizable intangible assets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60,991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(44,092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16,899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61,196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(40,406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20,790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6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Indefinite-lived intangible assets:</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6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intangible assets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17,095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21,014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*Weighted average life in years as of </w:t>
      </w:r>
      <w:r>
        <w:rPr>
          <w:rStyle w:val="Emphasis"/>
          <w:rFonts w:ascii="Times New Roman" w:hAnsi="Times New Roman"/>
          <w:caps w:val="false"/>
          <w:smallCaps w:val="false"/>
          <w:sz w:val="20"/>
        </w:rPr>
        <w:t>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Intangible asset amortization expense was $1.4 million and $1.6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and $4.1 million and $4.5 million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Estimated amortization expense of existing amortizable intangible assets for each of the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succeeding years and thereafter as of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is as follows:</w:t>
      </w:r>
    </w:p>
    <w:p>
      <w:pPr>
        <w:pStyle w:val="TextBody"/>
        <w:bidi w:val="0"/>
        <w:spacing w:before="0" w:after="0"/>
        <w:ind w:left="0" w:right="0" w:hanging="0"/>
        <w:jc w:val="left"/>
        <w:rPr>
          <w:caps w:val="false"/>
          <w:smallCaps w:val="false"/>
        </w:rPr>
      </w:pPr>
      <w:r>
        <w:rPr>
          <w:caps w:val="false"/>
          <w:smallCaps w:val="false"/>
        </w:rPr>
        <w:t> </w:t>
      </w:r>
    </w:p>
    <w:tbl>
      <w:tblPr>
        <w:tblW w:w="3180" w:type="dxa"/>
        <w:jc w:val="left"/>
        <w:tblInd w:w="0" w:type="dxa"/>
        <w:tblLayout w:type="fixed"/>
        <w:tblCellMar>
          <w:top w:w="0" w:type="dxa"/>
          <w:left w:w="0" w:type="dxa"/>
          <w:bottom w:w="0" w:type="dxa"/>
          <w:right w:w="0" w:type="dxa"/>
        </w:tblCellMar>
      </w:tblPr>
      <w:tblGrid>
        <w:gridCol w:w="2330"/>
        <w:gridCol w:w="60"/>
        <w:gridCol w:w="125"/>
        <w:gridCol w:w="590"/>
        <w:gridCol w:w="75"/>
      </w:tblGrid>
      <w:tr>
        <w:trPr/>
        <w:tc>
          <w:tcPr>
            <w:tcW w:w="23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2023 (remainder of the year)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1,383</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5,234</w:t>
            </w:r>
          </w:p>
        </w:tc>
        <w:tc>
          <w:tcPr>
            <w:tcW w:w="75"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4,019</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2,358</w:t>
            </w:r>
          </w:p>
        </w:tc>
        <w:tc>
          <w:tcPr>
            <w:tcW w:w="75"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w:t>
            </w:r>
          </w:p>
        </w:tc>
        <w:tc>
          <w:tcPr>
            <w:tcW w:w="75"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1,336</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16,899</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455" w:type="dxa"/>
        <w:jc w:val="left"/>
        <w:tblInd w:w="0" w:type="dxa"/>
        <w:tblLayout w:type="fixed"/>
        <w:tblCellMar>
          <w:top w:w="0" w:type="dxa"/>
          <w:left w:w="0" w:type="dxa"/>
          <w:bottom w:w="0" w:type="dxa"/>
          <w:right w:w="0" w:type="dxa"/>
        </w:tblCellMar>
      </w:tblPr>
      <w:tblGrid>
        <w:gridCol w:w="170"/>
        <w:gridCol w:w="228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4.</w:t>
            </w:r>
          </w:p>
        </w:tc>
        <w:tc>
          <w:tcPr>
            <w:tcW w:w="22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Sheet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tables provide details of selected balance sheet items as of the periods indicated:</w:t>
      </w:r>
    </w:p>
    <w:p>
      <w:pPr>
        <w:pStyle w:val="TextBody"/>
        <w:bidi w:val="0"/>
        <w:spacing w:before="0" w:after="0"/>
        <w:ind w:left="0" w:right="0" w:hanging="0"/>
        <w:jc w:val="left"/>
        <w:rPr>
          <w:caps w:val="false"/>
          <w:smallCaps w:val="false"/>
        </w:rPr>
      </w:pPr>
      <w:r>
        <w:rPr>
          <w:caps w:val="false"/>
          <w:smallCaps w:val="false"/>
        </w:rPr>
        <w:t> </w:t>
      </w:r>
    </w:p>
    <w:tbl>
      <w:tblPr>
        <w:tblW w:w="4888" w:type="dxa"/>
        <w:jc w:val="left"/>
        <w:tblInd w:w="0" w:type="dxa"/>
        <w:tblLayout w:type="fixed"/>
        <w:tblCellMar>
          <w:top w:w="0" w:type="dxa"/>
          <w:left w:w="0" w:type="dxa"/>
          <w:bottom w:w="0" w:type="dxa"/>
          <w:right w:w="0" w:type="dxa"/>
        </w:tblCellMar>
      </w:tblPr>
      <w:tblGrid>
        <w:gridCol w:w="1325"/>
        <w:gridCol w:w="60"/>
        <w:gridCol w:w="293"/>
        <w:gridCol w:w="1391"/>
        <w:gridCol w:w="60"/>
        <w:gridCol w:w="60"/>
        <w:gridCol w:w="284"/>
        <w:gridCol w:w="1355"/>
        <w:gridCol w:w="60"/>
      </w:tblGrid>
      <w:tr>
        <w:trPr/>
        <w:tc>
          <w:tcPr>
            <w:tcW w:w="1325"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Inventories:</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3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Finished goods</w:t>
            </w:r>
          </w:p>
        </w:tc>
        <w:tc>
          <w:tcPr>
            <w:tcW w:w="60" w:type="dxa"/>
            <w:tcBorders/>
            <w:shd w:fill="CCEEFF" w:val="clear"/>
            <w:vAlign w:val="center"/>
          </w:tcPr>
          <w:p>
            <w:pPr>
              <w:pStyle w:val="TableContents"/>
              <w:bidi w:val="0"/>
              <w:spacing w:before="0" w:after="283"/>
              <w:ind w:left="0" w:right="0" w:hanging="0"/>
              <w:jc w:val="left"/>
              <w:rPr/>
            </w:pPr>
            <w:r>
              <w:rPr/>
              <w:t> </w:t>
            </w:r>
          </w:p>
        </w:tc>
        <w:tc>
          <w:tcPr>
            <w:tcW w:w="29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5,223</w:t>
            </w:r>
          </w:p>
        </w:tc>
        <w:tc>
          <w:tcPr>
            <w:tcW w:w="60"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ind w:left="0" w:right="0" w:hanging="0"/>
              <w:jc w:val="left"/>
              <w:rPr/>
            </w:pPr>
            <w:r>
              <w:rPr/>
              <w:t> </w:t>
            </w:r>
          </w:p>
        </w:tc>
        <w:tc>
          <w:tcPr>
            <w:tcW w:w="13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ind w:left="0" w:right="0" w:hanging="0"/>
              <w:jc w:val="left"/>
              <w:rPr/>
            </w:pPr>
            <w:r>
              <w:rPr/>
              <w:t> </w:t>
            </w:r>
          </w:p>
        </w:tc>
        <w:tc>
          <w:tcPr>
            <w:tcW w:w="13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3,776</w:t>
            </w:r>
          </w:p>
        </w:tc>
        <w:tc>
          <w:tcPr>
            <w:tcW w:w="60"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Raw materials</w:t>
            </w:r>
          </w:p>
        </w:tc>
        <w:tc>
          <w:tcPr>
            <w:tcW w:w="60" w:type="dxa"/>
            <w:tcBorders/>
            <w:shd w:fill="CCEEFF" w:val="clear"/>
            <w:vAlign w:val="center"/>
          </w:tcPr>
          <w:p>
            <w:pPr>
              <w:pStyle w:val="TableContents"/>
              <w:bidi w:val="0"/>
              <w:spacing w:before="0" w:after="283"/>
              <w:jc w:val="left"/>
              <w:rPr/>
            </w:pPr>
            <w:r>
              <w:rPr/>
              <w:t> </w:t>
            </w:r>
          </w:p>
        </w:tc>
        <w:tc>
          <w:tcPr>
            <w:tcW w:w="2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15,129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17,440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9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25,818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26,439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5698" w:type="dxa"/>
        <w:jc w:val="left"/>
        <w:tblInd w:w="0" w:type="dxa"/>
        <w:tblLayout w:type="fixed"/>
        <w:tblCellMar>
          <w:top w:w="0" w:type="dxa"/>
          <w:left w:w="0" w:type="dxa"/>
          <w:bottom w:w="0" w:type="dxa"/>
          <w:right w:w="0" w:type="dxa"/>
        </w:tblCellMar>
      </w:tblPr>
      <w:tblGrid>
        <w:gridCol w:w="2135"/>
        <w:gridCol w:w="60"/>
        <w:gridCol w:w="344"/>
        <w:gridCol w:w="1340"/>
        <w:gridCol w:w="60"/>
        <w:gridCol w:w="60"/>
        <w:gridCol w:w="335"/>
        <w:gridCol w:w="1304"/>
        <w:gridCol w:w="60"/>
      </w:tblGrid>
      <w:tr>
        <w:trPr/>
        <w:tc>
          <w:tcPr>
            <w:tcW w:w="2135"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Current Liabilities:</w:t>
            </w:r>
          </w:p>
        </w:tc>
        <w:tc>
          <w:tcPr>
            <w:tcW w:w="60"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3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3,476</w:t>
            </w:r>
          </w:p>
        </w:tc>
        <w:tc>
          <w:tcPr>
            <w:tcW w:w="6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 credits</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ind w:left="0" w:right="0" w:hanging="0"/>
              <w:jc w:val="left"/>
              <w:rPr/>
            </w:pPr>
            <w:r>
              <w:rPr/>
              <w:t> </w:t>
            </w:r>
          </w:p>
        </w:tc>
        <w:tc>
          <w:tcPr>
            <w:tcW w:w="13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13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2,368</w:t>
            </w:r>
          </w:p>
        </w:tc>
        <w:tc>
          <w:tcPr>
            <w:tcW w:w="6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Professional fees</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ind w:left="0" w:right="0" w:hanging="0"/>
              <w:jc w:val="left"/>
              <w:rPr/>
            </w:pPr>
            <w:r>
              <w:rPr/>
              <w:t> </w:t>
            </w:r>
          </w:p>
        </w:tc>
        <w:tc>
          <w:tcPr>
            <w:tcW w:w="13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13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w:t>
            </w:r>
          </w:p>
        </w:tc>
        <w:tc>
          <w:tcPr>
            <w:tcW w:w="6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Warranty costs</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ind w:left="0" w:right="0" w:hanging="0"/>
              <w:jc w:val="left"/>
              <w:rPr/>
            </w:pPr>
            <w:r>
              <w:rPr/>
              <w:t> </w:t>
            </w:r>
          </w:p>
        </w:tc>
        <w:tc>
          <w:tcPr>
            <w:tcW w:w="13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13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w:t>
            </w:r>
          </w:p>
        </w:tc>
        <w:tc>
          <w:tcPr>
            <w:tcW w:w="6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3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3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8,336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7,486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250" w:type="dxa"/>
        <w:jc w:val="left"/>
        <w:tblInd w:w="0" w:type="dxa"/>
        <w:tblLayout w:type="fixed"/>
        <w:tblCellMar>
          <w:top w:w="0" w:type="dxa"/>
          <w:left w:w="0" w:type="dxa"/>
          <w:bottom w:w="0" w:type="dxa"/>
          <w:right w:w="0" w:type="dxa"/>
        </w:tblCellMar>
      </w:tblPr>
      <w:tblGrid>
        <w:gridCol w:w="215"/>
        <w:gridCol w:w="3035"/>
      </w:tblGrid>
      <w:tr>
        <w:trPr/>
        <w:tc>
          <w:tcPr>
            <w:tcW w:w="21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5.</w:t>
            </w:r>
            <w:r>
              <w:rPr>
                <w:rFonts w:ascii="Times New Roman;Times;serif" w:hAnsi="Times New Roman;Times;serif"/>
                <w:b/>
                <w:sz w:val="20"/>
              </w:rPr>
              <w:t xml:space="preserve"> </w:t>
            </w:r>
          </w:p>
        </w:tc>
        <w:tc>
          <w:tcPr>
            <w:tcW w:w="30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Restructuring and Other Exit Costs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an ongoing basis, the Company reviews the global economy, the healthcare industry, and the markets in which it competes to identify operational efficiencies, enhance commercial capabilities, and align its cost base and infrastructure with customer needs and its strategic plans. In order to realize these opportunities, the Company undertakes restructuring-type activities from time to time to transform its business. A portion of these transformation activities are considered restructuring costs under ASC </w:t>
      </w:r>
      <w:r>
        <w:rPr>
          <w:rStyle w:val="Emphasis"/>
          <w:rFonts w:ascii="Times New Roman" w:hAnsi="Times New Roman"/>
          <w:caps w:val="false"/>
          <w:smallCaps w:val="false"/>
          <w:sz w:val="20"/>
        </w:rPr>
        <w:t>420</w:t>
      </w:r>
      <w:r>
        <w:rPr>
          <w:rFonts w:ascii="Times New Roman" w:hAnsi="Times New Roman"/>
          <w:caps w:val="false"/>
          <w:smallCaps w:val="false"/>
          <w:sz w:val="20"/>
        </w:rPr>
        <w:t xml:space="preserve"> – </w:t>
      </w:r>
      <w:r>
        <w:rPr>
          <w:rFonts w:ascii="Times New Roman" w:hAnsi="Times New Roman"/>
          <w:i/>
          <w:caps w:val="false"/>
          <w:smallCaps w:val="false"/>
          <w:sz w:val="20"/>
        </w:rPr>
        <w:t>Exit or Disposal Cost Obligations</w:t>
      </w:r>
      <w:r>
        <w:rPr>
          <w:rFonts w:ascii="Times New Roman" w:hAnsi="Times New Roman"/>
          <w:caps w:val="false"/>
          <w:smallCaps w:val="false"/>
          <w:sz w:val="20"/>
        </w:rPr>
        <w:t xml:space="preserve"> and are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2022, </w:t>
      </w:r>
      <w:r>
        <w:rPr>
          <w:rFonts w:ascii="Times New Roman" w:hAnsi="Times New Roman"/>
          <w:caps w:val="false"/>
          <w:smallCaps w:val="false"/>
          <w:sz w:val="20"/>
        </w:rPr>
        <w:t>the Company completed a review of its product portfolio in which the Company identified certain non-strategic products for discontinuation, and recorded charges of $1.3 million included in cost of revenues, in connection with excess and obsolete inventory, and $0.6 million in severance expense included in general and administrative expense, in connection with headcount reductions in Europe and North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760" w:type="dxa"/>
        <w:jc w:val="left"/>
        <w:tblInd w:w="0" w:type="dxa"/>
        <w:tblLayout w:type="fixed"/>
        <w:tblCellMar>
          <w:top w:w="0" w:type="dxa"/>
          <w:left w:w="0" w:type="dxa"/>
          <w:bottom w:w="0" w:type="dxa"/>
          <w:right w:w="0" w:type="dxa"/>
        </w:tblCellMar>
      </w:tblPr>
      <w:tblGrid>
        <w:gridCol w:w="170"/>
        <w:gridCol w:w="59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6.</w:t>
            </w:r>
          </w:p>
        </w:tc>
        <w:tc>
          <w:tcPr>
            <w:tcW w:w="5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has noncancelable operating leases for offices, manufacturing facilities, warehouse space, automobiles and equipment expiring at various dates through </w:t>
      </w:r>
      <w:r>
        <w:rPr>
          <w:rStyle w:val="Emphasis"/>
          <w:rFonts w:ascii="Times New Roman" w:hAnsi="Times New Roman"/>
          <w:caps w:val="false"/>
          <w:smallCaps w:val="false"/>
          <w:sz w:val="20"/>
        </w:rPr>
        <w:t>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components of lease expense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are as follows:</w:t>
      </w:r>
    </w:p>
    <w:p>
      <w:pPr>
        <w:pStyle w:val="TextBody"/>
        <w:bidi w:val="0"/>
        <w:spacing w:before="0" w:after="0"/>
        <w:ind w:left="0" w:right="0" w:hanging="0"/>
        <w:jc w:val="left"/>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1700"/>
        <w:gridCol w:w="60"/>
        <w:gridCol w:w="357"/>
        <w:gridCol w:w="959"/>
        <w:gridCol w:w="229"/>
        <w:gridCol w:w="171"/>
        <w:gridCol w:w="357"/>
        <w:gridCol w:w="959"/>
        <w:gridCol w:w="80"/>
        <w:gridCol w:w="60"/>
        <w:gridCol w:w="267"/>
        <w:gridCol w:w="1039"/>
        <w:gridCol w:w="171"/>
        <w:gridCol w:w="128"/>
        <w:gridCol w:w="267"/>
        <w:gridCol w:w="1039"/>
        <w:gridCol w:w="80"/>
      </w:tblGrid>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3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29" w:type="dxa"/>
            <w:tcBorders>
              <w:bottom w:val="single" w:sz="2" w:space="0" w:color="000000"/>
            </w:tcBorders>
            <w:tcMar>
              <w:bottom w:w="28" w:type="dxa"/>
            </w:tcMar>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ind w:left="0" w:right="0" w:hanging="0"/>
              <w:jc w:val="left"/>
              <w:rPr/>
            </w:pPr>
            <w:r>
              <w:rPr/>
              <w:t> </w:t>
            </w:r>
          </w:p>
        </w:tc>
        <w:tc>
          <w:tcPr>
            <w:tcW w:w="13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71" w:type="dxa"/>
            <w:tcBorders>
              <w:bottom w:val="single" w:sz="2" w:space="0" w:color="000000"/>
            </w:tcBorders>
            <w:tcMar>
              <w:bottom w:w="28" w:type="dxa"/>
            </w:tcMar>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35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491</w:t>
            </w:r>
          </w:p>
        </w:tc>
        <w:tc>
          <w:tcPr>
            <w:tcW w:w="229"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35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1,517</w:t>
            </w:r>
          </w:p>
        </w:tc>
        <w:tc>
          <w:tcPr>
            <w:tcW w:w="17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1,483</w:t>
            </w:r>
          </w:p>
        </w:tc>
        <w:tc>
          <w:tcPr>
            <w:tcW w:w="8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Short-term lease cost</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9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229"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9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0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w:t>
            </w:r>
          </w:p>
        </w:tc>
        <w:tc>
          <w:tcPr>
            <w:tcW w:w="17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0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w:t>
            </w:r>
          </w:p>
        </w:tc>
        <w:tc>
          <w:tcPr>
            <w:tcW w:w="8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Sublease income</w:t>
            </w:r>
          </w:p>
        </w:tc>
        <w:tc>
          <w:tcPr>
            <w:tcW w:w="60" w:type="dxa"/>
            <w:tcBorders/>
            <w:shd w:fill="CCEEFF" w:val="clear"/>
            <w:vAlign w:val="center"/>
          </w:tcPr>
          <w:p>
            <w:pPr>
              <w:pStyle w:val="TableContents"/>
              <w:bidi w:val="0"/>
              <w:spacing w:before="0" w:after="283"/>
              <w:jc w:val="left"/>
              <w:rPr/>
            </w:pPr>
            <w:r>
              <w:rPr/>
              <w:t> </w:t>
            </w:r>
          </w:p>
        </w:tc>
        <w:tc>
          <w:tcPr>
            <w:tcW w:w="3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229"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71" w:type="dxa"/>
            <w:tcBorders/>
            <w:shd w:fill="CCEEFF" w:val="clear"/>
            <w:vAlign w:val="center"/>
          </w:tcPr>
          <w:p>
            <w:pPr>
              <w:pStyle w:val="TableContents"/>
              <w:bidi w:val="0"/>
              <w:spacing w:before="0" w:after="283"/>
              <w:jc w:val="left"/>
              <w:rPr/>
            </w:pPr>
            <w:r>
              <w:rPr/>
              <w:t> </w:t>
            </w:r>
          </w:p>
        </w:tc>
        <w:tc>
          <w:tcPr>
            <w:tcW w:w="3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w:t>
            </w:r>
          </w:p>
        </w:tc>
        <w:tc>
          <w:tcPr>
            <w:tcW w:w="17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8"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cost</w:t>
            </w:r>
          </w:p>
        </w:tc>
        <w:tc>
          <w:tcPr>
            <w:tcW w:w="60" w:type="dxa"/>
            <w:tcBorders/>
            <w:shd w:fill="FFFFFF" w:val="clear"/>
            <w:vAlign w:val="center"/>
          </w:tcPr>
          <w:p>
            <w:pPr>
              <w:pStyle w:val="TableContents"/>
              <w:bidi w:val="0"/>
              <w:spacing w:before="0" w:after="283"/>
              <w:ind w:left="0" w:right="0" w:hanging="0"/>
              <w:jc w:val="left"/>
              <w:rPr/>
            </w:pPr>
            <w:r>
              <w:rPr/>
              <w:t> </w:t>
            </w:r>
          </w:p>
        </w:tc>
        <w:tc>
          <w:tcPr>
            <w:tcW w:w="3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w:t>
            </w:r>
          </w:p>
        </w:tc>
        <w:tc>
          <w:tcPr>
            <w:tcW w:w="22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3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1,591</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Supplemental cash flow information related to the Company's operating leases is as follows: </w:t>
      </w:r>
    </w:p>
    <w:p>
      <w:pPr>
        <w:pStyle w:val="TextBody"/>
        <w:bidi w:val="0"/>
        <w:spacing w:before="0" w:after="0"/>
        <w:ind w:left="0" w:right="0" w:hanging="0"/>
        <w:jc w:val="left"/>
        <w:rPr>
          <w:caps w:val="false"/>
          <w:smallCaps w:val="false"/>
        </w:rPr>
      </w:pPr>
      <w:r>
        <w:rPr>
          <w:caps w:val="false"/>
          <w:smallCaps w:val="false"/>
        </w:rPr>
        <w:t> </w:t>
      </w:r>
    </w:p>
    <w:tbl>
      <w:tblPr>
        <w:tblW w:w="8737" w:type="dxa"/>
        <w:jc w:val="left"/>
        <w:tblInd w:w="0" w:type="dxa"/>
        <w:tblLayout w:type="fixed"/>
        <w:tblCellMar>
          <w:top w:w="0" w:type="dxa"/>
          <w:left w:w="0" w:type="dxa"/>
          <w:bottom w:w="0" w:type="dxa"/>
          <w:right w:w="0" w:type="dxa"/>
        </w:tblCellMar>
      </w:tblPr>
      <w:tblGrid>
        <w:gridCol w:w="5705"/>
        <w:gridCol w:w="60"/>
        <w:gridCol w:w="271"/>
        <w:gridCol w:w="1055"/>
        <w:gridCol w:w="130"/>
        <w:gridCol w:w="130"/>
        <w:gridCol w:w="271"/>
        <w:gridCol w:w="1055"/>
        <w:gridCol w:w="60"/>
      </w:tblGrid>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3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30" w:type="dxa"/>
            <w:tcBorders>
              <w:bottom w:val="single" w:sz="2" w:space="0" w:color="000000"/>
            </w:tcBorders>
            <w:tcMar>
              <w:bottom w:w="28" w:type="dxa"/>
            </w:tcMar>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ind w:left="0" w:right="0" w:hanging="0"/>
              <w:jc w:val="left"/>
              <w:rPr/>
            </w:pPr>
            <w:r>
              <w:rPr/>
              <w:t> </w:t>
            </w:r>
          </w:p>
        </w:tc>
        <w:tc>
          <w:tcPr>
            <w:tcW w:w="13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1,764</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1,759</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Right-of-use assets obtained in exchange for lease obligations</w:t>
            </w:r>
          </w:p>
        </w:tc>
        <w:tc>
          <w:tcPr>
            <w:tcW w:w="60" w:type="dxa"/>
            <w:tcBorders/>
            <w:shd w:fill="FFFFFF" w:val="clear"/>
            <w:vAlign w:val="center"/>
          </w:tcPr>
          <w:p>
            <w:pPr>
              <w:pStyle w:val="TableContents"/>
              <w:bidi w:val="0"/>
              <w:spacing w:before="0" w:after="283"/>
              <w:ind w:left="0" w:right="0" w:hanging="0"/>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Supplemental balance sheet information related to the Company’s operating leases are as follows:</w:t>
      </w:r>
    </w:p>
    <w:p>
      <w:pPr>
        <w:pStyle w:val="TextBody"/>
        <w:bidi w:val="0"/>
        <w:spacing w:before="0" w:after="0"/>
        <w:ind w:left="0" w:right="0" w:hanging="0"/>
        <w:jc w:val="left"/>
        <w:rPr>
          <w:caps w:val="false"/>
          <w:smallCaps w:val="false"/>
        </w:rPr>
      </w:pPr>
      <w:r>
        <w:rPr>
          <w:caps w:val="false"/>
          <w:smallCaps w:val="false"/>
        </w:rPr>
        <w:t> </w:t>
      </w:r>
    </w:p>
    <w:tbl>
      <w:tblPr>
        <w:tblW w:w="7613" w:type="dxa"/>
        <w:jc w:val="left"/>
        <w:tblInd w:w="0" w:type="dxa"/>
        <w:tblLayout w:type="fixed"/>
        <w:tblCellMar>
          <w:top w:w="0" w:type="dxa"/>
          <w:left w:w="0" w:type="dxa"/>
          <w:bottom w:w="0" w:type="dxa"/>
          <w:right w:w="0" w:type="dxa"/>
        </w:tblCellMar>
      </w:tblPr>
      <w:tblGrid>
        <w:gridCol w:w="3800"/>
        <w:gridCol w:w="60"/>
        <w:gridCol w:w="344"/>
        <w:gridCol w:w="1340"/>
        <w:gridCol w:w="185"/>
        <w:gridCol w:w="60"/>
        <w:gridCol w:w="335"/>
        <w:gridCol w:w="1304"/>
        <w:gridCol w:w="185"/>
      </w:tblGrid>
      <w:tr>
        <w:trPr/>
        <w:tc>
          <w:tcPr>
            <w:tcW w:w="38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 2023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2022</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right-of-use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3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5,061</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5,816</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3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2,135</w:t>
            </w:r>
          </w:p>
        </w:tc>
        <w:tc>
          <w:tcPr>
            <w:tcW w:w="18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liabilities, long-term</w:t>
            </w:r>
          </w:p>
        </w:tc>
        <w:tc>
          <w:tcPr>
            <w:tcW w:w="60" w:type="dxa"/>
            <w:tcBorders/>
            <w:shd w:fill="FFFFFF" w:val="clear"/>
            <w:vAlign w:val="center"/>
          </w:tcPr>
          <w:p>
            <w:pPr>
              <w:pStyle w:val="TableContents"/>
              <w:bidi w:val="0"/>
              <w:spacing w:before="0" w:after="283"/>
              <w:jc w:val="left"/>
              <w:rPr/>
            </w:pPr>
            <w:r>
              <w:rPr/>
              <w:t> </w:t>
            </w:r>
          </w:p>
        </w:tc>
        <w:tc>
          <w:tcPr>
            <w:tcW w:w="3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4,418</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3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6,543</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7,417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remaining lease term (years)</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ind w:left="0" w:right="0" w:hanging="0"/>
              <w:jc w:val="left"/>
              <w:rPr/>
            </w:pPr>
            <w:r>
              <w:rPr/>
              <w:t> </w:t>
            </w:r>
          </w:p>
        </w:tc>
        <w:tc>
          <w:tcPr>
            <w:tcW w:w="13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13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18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ind w:left="0" w:right="0" w:hanging="0"/>
              <w:jc w:val="left"/>
              <w:rPr/>
            </w:pPr>
            <w:r>
              <w:rPr/>
              <w:t> </w:t>
            </w:r>
          </w:p>
        </w:tc>
        <w:tc>
          <w:tcPr>
            <w:tcW w:w="13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13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center"/>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Future minimum lease payments for operating leases, with initial terms in excess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at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are as follows:</w:t>
      </w:r>
    </w:p>
    <w:p>
      <w:pPr>
        <w:pStyle w:val="TextBody"/>
        <w:bidi w:val="0"/>
        <w:spacing w:before="0" w:after="0"/>
        <w:ind w:left="0" w:right="0" w:hanging="0"/>
        <w:jc w:val="left"/>
        <w:rPr>
          <w:caps w:val="false"/>
          <w:smallCaps w:val="false"/>
        </w:rPr>
      </w:pPr>
      <w:r>
        <w:rPr>
          <w:caps w:val="false"/>
          <w:smallCaps w:val="false"/>
        </w:rPr>
        <w:t> </w:t>
      </w:r>
    </w:p>
    <w:tbl>
      <w:tblPr>
        <w:tblW w:w="3365" w:type="dxa"/>
        <w:jc w:val="left"/>
        <w:tblInd w:w="0" w:type="dxa"/>
        <w:tblLayout w:type="fixed"/>
        <w:tblCellMar>
          <w:top w:w="0" w:type="dxa"/>
          <w:left w:w="0" w:type="dxa"/>
          <w:bottom w:w="28" w:type="dxa"/>
          <w:right w:w="0" w:type="dxa"/>
        </w:tblCellMar>
      </w:tblPr>
      <w:tblGrid>
        <w:gridCol w:w="2555"/>
        <w:gridCol w:w="60"/>
        <w:gridCol w:w="125"/>
        <w:gridCol w:w="545"/>
        <w:gridCol w:w="80"/>
      </w:tblGrid>
      <w:tr>
        <w:trPr/>
        <w:tc>
          <w:tcPr>
            <w:tcW w:w="255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Year Ending December 31,</w:t>
            </w:r>
          </w:p>
        </w:tc>
        <w:tc>
          <w:tcPr>
            <w:tcW w:w="60" w:type="dxa"/>
            <w:tcBorders>
              <w:bottom w:val="single" w:sz="2" w:space="0" w:color="000000"/>
            </w:tcBorders>
            <w:vAlign w:val="center"/>
          </w:tcPr>
          <w:p>
            <w:pPr>
              <w:pStyle w:val="TableContents"/>
              <w:bidi w:val="0"/>
              <w:spacing w:before="0" w:after="283"/>
              <w:jc w:val="left"/>
              <w:rPr/>
            </w:pPr>
            <w:r>
              <w:rPr/>
              <w:t> </w:t>
            </w:r>
          </w:p>
        </w:tc>
        <w:tc>
          <w:tcPr>
            <w:tcW w:w="125" w:type="dxa"/>
            <w:tcBorders>
              <w:bottom w:val="single" w:sz="2" w:space="0" w:color="000000"/>
            </w:tcBorders>
            <w:vAlign w:val="center"/>
          </w:tcPr>
          <w:p>
            <w:pPr>
              <w:pStyle w:val="TableContents"/>
              <w:bidi w:val="0"/>
              <w:spacing w:before="0" w:after="283"/>
              <w:jc w:val="left"/>
              <w:rPr/>
            </w:pPr>
            <w:r>
              <w:rPr/>
              <w:t> </w:t>
            </w:r>
          </w:p>
        </w:tc>
        <w:tc>
          <w:tcPr>
            <w:tcW w:w="545" w:type="dxa"/>
            <w:tcBorders>
              <w:bottom w:val="single" w:sz="2" w:space="0" w:color="000000"/>
            </w:tcBorders>
            <w:vAlign w:val="center"/>
          </w:tcPr>
          <w:p>
            <w:pPr>
              <w:pStyle w:val="TableContents"/>
              <w:bidi w:val="0"/>
              <w:spacing w:before="0" w:after="283"/>
              <w:jc w:val="left"/>
              <w:rPr/>
            </w:pPr>
            <w:r>
              <w:rPr/>
              <w:t> </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54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2023 (remainder of the year)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1,909</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8,675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imputed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(2,132</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55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operating lease liabilities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6,543</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615" w:type="dxa"/>
        <w:jc w:val="left"/>
        <w:tblInd w:w="0" w:type="dxa"/>
        <w:tblLayout w:type="fixed"/>
        <w:tblCellMar>
          <w:top w:w="0" w:type="dxa"/>
          <w:left w:w="0" w:type="dxa"/>
          <w:bottom w:w="0" w:type="dxa"/>
          <w:right w:w="0" w:type="dxa"/>
        </w:tblCellMar>
      </w:tblPr>
      <w:tblGrid>
        <w:gridCol w:w="170"/>
        <w:gridCol w:w="144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7.</w:t>
            </w:r>
          </w:p>
        </w:tc>
        <w:tc>
          <w:tcPr>
            <w:tcW w:w="14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Long-Term 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the Company’s borrowings are as follows:</w:t>
      </w:r>
    </w:p>
    <w:p>
      <w:pPr>
        <w:pStyle w:val="TextBody"/>
        <w:bidi w:val="0"/>
        <w:spacing w:before="0" w:after="0"/>
        <w:ind w:left="0" w:right="0" w:hanging="0"/>
        <w:jc w:val="left"/>
        <w:rPr>
          <w:caps w:val="false"/>
          <w:smallCaps w:val="false"/>
        </w:rPr>
      </w:pPr>
      <w:r>
        <w:rPr>
          <w:caps w:val="false"/>
          <w:smallCaps w:val="false"/>
        </w:rPr>
        <w:t> </w:t>
      </w:r>
    </w:p>
    <w:tbl>
      <w:tblPr>
        <w:tblW w:w="7313" w:type="dxa"/>
        <w:jc w:val="left"/>
        <w:tblInd w:w="0" w:type="dxa"/>
        <w:tblLayout w:type="fixed"/>
        <w:tblCellMar>
          <w:top w:w="0" w:type="dxa"/>
          <w:left w:w="0" w:type="dxa"/>
          <w:bottom w:w="0" w:type="dxa"/>
          <w:right w:w="0" w:type="dxa"/>
        </w:tblCellMar>
      </w:tblPr>
      <w:tblGrid>
        <w:gridCol w:w="3695"/>
        <w:gridCol w:w="60"/>
        <w:gridCol w:w="293"/>
        <w:gridCol w:w="1391"/>
        <w:gridCol w:w="80"/>
        <w:gridCol w:w="60"/>
        <w:gridCol w:w="284"/>
        <w:gridCol w:w="1355"/>
        <w:gridCol w:w="95"/>
      </w:tblGrid>
      <w:tr>
        <w:trPr/>
        <w:tc>
          <w:tcPr>
            <w:tcW w:w="36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 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2022</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3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loan</w:t>
            </w:r>
          </w:p>
        </w:tc>
        <w:tc>
          <w:tcPr>
            <w:tcW w:w="60" w:type="dxa"/>
            <w:tcBorders/>
            <w:shd w:fill="FFFFFF" w:val="clear"/>
            <w:vAlign w:val="center"/>
          </w:tcPr>
          <w:p>
            <w:pPr>
              <w:pStyle w:val="TableContents"/>
              <w:bidi w:val="0"/>
              <w:spacing w:before="0" w:after="283"/>
              <w:ind w:left="0" w:right="0" w:hanging="0"/>
              <w:jc w:val="left"/>
              <w:rPr/>
            </w:pPr>
            <w:r>
              <w:rPr/>
              <w:t> </w:t>
            </w:r>
          </w:p>
        </w:tc>
        <w:tc>
          <w:tcPr>
            <w:tcW w:w="29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34,814</w:t>
            </w:r>
          </w:p>
        </w:tc>
        <w:tc>
          <w:tcPr>
            <w:tcW w:w="9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line</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ind w:left="0" w:right="0" w:hanging="0"/>
              <w:jc w:val="left"/>
              <w:rPr/>
            </w:pPr>
            <w:r>
              <w:rPr/>
              <w:t> </w:t>
            </w:r>
          </w:p>
        </w:tc>
        <w:tc>
          <w:tcPr>
            <w:tcW w:w="13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13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12,850</w:t>
            </w:r>
          </w:p>
        </w:tc>
        <w:tc>
          <w:tcPr>
            <w:tcW w:w="9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unamortized deferred financing costs</w:t>
            </w:r>
          </w:p>
        </w:tc>
        <w:tc>
          <w:tcPr>
            <w:tcW w:w="60" w:type="dxa"/>
            <w:tcBorders/>
            <w:shd w:fill="FFFFFF" w:val="clear"/>
            <w:vAlign w:val="center"/>
          </w:tcPr>
          <w:p>
            <w:pPr>
              <w:pStyle w:val="TableContents"/>
              <w:bidi w:val="0"/>
              <w:spacing w:before="0" w:after="283"/>
              <w:jc w:val="left"/>
              <w:rPr/>
            </w:pPr>
            <w:r>
              <w:rPr/>
              <w:t> </w:t>
            </w:r>
          </w:p>
        </w:tc>
        <w:tc>
          <w:tcPr>
            <w:tcW w:w="2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ind w:left="0" w:right="0" w:hanging="0"/>
              <w:jc w:val="left"/>
              <w:rPr/>
            </w:pPr>
            <w:r>
              <w:rPr/>
              <w:t> </w:t>
            </w:r>
          </w:p>
        </w:tc>
        <w:tc>
          <w:tcPr>
            <w:tcW w:w="13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13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46,824</w:t>
            </w:r>
          </w:p>
        </w:tc>
        <w:tc>
          <w:tcPr>
            <w:tcW w:w="9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portion of long-term debt</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ind w:left="0" w:right="0" w:hanging="0"/>
              <w:jc w:val="left"/>
              <w:rPr/>
            </w:pPr>
            <w:r>
              <w:rPr/>
              <w:t> </w:t>
            </w:r>
          </w:p>
        </w:tc>
        <w:tc>
          <w:tcPr>
            <w:tcW w:w="13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ind w:left="0" w:right="0" w:hanging="0"/>
              <w:jc w:val="left"/>
              <w:rPr/>
            </w:pPr>
            <w:r>
              <w:rPr/>
              <w:t> </w:t>
            </w:r>
          </w:p>
        </w:tc>
        <w:tc>
          <w:tcPr>
            <w:tcW w:w="13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unamortized deferred financing costs</w:t>
            </w:r>
          </w:p>
        </w:tc>
        <w:tc>
          <w:tcPr>
            <w:tcW w:w="60" w:type="dxa"/>
            <w:tcBorders/>
            <w:shd w:fill="CCEEFF" w:val="clear"/>
            <w:vAlign w:val="center"/>
          </w:tcPr>
          <w:p>
            <w:pPr>
              <w:pStyle w:val="TableContents"/>
              <w:bidi w:val="0"/>
              <w:spacing w:before="0" w:after="283"/>
              <w:jc w:val="left"/>
              <w:rPr/>
            </w:pPr>
            <w:r>
              <w:rPr/>
              <w:t> </w:t>
            </w:r>
          </w:p>
        </w:tc>
        <w:tc>
          <w:tcPr>
            <w:tcW w:w="2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FFFFFF" w:val="clear"/>
            <w:vAlign w:val="center"/>
          </w:tcPr>
          <w:p>
            <w:pPr>
              <w:pStyle w:val="TableContents"/>
              <w:bidi w:val="0"/>
              <w:spacing w:before="0" w:after="283"/>
              <w:ind w:left="0" w:right="0" w:hanging="0"/>
              <w:jc w:val="left"/>
              <w:rPr/>
            </w:pPr>
            <w:r>
              <w:rPr/>
              <w:t> </w:t>
            </w:r>
          </w:p>
        </w:tc>
        <w:tc>
          <w:tcPr>
            <w:tcW w:w="29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35,273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43,013</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2020, </w:t>
      </w:r>
      <w:r>
        <w:rPr>
          <w:rFonts w:ascii="Times New Roman" w:hAnsi="Times New Roman"/>
          <w:caps w:val="false"/>
          <w:smallCaps w:val="false"/>
          <w:sz w:val="20"/>
        </w:rPr>
        <w:t xml:space="preserve">the Company entered into a Credit Agreement (the “Credit Agreement”) with Citizens Bank, N.A., Wells Fargo Bank, National Association, and Silicon Valley Bank (together, the “Lenders”). Effective </w:t>
      </w:r>
      <w:r>
        <w:rPr>
          <w:rStyle w:val="Emphasis"/>
          <w:rFonts w:ascii="Times New Roman" w:hAnsi="Times New Roman"/>
          <w:caps w:val="false"/>
          <w:smallCaps w:val="false"/>
          <w:sz w:val="20"/>
        </w:rPr>
        <w:t xml:space="preserve">March 27, 2023, </w:t>
      </w:r>
      <w:r>
        <w:rPr>
          <w:rFonts w:ascii="Times New Roman" w:hAnsi="Times New Roman"/>
          <w:caps w:val="false"/>
          <w:smallCaps w:val="false"/>
          <w:sz w:val="20"/>
        </w:rPr>
        <w:t xml:space="preserve">all commitments and obligations under the Credit Agreement previously held by Silicon Valley Bank were assumed by First-Citizens Bank &amp; Trust Company. The Credit Agreement provides for a term loan of $40.0 million and a $25.0 million senior revolving credit facility (including a $10.0 million sub-facility for the issuance of letters of credit and a $10.0 million swingline loan sub facility) (collectively, the “Credit Facility”). The Company’s obligations under the Credit Agreement are guaranteed by certain of the Company’s direct, domestic wholly-owned subsidiaries;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the Company’s direct or indirect foreign subsidiaries has guaranteed the Credit Facility. The Company’s obligations under the Credit Agreement are secured by substantially all of the assets of Harvard Bioscience, Inc., and each guarantor (including all or a portion of the equity interests in certain of the Company’s domestic and foreign subsidiaries). The Credit Facility matures on </w:t>
      </w:r>
      <w:r>
        <w:rPr>
          <w:rStyle w:val="Emphasis"/>
          <w:rFonts w:ascii="Times New Roman" w:hAnsi="Times New Roman"/>
          <w:caps w:val="false"/>
          <w:smallCaps w:val="false"/>
          <w:sz w:val="20"/>
        </w:rPr>
        <w:t xml:space="preserve">December 22, 2025. </w:t>
      </w:r>
      <w:r>
        <w:rPr>
          <w:rFonts w:ascii="Times New Roman" w:hAnsi="Times New Roman"/>
          <w:caps w:val="false"/>
          <w:smallCaps w:val="false"/>
          <w:sz w:val="20"/>
        </w:rPr>
        <w:t xml:space="preserve">Issuance costs of $1.4 million are amortized over the contractual term to maturity date on a straight-line basis, which approximates the effective interest method. Available and unused borrowing capacity under the revolving line of credit was $13.0 million as of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based on the Credit Agreement, as amended. Total revolver borrowing capacity is limited by the consolidated net leverage ratio as defined under the amended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Borrowings under the amended Credit Facility will, at the option of the Company, bear interest at either (i) a rate per annum based on the Secured Overnight Financing Rate (“SOFR”) for an interest period of one, two,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plus an applicable interest rate margin determined as provided in the Credit Agreement, as amended (a “SOFR Loan”), or (ii) an alternative base rate plus an applicable interest rate margin, each as determined as provided in the Credit Agreement (an “ABR Loan”). SOFR interest under the Credit Agreement is subject to applicable market rates and a floor of 0.50%. The alternative base rate is based on the Citizens Bank prime rate or the federal funds effective rate of the Federal Reserve Bank of New York and is subject to a floor of 1.0%. The applicable interest rate margin varies from 2.0% per annum to 3.25% per annum for SOFR Loans, and from 1.5% per annum to 3.0% per annum for ABR Loans, in each case depending on the Company’s consolidated leverage ratio and is determined in accordance with a pricing grid set forth in the Credit Agreement. Interest on SOFR Loans is payable in arrears on the last day of each applicable interest period, and interest on ABR Loans is payable in arrears at the end of each calendar quarter.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prepayment penalties in the event the Company elects to prepay and terminate the Credit Facility prior to its scheduled maturity date, subject to SOFR Loan breakage and redeployment costs in certain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center"/>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effective interest rate on the Company borrowings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was 8.3% and 5.8%, respectively, and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was 8.2% and 4.3%, respectively. The weighted average interest rate as of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inclusive of the effect of the Company’s interest rate swaps, was 7.7%. The carrying value of the debt approximates fair value because the interest rate under the obligation approximates market rates of interest available to the Company for similar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term loan amortizes in quarterly installments of $0.75 million for the quarter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$1.0 million per quarter during the next </w:t>
      </w:r>
      <w:r>
        <w:rPr>
          <w:rStyle w:val="Emphasis"/>
          <w:rFonts w:ascii="Times New Roman" w:hAnsi="Times New Roman"/>
          <w:caps w:val="false"/>
          <w:smallCaps w:val="false"/>
          <w:sz w:val="20"/>
        </w:rPr>
        <w:t>seven</w:t>
      </w:r>
      <w:r>
        <w:rPr>
          <w:rFonts w:ascii="Times New Roman" w:hAnsi="Times New Roman"/>
          <w:caps w:val="false"/>
          <w:smallCaps w:val="false"/>
          <w:sz w:val="20"/>
        </w:rPr>
        <w:t xml:space="preserve"> quarters thereafter, with a balloon payment at maturity. Furthermore, within </w:t>
      </w:r>
      <w:r>
        <w:rPr>
          <w:rStyle w:val="Emphasis"/>
          <w:rFonts w:ascii="Times New Roman" w:hAnsi="Times New Roman"/>
          <w:caps w:val="false"/>
          <w:smallCaps w:val="false"/>
          <w:sz w:val="20"/>
        </w:rPr>
        <w:t>ninety</w:t>
      </w:r>
      <w:r>
        <w:rPr>
          <w:rFonts w:ascii="Times New Roman" w:hAnsi="Times New Roman"/>
          <w:caps w:val="false"/>
          <w:smallCaps w:val="false"/>
          <w:sz w:val="20"/>
        </w:rPr>
        <w:t xml:space="preserve"> days after the end of the Company’s fiscal year, the term loan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permanently reduced pursuant to certain mandatory prepayment events including an annual “excess cash flow sweep” of 50% of the consolidated excess cash flow, as defined in the agreement; provided that, in any fiscal year, any voluntary prepayments of the term loans shall be credited against the Company’s “excess cash flow” prepayment obligations on a dollar-for-dollar basis for such fiscal year.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current portion of long-term debt included an excess cash flow sweep of $1.1 million which was paid during the quarter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Amounts outstanding under the revolving credit facility can be repaid at any time but are due in full at maturity.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Credit Agreement, as amended, includes customary affirmative, negative, and financial covenants binding on the Company. The negative covenants limit the ability of the Company, among other things, to incur debt, incur liens, make investments, sell assets and pay dividends on its capital stock. The financial covenants include a maximum consolidated net leverage ratio and a minimum consolidated fixed charge coverage ratio. The Credit Agreement, as amended, also includes customary events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April, 2022, </w:t>
      </w:r>
      <w:r>
        <w:rPr>
          <w:rFonts w:ascii="Times New Roman" w:hAnsi="Times New Roman"/>
          <w:caps w:val="false"/>
          <w:smallCaps w:val="false"/>
          <w:sz w:val="20"/>
        </w:rPr>
        <w:t xml:space="preserve">the Company entered into an amendment to the Credit Agreement which modified, among other things, the financial covenant relating to the consolidated net leverage ratio, and also provided consent for the Biostage Settlement (as defined in Note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November, 2022, </w:t>
      </w:r>
      <w:r>
        <w:rPr>
          <w:rFonts w:ascii="Times New Roman" w:hAnsi="Times New Roman"/>
          <w:caps w:val="false"/>
          <w:smallCaps w:val="false"/>
          <w:sz w:val="20"/>
        </w:rPr>
        <w:t xml:space="preserve">the Company entered into a subsequent amendment to the Credit Agreement which modified, among other things, the financial covenant relating to the consolidated net leverage ratio, and the definition of Consolidated EBITDA used in the calculation of certain financial covenants. The Company was in compliance with the covenants of the Credit Agreement, as amended, as of </w:t>
      </w:r>
      <w:r>
        <w:rPr>
          <w:rStyle w:val="Emphasis"/>
          <w:rFonts w:ascii="Times New Roman" w:hAnsi="Times New Roman"/>
          <w:caps w:val="false"/>
          <w:smallCaps w:val="false"/>
          <w:sz w:val="20"/>
        </w:rPr>
        <w:t>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165" w:type="dxa"/>
        <w:jc w:val="left"/>
        <w:tblInd w:w="0" w:type="dxa"/>
        <w:tblLayout w:type="fixed"/>
        <w:tblCellMar>
          <w:top w:w="0" w:type="dxa"/>
          <w:left w:w="0" w:type="dxa"/>
          <w:bottom w:w="0" w:type="dxa"/>
          <w:right w:w="0" w:type="dxa"/>
        </w:tblCellMar>
      </w:tblPr>
      <w:tblGrid>
        <w:gridCol w:w="170"/>
        <w:gridCol w:w="99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8.</w:t>
            </w:r>
          </w:p>
        </w:tc>
        <w:tc>
          <w:tcPr>
            <w:tcW w:w="9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uses interest-rate-related derivative instruments to manage its exposure related to changes in interest rates on its variable-rate debt instruments.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enter into derivative instruments for any purpose other than cash flow hedging.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By using derivative financial instruments to hedge exposure to changes in interest rates, the Company exposes itself to credit risk and market risk. Credit risk is the failure of the counterparty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exposed to the counterparty’s credit risk in those circumstances. The Company minimizes counterparty credit risk in derivative instruments by entering into transactions with carefully selected major financial institutions based upon their credit profile.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Market risk is the adverse effect on the value of a derivative instrument that results from a change in interest rates. The market risk associated with interest-rate contracts is managed by establishing and monitoring parameters that limit the types and degree of market risk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undertaken. The Company monitors interest rate risk attributable to both its outstanding and forecasted debt obligations by the use of cash flow sensitivity analysis, which estimates the expected impact of changes in interest rates on the Company’s future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28, 2023, </w:t>
      </w:r>
      <w:r>
        <w:rPr>
          <w:rFonts w:ascii="Times New Roman" w:hAnsi="Times New Roman"/>
          <w:caps w:val="false"/>
          <w:smallCaps w:val="false"/>
          <w:sz w:val="20"/>
        </w:rPr>
        <w:t xml:space="preserve">the Company entered into an interest rate swap contract to improve the predictability of cash flows from interest payments related to its variable, SOFR-based debt. The swap contract has a notional amount of $28.8 million as of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matures on </w:t>
      </w:r>
      <w:r>
        <w:rPr>
          <w:rStyle w:val="Emphasis"/>
          <w:rFonts w:ascii="Times New Roman" w:hAnsi="Times New Roman"/>
          <w:caps w:val="false"/>
          <w:smallCaps w:val="false"/>
          <w:sz w:val="20"/>
        </w:rPr>
        <w:t xml:space="preserve">December 22, 2025. </w:t>
      </w:r>
      <w:r>
        <w:rPr>
          <w:rFonts w:ascii="Times New Roman" w:hAnsi="Times New Roman"/>
          <w:caps w:val="false"/>
          <w:smallCaps w:val="false"/>
          <w:sz w:val="20"/>
        </w:rPr>
        <w:t xml:space="preserve">This swap contract effectively converts the SOFR-based variable portion of the interest payable under the Credit Agreement into fixed-rate debt at an annual rate of 4.75%. The swap contract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impact the additional interest related to the applicable interest rate margin as discussed above in Note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Long-Term Debt. The interest rate swap is considered an effective cash flow hedge, and as a result, the net gains or losses on such instrument are reported as a component of other comprehensive income (loss) (“OCI”) in the consolidated financial statements and are reclassified as net income when the underlying hedged interest impacts earnings. An assessment is performed quarterly to evaluate the ongoing hedge effectiveness.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center"/>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presents the notional amount and fair value of the Company’s derivative instrument as of </w:t>
      </w:r>
      <w:r>
        <w:rPr>
          <w:rStyle w:val="Emphasis"/>
          <w:rFonts w:ascii="Times New Roman" w:hAnsi="Times New Roman"/>
          <w:caps w:val="false"/>
          <w:smallCaps w:val="false"/>
          <w:sz w:val="20"/>
        </w:rPr>
        <w:t>September 30, 2023:</w:t>
      </w:r>
    </w:p>
    <w:p>
      <w:pPr>
        <w:pStyle w:val="TextBody"/>
        <w:bidi w:val="0"/>
        <w:spacing w:before="0" w:after="0"/>
        <w:ind w:left="0" w:right="0" w:hanging="0"/>
        <w:jc w:val="left"/>
        <w:rPr>
          <w:caps w:val="false"/>
          <w:smallCaps w:val="false"/>
        </w:rPr>
      </w:pPr>
      <w:r>
        <w:rPr>
          <w:caps w:val="false"/>
          <w:smallCaps w:val="false"/>
        </w:rPr>
        <w:t> </w:t>
      </w:r>
    </w:p>
    <w:tbl>
      <w:tblPr>
        <w:tblW w:w="7404" w:type="dxa"/>
        <w:jc w:val="left"/>
        <w:tblInd w:w="0" w:type="dxa"/>
        <w:tblLayout w:type="fixed"/>
        <w:tblCellMar>
          <w:top w:w="0" w:type="dxa"/>
          <w:left w:w="0" w:type="dxa"/>
          <w:bottom w:w="0" w:type="dxa"/>
          <w:right w:w="0" w:type="dxa"/>
        </w:tblCellMar>
      </w:tblPr>
      <w:tblGrid>
        <w:gridCol w:w="2045"/>
        <w:gridCol w:w="60"/>
        <w:gridCol w:w="2330"/>
        <w:gridCol w:w="60"/>
        <w:gridCol w:w="257"/>
        <w:gridCol w:w="1217"/>
        <w:gridCol w:w="78"/>
        <w:gridCol w:w="78"/>
        <w:gridCol w:w="326"/>
        <w:gridCol w:w="878"/>
        <w:gridCol w:w="75"/>
      </w:tblGrid>
      <w:tr>
        <w:trPr/>
        <w:tc>
          <w:tcPr>
            <w:tcW w:w="4435" w:type="dxa"/>
            <w:gridSpan w:val="3"/>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283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 2023</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0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Derivatives instruments</w:t>
            </w:r>
          </w:p>
        </w:tc>
        <w:tc>
          <w:tcPr>
            <w:tcW w:w="60" w:type="dxa"/>
            <w:tcBorders/>
            <w:vAlign w:val="center"/>
          </w:tcPr>
          <w:p>
            <w:pPr>
              <w:pStyle w:val="TableContents"/>
              <w:bidi w:val="0"/>
              <w:spacing w:before="0" w:after="283"/>
              <w:ind w:left="0" w:right="0" w:hanging="0"/>
              <w:jc w:val="left"/>
              <w:rPr/>
            </w:pPr>
            <w:r>
              <w:rPr/>
              <w:t> </w:t>
            </w:r>
          </w:p>
        </w:tc>
        <w:tc>
          <w:tcPr>
            <w:tcW w:w="23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sheet classification</w:t>
            </w:r>
          </w:p>
        </w:tc>
        <w:tc>
          <w:tcPr>
            <w:tcW w:w="60" w:type="dxa"/>
            <w:tcBorders/>
            <w:vAlign w:val="center"/>
          </w:tcPr>
          <w:p>
            <w:pPr>
              <w:pStyle w:val="TableContents"/>
              <w:bidi w:val="0"/>
              <w:spacing w:before="0" w:after="283"/>
              <w:ind w:left="0" w:right="0" w:hanging="0"/>
              <w:jc w:val="left"/>
              <w:rPr/>
            </w:pPr>
            <w:r>
              <w:rPr/>
              <w:t> </w:t>
            </w:r>
          </w:p>
        </w:tc>
        <w:tc>
          <w:tcPr>
            <w:tcW w:w="14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Notional Amount</w:t>
            </w:r>
          </w:p>
        </w:tc>
        <w:tc>
          <w:tcPr>
            <w:tcW w:w="78" w:type="dxa"/>
            <w:tcBorders>
              <w:bottom w:val="single" w:sz="2" w:space="0" w:color="000000"/>
            </w:tcBorders>
            <w:tcMar>
              <w:bottom w:w="28" w:type="dxa"/>
            </w:tcM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 (a)</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w:t>
            </w:r>
          </w:p>
        </w:tc>
        <w:tc>
          <w:tcPr>
            <w:tcW w:w="60" w:type="dxa"/>
            <w:tcBorders/>
            <w:shd w:fill="CCEEFF" w:val="clear"/>
            <w:vAlign w:val="center"/>
          </w:tcPr>
          <w:p>
            <w:pPr>
              <w:pStyle w:val="TableContents"/>
              <w:bidi w:val="0"/>
              <w:spacing w:before="0" w:after="283"/>
              <w:ind w:left="0" w:right="0" w:hanging="0"/>
              <w:jc w:val="left"/>
              <w:rPr/>
            </w:pPr>
            <w:r>
              <w:rPr/>
              <w:t> </w:t>
            </w:r>
          </w:p>
        </w:tc>
        <w:tc>
          <w:tcPr>
            <w:tcW w:w="233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Other long term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28,847</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 See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for the fair value measurements related to this financial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summarizes the effect of derivatives designated as cash flow hedging instruments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2023:</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25"/>
        <w:gridCol w:w="60"/>
        <w:gridCol w:w="481"/>
        <w:gridCol w:w="1253"/>
        <w:gridCol w:w="80"/>
        <w:gridCol w:w="60"/>
        <w:gridCol w:w="462"/>
        <w:gridCol w:w="1201"/>
        <w:gridCol w:w="83"/>
      </w:tblGrid>
      <w:tr>
        <w:trPr/>
        <w:tc>
          <w:tcPr>
            <w:tcW w:w="6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3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3"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Nine Months Ended </w:t>
            </w:r>
          </w:p>
        </w:tc>
        <w:tc>
          <w:tcPr>
            <w:tcW w:w="83" w:type="dxa"/>
            <w:tcBorders/>
            <w:vAlign w:val="center"/>
          </w:tcPr>
          <w:p>
            <w:pPr>
              <w:pStyle w:val="TableContents"/>
              <w:bidi w:val="0"/>
              <w:spacing w:before="0" w:after="283"/>
              <w:jc w:val="left"/>
              <w:rPr/>
            </w:pPr>
            <w:r>
              <w:rPr/>
              <w:t> </w:t>
            </w:r>
          </w:p>
        </w:tc>
      </w:tr>
      <w:tr>
        <w:trPr/>
        <w:tc>
          <w:tcPr>
            <w:tcW w:w="65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Derivatives qualifying as hedges, net of tax </w:t>
            </w:r>
            <w:r>
              <w:rPr>
                <w:rFonts w:ascii="Times New Roman" w:hAnsi="Times New Roman"/>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7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 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 2023</w:t>
            </w:r>
          </w:p>
        </w:tc>
        <w:tc>
          <w:tcPr>
            <w:tcW w:w="8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5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Amount of gain recognized in OCI on derivatives (effective portion)</w:t>
            </w:r>
          </w:p>
        </w:tc>
        <w:tc>
          <w:tcPr>
            <w:tcW w:w="60" w:type="dxa"/>
            <w:tcBorders/>
            <w:shd w:fill="CCEEFF" w:val="clear"/>
            <w:vAlign w:val="center"/>
          </w:tcPr>
          <w:p>
            <w:pPr>
              <w:pStyle w:val="TableContents"/>
              <w:bidi w:val="0"/>
              <w:spacing w:before="0" w:after="283"/>
              <w:ind w:left="0" w:right="0" w:hanging="0"/>
              <w:jc w:val="left"/>
              <w:rPr/>
            </w:pPr>
            <w:r>
              <w:rPr/>
              <w:t> </w:t>
            </w:r>
          </w:p>
        </w:tc>
        <w:tc>
          <w:tcPr>
            <w:tcW w:w="48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6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w:t>
            </w:r>
          </w:p>
        </w:tc>
        <w:tc>
          <w:tcPr>
            <w:tcW w:w="83" w:type="dxa"/>
            <w:tcBorders/>
            <w:shd w:fill="CCEEFF" w:val="clear"/>
            <w:vAlign w:val="center"/>
          </w:tcPr>
          <w:p>
            <w:pPr>
              <w:pStyle w:val="TableContents"/>
              <w:bidi w:val="0"/>
              <w:spacing w:before="0" w:after="283"/>
              <w:jc w:val="left"/>
              <w:rPr/>
            </w:pPr>
            <w:r>
              <w:rPr/>
              <w:t> </w:t>
            </w:r>
          </w:p>
        </w:tc>
      </w:tr>
      <w:tr>
        <w:trPr/>
        <w:tc>
          <w:tcPr>
            <w:tcW w:w="65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Amounts reclassified from accumulated other comprehensive loss to interest expense</w:t>
            </w:r>
          </w:p>
        </w:tc>
        <w:tc>
          <w:tcPr>
            <w:tcW w:w="60" w:type="dxa"/>
            <w:tcBorders/>
            <w:shd w:fill="FFFFFF" w:val="clear"/>
            <w:vAlign w:val="center"/>
          </w:tcPr>
          <w:p>
            <w:pPr>
              <w:pStyle w:val="TableContents"/>
              <w:bidi w:val="0"/>
              <w:spacing w:before="0" w:after="283"/>
              <w:jc w:val="left"/>
              <w:rPr/>
            </w:pPr>
            <w:r>
              <w:rPr/>
              <w:t> </w:t>
            </w:r>
          </w:p>
        </w:tc>
        <w:tc>
          <w:tcPr>
            <w:tcW w:w="4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4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5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4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380" w:type="dxa"/>
        <w:jc w:val="left"/>
        <w:tblInd w:w="0" w:type="dxa"/>
        <w:tblLayout w:type="fixed"/>
        <w:tblCellMar>
          <w:top w:w="0" w:type="dxa"/>
          <w:left w:w="0" w:type="dxa"/>
          <w:bottom w:w="0" w:type="dxa"/>
          <w:right w:w="0" w:type="dxa"/>
        </w:tblCellMar>
      </w:tblPr>
      <w:tblGrid>
        <w:gridCol w:w="170"/>
        <w:gridCol w:w="221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9.</w:t>
            </w:r>
          </w:p>
        </w:tc>
        <w:tc>
          <w:tcPr>
            <w:tcW w:w="22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 Measurements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tables present the fair value hierarchy for those assets or liabilities measured at fair value on a recurring basis:</w:t>
      </w:r>
    </w:p>
    <w:p>
      <w:pPr>
        <w:pStyle w:val="TextBody"/>
        <w:bidi w:val="0"/>
        <w:spacing w:before="0" w:after="0"/>
        <w:ind w:left="0" w:right="0" w:hanging="0"/>
        <w:jc w:val="left"/>
        <w:rPr>
          <w:caps w:val="false"/>
          <w:smallCaps w:val="false"/>
        </w:rPr>
      </w:pPr>
      <w:r>
        <w:rPr>
          <w:caps w:val="false"/>
          <w:smallCaps w:val="false"/>
        </w:rPr>
        <w:t> </w:t>
      </w:r>
    </w:p>
    <w:tbl>
      <w:tblPr>
        <w:tblW w:w="6302" w:type="dxa"/>
        <w:jc w:val="left"/>
        <w:tblInd w:w="0" w:type="dxa"/>
        <w:tblLayout w:type="fixed"/>
        <w:tblCellMar>
          <w:top w:w="0" w:type="dxa"/>
          <w:left w:w="0" w:type="dxa"/>
          <w:bottom w:w="0" w:type="dxa"/>
          <w:right w:w="0" w:type="dxa"/>
        </w:tblCellMar>
      </w:tblPr>
      <w:tblGrid>
        <w:gridCol w:w="2720"/>
        <w:gridCol w:w="60"/>
        <w:gridCol w:w="171"/>
        <w:gridCol w:w="665"/>
        <w:gridCol w:w="82"/>
        <w:gridCol w:w="82"/>
        <w:gridCol w:w="176"/>
        <w:gridCol w:w="473"/>
        <w:gridCol w:w="82"/>
        <w:gridCol w:w="82"/>
        <w:gridCol w:w="395"/>
        <w:gridCol w:w="254"/>
        <w:gridCol w:w="82"/>
        <w:gridCol w:w="82"/>
        <w:gridCol w:w="171"/>
        <w:gridCol w:w="665"/>
        <w:gridCol w:w="60"/>
      </w:tblGrid>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462"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 as of September 30,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7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Assets</w:t>
            </w:r>
            <w:r>
              <w:rPr>
                <w:rFonts w:ascii="Times New Roman" w:hAnsi="Times New Roman"/>
                <w:caps w:val="false"/>
                <w:smallCaps w:val="false"/>
                <w:sz w:val="20"/>
              </w:rPr>
              <w:t xml:space="preserve"> (in thousands)</w:t>
            </w:r>
          </w:p>
        </w:tc>
        <w:tc>
          <w:tcPr>
            <w:tcW w:w="60" w:type="dxa"/>
            <w:tcBorders/>
            <w:vAlign w:val="center"/>
          </w:tcPr>
          <w:p>
            <w:pPr>
              <w:pStyle w:val="TableContents"/>
              <w:bidi w:val="0"/>
              <w:spacing w:before="0" w:after="283"/>
              <w:ind w:left="0" w:right="0" w:hanging="0"/>
              <w:jc w:val="left"/>
              <w:rPr/>
            </w:pPr>
            <w:r>
              <w:rPr/>
              <w:t> </w:t>
            </w:r>
          </w:p>
        </w:tc>
        <w:tc>
          <w:tcPr>
            <w:tcW w:w="8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1</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2</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3</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8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securities - common stock</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3,788</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3,788</w:t>
            </w:r>
          </w:p>
        </w:tc>
        <w:tc>
          <w:tcPr>
            <w:tcW w:w="60"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 agreements</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4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left"/>
              <w:rPr/>
            </w:pPr>
            <w:r>
              <w:rPr/>
              <w:t> </w:t>
            </w:r>
          </w:p>
        </w:tc>
        <w:tc>
          <w:tcPr>
            <w:tcW w:w="2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uses the market approach technique to value its financial assets and liabilities. The Company’s financial assets and liabilities carried at fair value include, when applicable, investments in common stock and derivative instruments used to hedge the Company’s interest rate risks. The fair value of the Company’s investment in common stock of Harvard Apparatus Regenerative Technologies (“</w:t>
      </w:r>
      <w:r>
        <w:rPr>
          <w:rFonts w:ascii="Times New Roman" w:hAnsi="Times New Roman"/>
          <w:caps w:val="false"/>
          <w:smallCaps w:val="false"/>
          <w:sz w:val="20"/>
          <w:u w:val="single"/>
        </w:rPr>
        <w:t>HART</w:t>
      </w:r>
      <w:r>
        <w:rPr>
          <w:rFonts w:ascii="Times New Roman" w:hAnsi="Times New Roman"/>
          <w:caps w:val="false"/>
          <w:smallCaps w:val="false"/>
          <w:sz w:val="20"/>
        </w:rPr>
        <w:t xml:space="preserve">” formerly known as Biostage, Inc.) (see Note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 for information regarding the Biostage Settlement) was based on the closing price as quoted on the OTCQB Marketplace at the reporting date. The fair value of the Company’s interest rate swap agreements was based on SOFR-yield curves at the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4135" w:type="dxa"/>
        <w:jc w:val="left"/>
        <w:tblInd w:w="0" w:type="dxa"/>
        <w:tblLayout w:type="fixed"/>
        <w:tblCellMar>
          <w:top w:w="0" w:type="dxa"/>
          <w:left w:w="0" w:type="dxa"/>
          <w:bottom w:w="0" w:type="dxa"/>
          <w:right w:w="0" w:type="dxa"/>
        </w:tblCellMar>
      </w:tblPr>
      <w:tblGrid>
        <w:gridCol w:w="275"/>
        <w:gridCol w:w="386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10.</w:t>
            </w:r>
          </w:p>
        </w:tc>
        <w:tc>
          <w:tcPr>
            <w:tcW w:w="38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 Stock and Stock-Based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Stock-Based Payment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Stock-based awards consist of stock options, time-based restricted stock units, market condition restricted stock units, and shares issued under the Company’s employee stock purchase plan. Activity under the Company’s equity incentive plans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is as follows: </w:t>
      </w:r>
    </w:p>
    <w:p>
      <w:pPr>
        <w:pStyle w:val="TextBody"/>
        <w:bidi w:val="0"/>
        <w:spacing w:before="0" w:after="0"/>
        <w:ind w:left="0" w:right="0" w:hanging="0"/>
        <w:jc w:val="both"/>
        <w:rPr>
          <w:caps w:val="false"/>
          <w:smallCaps w:val="false"/>
        </w:rPr>
      </w:pPr>
      <w:r>
        <w:rPr>
          <w:caps w:val="false"/>
          <w:smallCaps w:val="false"/>
        </w:rPr>
        <w:t> </w:t>
      </w:r>
    </w:p>
    <w:tbl>
      <w:tblPr>
        <w:tblW w:w="8851" w:type="dxa"/>
        <w:jc w:val="left"/>
        <w:tblInd w:w="0" w:type="dxa"/>
        <w:tblLayout w:type="fixed"/>
        <w:tblCellMar>
          <w:top w:w="0" w:type="dxa"/>
          <w:left w:w="0" w:type="dxa"/>
          <w:bottom w:w="0" w:type="dxa"/>
          <w:right w:w="0" w:type="dxa"/>
        </w:tblCellMar>
      </w:tblPr>
      <w:tblGrid>
        <w:gridCol w:w="2540"/>
        <w:gridCol w:w="60"/>
        <w:gridCol w:w="60"/>
        <w:gridCol w:w="845"/>
        <w:gridCol w:w="80"/>
        <w:gridCol w:w="60"/>
        <w:gridCol w:w="205"/>
        <w:gridCol w:w="625"/>
        <w:gridCol w:w="60"/>
        <w:gridCol w:w="60"/>
        <w:gridCol w:w="63"/>
        <w:gridCol w:w="901"/>
        <w:gridCol w:w="80"/>
        <w:gridCol w:w="60"/>
        <w:gridCol w:w="231"/>
        <w:gridCol w:w="703"/>
        <w:gridCol w:w="60"/>
        <w:gridCol w:w="60"/>
        <w:gridCol w:w="63"/>
        <w:gridCol w:w="901"/>
        <w:gridCol w:w="80"/>
        <w:gridCol w:w="60"/>
        <w:gridCol w:w="231"/>
        <w:gridCol w:w="703"/>
        <w:gridCol w:w="60"/>
      </w:tblGrid>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Market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Condition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w:t>
            </w:r>
            <w:r>
              <w:rPr>
                <w:rFonts w:ascii="Times New Roman" w:hAnsi="Times New Roman"/>
                <w:b/>
                <w:caps w:val="false"/>
                <w:smallCaps w:val="false"/>
                <w:sz w:val="20"/>
              </w:rPr>
              <w:t xml:space="preserve">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Exercise</w:t>
            </w:r>
            <w:r>
              <w:rPr>
                <w:rFonts w:ascii="Times New Roman" w:hAnsi="Times New Roman"/>
                <w:b/>
                <w:caps w:val="false"/>
                <w:smallCaps w:val="false"/>
                <w:sz w:val="20"/>
              </w:rPr>
              <w:t xml:space="preserv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Restricted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Grant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Restricted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Grant Date</w:t>
            </w:r>
          </w:p>
        </w:tc>
        <w:tc>
          <w:tcPr>
            <w:tcW w:w="6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Options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 Units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 Units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1,238,776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1,093,801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646,235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w:t>
            </w:r>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1,306,445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7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558,958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7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(213,644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6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703" w:type="dxa"/>
            <w:tcBorders/>
            <w:shd w:fill="CCEE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703" w:type="dxa"/>
            <w:tcBorders/>
            <w:shd w:fill="CCEE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Vested (RSUs)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(295,531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7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(115,976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7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2.98</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Cancelled/Forfeited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(101,065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6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(86,440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7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(87,138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7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4.64</w:t>
            </w:r>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September 30,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924,067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2,018,275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7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1,002,079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7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Stock-based compensation expense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is allocated as follows:</w:t>
      </w:r>
    </w:p>
    <w:p>
      <w:pPr>
        <w:pStyle w:val="TextBody"/>
        <w:bidi w:val="0"/>
        <w:spacing w:before="0" w:after="0"/>
        <w:ind w:left="0" w:right="0" w:hanging="0"/>
        <w:jc w:val="left"/>
        <w:rPr>
          <w:caps w:val="false"/>
          <w:smallCaps w:val="false"/>
        </w:rPr>
      </w:pPr>
      <w:r>
        <w:rPr>
          <w:caps w:val="false"/>
          <w:smallCaps w:val="false"/>
        </w:rPr>
        <w:t> </w:t>
      </w:r>
    </w:p>
    <w:tbl>
      <w:tblPr>
        <w:tblW w:w="9609" w:type="dxa"/>
        <w:jc w:val="left"/>
        <w:tblInd w:w="0" w:type="dxa"/>
        <w:tblLayout w:type="fixed"/>
        <w:tblCellMar>
          <w:top w:w="0" w:type="dxa"/>
          <w:left w:w="0" w:type="dxa"/>
          <w:bottom w:w="0" w:type="dxa"/>
          <w:right w:w="0" w:type="dxa"/>
        </w:tblCellMar>
      </w:tblPr>
      <w:tblGrid>
        <w:gridCol w:w="3425"/>
        <w:gridCol w:w="60"/>
        <w:gridCol w:w="283"/>
        <w:gridCol w:w="1098"/>
        <w:gridCol w:w="135"/>
        <w:gridCol w:w="135"/>
        <w:gridCol w:w="283"/>
        <w:gridCol w:w="1098"/>
        <w:gridCol w:w="60"/>
        <w:gridCol w:w="60"/>
        <w:gridCol w:w="271"/>
        <w:gridCol w:w="1055"/>
        <w:gridCol w:w="130"/>
        <w:gridCol w:w="130"/>
        <w:gridCol w:w="271"/>
        <w:gridCol w:w="1055"/>
        <w:gridCol w:w="60"/>
      </w:tblGrid>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30" w:type="dxa"/>
            <w:tcBorders>
              <w:bottom w:val="single" w:sz="2" w:space="0" w:color="000000"/>
            </w:tcBorders>
            <w:tcMar>
              <w:bottom w:w="28" w:type="dxa"/>
            </w:tcMar>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ind w:left="0" w:right="0" w:hanging="0"/>
              <w:jc w:val="left"/>
              <w:rPr/>
            </w:pPr>
            <w:r>
              <w:rPr/>
              <w:t> </w:t>
            </w:r>
          </w:p>
        </w:tc>
        <w:tc>
          <w:tcPr>
            <w:tcW w:w="13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w:t>
            </w:r>
          </w:p>
        </w:tc>
        <w:tc>
          <w:tcPr>
            <w:tcW w:w="6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w:t>
            </w:r>
          </w:p>
        </w:tc>
        <w:tc>
          <w:tcPr>
            <w:tcW w:w="6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1,012</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2,585</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2,633</w:t>
            </w:r>
          </w:p>
        </w:tc>
        <w:tc>
          <w:tcPr>
            <w:tcW w:w="6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3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w:t>
            </w:r>
          </w:p>
        </w:tc>
        <w:tc>
          <w:tcPr>
            <w:tcW w:w="1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2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stock-based compensation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1,363</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3,618</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the total compensation costs related to unvested awards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recognized is $6.0 million and the weighted average period over which it is expected to be recognized is approximately 1.7 years.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capitalize any stock-based compensation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 periods ended </w:t>
      </w:r>
      <w:r>
        <w:rPr>
          <w:rStyle w:val="Emphasis"/>
          <w:rFonts w:ascii="Times New Roman" w:hAnsi="Times New Roman"/>
          <w:caps w:val="false"/>
          <w:smallCaps w:val="false"/>
          <w:sz w:val="20"/>
        </w:rPr>
        <w:t>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weighted average estimated fair value of the market condition restricted stock awards that were granted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was $2.61 per unit. The estimate of the fair value was determined using a Monte-Carlo valuation simulation, which included the following assumptions:</w:t>
      </w:r>
    </w:p>
    <w:p>
      <w:pPr>
        <w:pStyle w:val="TextBody"/>
        <w:bidi w:val="0"/>
        <w:spacing w:before="0" w:after="0"/>
        <w:ind w:left="0" w:right="0" w:hanging="0"/>
        <w:jc w:val="left"/>
        <w:rPr>
          <w:caps w:val="false"/>
          <w:smallCaps w:val="false"/>
        </w:rPr>
      </w:pPr>
      <w:r>
        <w:rPr>
          <w:caps w:val="false"/>
          <w:smallCaps w:val="false"/>
        </w:rPr>
        <w:t> </w:t>
      </w:r>
    </w:p>
    <w:tbl>
      <w:tblPr>
        <w:tblW w:w="2550" w:type="dxa"/>
        <w:jc w:val="left"/>
        <w:tblInd w:w="0" w:type="dxa"/>
        <w:tblLayout w:type="fixed"/>
        <w:tblCellMar>
          <w:top w:w="0" w:type="dxa"/>
          <w:left w:w="0" w:type="dxa"/>
          <w:bottom w:w="0" w:type="dxa"/>
          <w:right w:w="0" w:type="dxa"/>
        </w:tblCellMar>
      </w:tblPr>
      <w:tblGrid>
        <w:gridCol w:w="1865"/>
        <w:gridCol w:w="60"/>
        <w:gridCol w:w="60"/>
        <w:gridCol w:w="380"/>
        <w:gridCol w:w="185"/>
      </w:tblGrid>
      <w:tr>
        <w:trPr/>
        <w:tc>
          <w:tcPr>
            <w:tcW w:w="1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56.8</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8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Correlation coefficient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41.7</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8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Earnings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Basic earnings (loss) per share (EPS) is calculated by dividing net income (loss) by the number of weighted average shares of common stock outstanding during the period. The calculation of diluted earnings per share assumes conversion of stock options and restricted stock units into common stock using the treasury method. The weighted average number of shares used to compute basic and diluted EPS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24"/>
        <w:gridCol w:w="60"/>
        <w:gridCol w:w="210"/>
        <w:gridCol w:w="994"/>
        <w:gridCol w:w="134"/>
        <w:gridCol w:w="100"/>
        <w:gridCol w:w="210"/>
        <w:gridCol w:w="994"/>
        <w:gridCol w:w="80"/>
        <w:gridCol w:w="60"/>
        <w:gridCol w:w="203"/>
        <w:gridCol w:w="961"/>
        <w:gridCol w:w="129"/>
        <w:gridCol w:w="97"/>
        <w:gridCol w:w="203"/>
        <w:gridCol w:w="961"/>
        <w:gridCol w:w="85"/>
      </w:tblGrid>
      <w:tr>
        <w:trPr/>
        <w:tc>
          <w:tcPr>
            <w:tcW w:w="47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4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5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7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 except per share data)</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34" w:type="dxa"/>
            <w:tcBorders>
              <w:bottom w:val="single" w:sz="2" w:space="0" w:color="000000"/>
            </w:tcBorders>
            <w:tcMar>
              <w:bottom w:w="28" w:type="dxa"/>
            </w:tcMar>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29" w:type="dxa"/>
            <w:tcBorders>
              <w:bottom w:val="single" w:sz="2" w:space="0" w:color="000000"/>
            </w:tcBorders>
            <w:tcMar>
              <w:bottom w:w="28" w:type="dxa"/>
            </w:tcMar>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ind w:left="0" w:right="0" w:hanging="0"/>
              <w:jc w:val="left"/>
              <w:rPr/>
            </w:pPr>
            <w:r>
              <w:rPr/>
              <w:t> </w:t>
            </w:r>
          </w:p>
        </w:tc>
        <w:tc>
          <w:tcPr>
            <w:tcW w:w="11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72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available to common stockholders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(1,239</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(1,597</w:t>
            </w:r>
          </w:p>
        </w:tc>
        <w:tc>
          <w:tcPr>
            <w:tcW w:w="1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7"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(7,850</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72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42,688</w:t>
            </w:r>
          </w:p>
        </w:tc>
        <w:tc>
          <w:tcPr>
            <w:tcW w:w="13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42,345</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41,353</w:t>
            </w:r>
          </w:p>
        </w:tc>
        <w:tc>
          <w:tcPr>
            <w:tcW w:w="85" w:type="dxa"/>
            <w:tcBorders/>
            <w:shd w:fill="FFFFFF" w:val="clear"/>
            <w:vAlign w:val="center"/>
          </w:tcPr>
          <w:p>
            <w:pPr>
              <w:pStyle w:val="TableContents"/>
              <w:bidi w:val="0"/>
              <w:spacing w:before="0" w:after="283"/>
              <w:jc w:val="left"/>
              <w:rPr/>
            </w:pPr>
            <w:r>
              <w:rPr/>
              <w:t> </w:t>
            </w:r>
          </w:p>
        </w:tc>
      </w:tr>
      <w:tr>
        <w:trPr/>
        <w:tc>
          <w:tcPr>
            <w:tcW w:w="472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Dilutive effect of equity awards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3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2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72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shares outstanding - diluted</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42,688</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41,637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42,345</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41,353</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472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(0.03</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(0.04</w:t>
            </w:r>
          </w:p>
        </w:tc>
        <w:tc>
          <w:tcPr>
            <w:tcW w:w="1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7"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(0.19</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72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(0.03</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(0.04</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7" w:type="dxa"/>
            <w:tcBorders/>
            <w:shd w:fill="FFFF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(0.19</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72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excluded from diluted loss per share due to their anti-dilutive effect</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3,952</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3,847</w:t>
            </w:r>
          </w:p>
        </w:tc>
        <w:tc>
          <w:tcPr>
            <w:tcW w:w="12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3,676</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090" w:type="dxa"/>
        <w:jc w:val="left"/>
        <w:tblInd w:w="0" w:type="dxa"/>
        <w:tblLayout w:type="fixed"/>
        <w:tblCellMar>
          <w:top w:w="0" w:type="dxa"/>
          <w:left w:w="0" w:type="dxa"/>
          <w:bottom w:w="0" w:type="dxa"/>
          <w:right w:w="0" w:type="dxa"/>
        </w:tblCellMar>
      </w:tblPr>
      <w:tblGrid>
        <w:gridCol w:w="275"/>
        <w:gridCol w:w="81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11.</w:t>
            </w:r>
          </w:p>
        </w:tc>
        <w:tc>
          <w:tcPr>
            <w:tcW w:w="8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tables represent a disaggregation of revenue from contracts with customers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p>
    <w:p>
      <w:pPr>
        <w:pStyle w:val="TextBody"/>
        <w:bidi w:val="0"/>
        <w:spacing w:before="0" w:after="0"/>
        <w:ind w:left="0" w:right="0" w:firstLine="720"/>
        <w:jc w:val="both"/>
        <w:rPr>
          <w:caps w:val="false"/>
          <w:smallCaps w:val="false"/>
        </w:rPr>
      </w:pPr>
      <w:r>
        <w:rPr>
          <w:caps w:val="false"/>
          <w:smallCaps w:val="false"/>
        </w:rPr>
        <w:t> </w:t>
      </w:r>
    </w:p>
    <w:tbl>
      <w:tblPr>
        <w:tblW w:w="10164" w:type="dxa"/>
        <w:jc w:val="left"/>
        <w:tblInd w:w="0" w:type="dxa"/>
        <w:tblLayout w:type="fixed"/>
        <w:tblCellMar>
          <w:top w:w="0" w:type="dxa"/>
          <w:left w:w="0" w:type="dxa"/>
          <w:bottom w:w="0" w:type="dxa"/>
          <w:right w:w="0" w:type="dxa"/>
        </w:tblCellMar>
      </w:tblPr>
      <w:tblGrid>
        <w:gridCol w:w="3980"/>
        <w:gridCol w:w="60"/>
        <w:gridCol w:w="244"/>
        <w:gridCol w:w="1155"/>
        <w:gridCol w:w="117"/>
        <w:gridCol w:w="117"/>
        <w:gridCol w:w="244"/>
        <w:gridCol w:w="1155"/>
        <w:gridCol w:w="60"/>
        <w:gridCol w:w="60"/>
        <w:gridCol w:w="235"/>
        <w:gridCol w:w="1109"/>
        <w:gridCol w:w="112"/>
        <w:gridCol w:w="112"/>
        <w:gridCol w:w="235"/>
        <w:gridCol w:w="1109"/>
        <w:gridCol w:w="60"/>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17" w:type="dxa"/>
            <w:tcBorders>
              <w:bottom w:val="single" w:sz="2" w:space="0" w:color="000000"/>
            </w:tcBorders>
            <w:tcMar>
              <w:bottom w:w="28" w:type="dxa"/>
            </w:tcMar>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12" w:type="dxa"/>
            <w:tcBorders>
              <w:bottom w:val="single" w:sz="2" w:space="0" w:color="000000"/>
            </w:tcBorders>
            <w:tcMar>
              <w:bottom w:w="28" w:type="dxa"/>
            </w:tcMar>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ind w:left="0" w:right="0" w:hanging="0"/>
              <w:jc w:val="left"/>
              <w:rPr/>
            </w:pPr>
            <w:r>
              <w:rPr/>
              <w:t> </w:t>
            </w:r>
          </w:p>
        </w:tc>
        <w:tc>
          <w:tcPr>
            <w:tcW w:w="13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Instruments, equipment, software and accessories</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23,500</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79,261</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81,008</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Service, maintenance and warranty contracts</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1,863</w:t>
            </w:r>
          </w:p>
        </w:tc>
        <w:tc>
          <w:tcPr>
            <w:tcW w:w="11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4,836</w:t>
            </w:r>
          </w:p>
        </w:tc>
        <w:tc>
          <w:tcPr>
            <w:tcW w:w="11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25,363</w:t>
            </w:r>
          </w:p>
        </w:tc>
        <w:tc>
          <w:tcPr>
            <w:tcW w:w="11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26,922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84,097</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84,908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tables represent a disaggregation of revenue by geographic destination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p>
    <w:p>
      <w:pPr>
        <w:pStyle w:val="TextBody"/>
        <w:bidi w:val="0"/>
        <w:spacing w:before="0" w:after="0"/>
        <w:ind w:left="0" w:right="0" w:firstLine="720"/>
        <w:jc w:val="both"/>
        <w:rPr>
          <w:caps w:val="false"/>
          <w:smallCaps w:val="false"/>
        </w:rPr>
      </w:pPr>
      <w:r>
        <w:rPr>
          <w:caps w:val="false"/>
          <w:smallCaps w:val="false"/>
        </w:rPr>
        <w:t> </w:t>
      </w:r>
    </w:p>
    <w:tbl>
      <w:tblPr>
        <w:tblW w:w="7584" w:type="dxa"/>
        <w:jc w:val="left"/>
        <w:tblInd w:w="0" w:type="dxa"/>
        <w:tblLayout w:type="fixed"/>
        <w:tblCellMar>
          <w:top w:w="0" w:type="dxa"/>
          <w:left w:w="0" w:type="dxa"/>
          <w:bottom w:w="0" w:type="dxa"/>
          <w:right w:w="0" w:type="dxa"/>
        </w:tblCellMar>
      </w:tblPr>
      <w:tblGrid>
        <w:gridCol w:w="1400"/>
        <w:gridCol w:w="60"/>
        <w:gridCol w:w="244"/>
        <w:gridCol w:w="1155"/>
        <w:gridCol w:w="117"/>
        <w:gridCol w:w="117"/>
        <w:gridCol w:w="244"/>
        <w:gridCol w:w="1155"/>
        <w:gridCol w:w="60"/>
        <w:gridCol w:w="60"/>
        <w:gridCol w:w="235"/>
        <w:gridCol w:w="1109"/>
        <w:gridCol w:w="112"/>
        <w:gridCol w:w="112"/>
        <w:gridCol w:w="235"/>
        <w:gridCol w:w="1109"/>
        <w:gridCol w:w="60"/>
      </w:tblGrid>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17" w:type="dxa"/>
            <w:tcBorders>
              <w:bottom w:val="single" w:sz="2" w:space="0" w:color="000000"/>
            </w:tcBorders>
            <w:tcMar>
              <w:bottom w:w="28" w:type="dxa"/>
            </w:tcMar>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12" w:type="dxa"/>
            <w:tcBorders>
              <w:bottom w:val="single" w:sz="2" w:space="0" w:color="000000"/>
            </w:tcBorders>
            <w:tcMar>
              <w:bottom w:w="28" w:type="dxa"/>
            </w:tcMar>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ind w:left="0" w:right="0" w:hanging="0"/>
              <w:jc w:val="left"/>
              <w:rPr/>
            </w:pPr>
            <w:r>
              <w:rPr/>
              <w:t> </w:t>
            </w:r>
          </w:p>
        </w:tc>
        <w:tc>
          <w:tcPr>
            <w:tcW w:w="13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12,017</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36,655</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38,278</w:t>
            </w:r>
          </w:p>
        </w:tc>
        <w:tc>
          <w:tcPr>
            <w:tcW w:w="60"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Europe</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1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7,063</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1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23,836</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22,361</w:t>
            </w:r>
          </w:p>
        </w:tc>
        <w:tc>
          <w:tcPr>
            <w:tcW w:w="60"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Greater China</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3,489</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13,824</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11,624</w:t>
            </w:r>
          </w:p>
        </w:tc>
        <w:tc>
          <w:tcPr>
            <w:tcW w:w="60"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 of the world</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2,794</w:t>
            </w:r>
          </w:p>
        </w:tc>
        <w:tc>
          <w:tcPr>
            <w:tcW w:w="11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3,570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9,782</w:t>
            </w:r>
          </w:p>
        </w:tc>
        <w:tc>
          <w:tcPr>
            <w:tcW w:w="11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12,645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25,363</w:t>
            </w:r>
          </w:p>
        </w:tc>
        <w:tc>
          <w:tcPr>
            <w:tcW w:w="11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26,922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84,097</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84,908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 xml:space="preserve">Concentrations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customer accounts for more than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revenues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At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21, 2022, no</w:t>
      </w:r>
      <w:r>
        <w:rPr>
          <w:rFonts w:ascii="Times New Roman" w:hAnsi="Times New Roman"/>
          <w:caps w:val="false"/>
          <w:smallCaps w:val="false"/>
          <w:sz w:val="20"/>
        </w:rPr>
        <w:t xml:space="preserve"> customer accounts for more than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net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tables provide details of contract liabilities as of the periods indicated:</w:t>
      </w:r>
    </w:p>
    <w:p>
      <w:pPr>
        <w:pStyle w:val="TextBody"/>
        <w:bidi w:val="0"/>
        <w:spacing w:before="0" w:after="0"/>
        <w:ind w:left="0" w:right="0" w:hanging="0"/>
        <w:jc w:val="left"/>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1850"/>
        <w:gridCol w:w="60"/>
        <w:gridCol w:w="344"/>
        <w:gridCol w:w="1340"/>
        <w:gridCol w:w="60"/>
        <w:gridCol w:w="60"/>
        <w:gridCol w:w="335"/>
        <w:gridCol w:w="1304"/>
        <w:gridCol w:w="60"/>
        <w:gridCol w:w="60"/>
        <w:gridCol w:w="180"/>
        <w:gridCol w:w="485"/>
        <w:gridCol w:w="80"/>
        <w:gridCol w:w="60"/>
        <w:gridCol w:w="187"/>
        <w:gridCol w:w="718"/>
        <w:gridCol w:w="185"/>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Service contracts</w:t>
            </w:r>
          </w:p>
        </w:tc>
        <w:tc>
          <w:tcPr>
            <w:tcW w:w="60" w:type="dxa"/>
            <w:tcBorders/>
            <w:shd w:fill="CCEEFF" w:val="clear"/>
            <w:vAlign w:val="center"/>
          </w:tcPr>
          <w:p>
            <w:pPr>
              <w:pStyle w:val="TableContents"/>
              <w:bidi w:val="0"/>
              <w:spacing w:before="0" w:after="283"/>
              <w:ind w:left="0" w:right="0" w:hanging="0"/>
              <w:jc w:val="left"/>
              <w:rPr/>
            </w:pPr>
            <w:r>
              <w:rPr/>
              <w:t> </w:t>
            </w:r>
          </w:p>
        </w:tc>
        <w:tc>
          <w:tcPr>
            <w:tcW w:w="3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 advances</w:t>
            </w:r>
          </w:p>
        </w:tc>
        <w:tc>
          <w:tcPr>
            <w:tcW w:w="60" w:type="dxa"/>
            <w:tcBorders/>
            <w:shd w:fill="FFFFFF" w:val="clear"/>
            <w:vAlign w:val="center"/>
          </w:tcPr>
          <w:p>
            <w:pPr>
              <w:pStyle w:val="TableContents"/>
              <w:bidi w:val="0"/>
              <w:spacing w:before="0" w:after="283"/>
              <w:jc w:val="left"/>
              <w:rPr/>
            </w:pPr>
            <w:r>
              <w:rPr/>
              <w:t> </w:t>
            </w:r>
          </w:p>
        </w:tc>
        <w:tc>
          <w:tcPr>
            <w:tcW w:w="3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deferred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3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overall increase in contract liabilities was primarily due to receipt of payments under service and warranty contracts.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recognized revenue of $1.0 million and $0.8 million from deferred revenue existing at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respectively.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recognized revenue of $2.3 million and $2.1 million from deferred revenue existing at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Allowance for Expected Credit Losses on Receivables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allowance for expected credit losses on receivables is used to present accounts receivable, net at an amount that represents the Company’s estimate of the related transaction price recognized as revenue. The allowance represents an estimate of expected credit losses over the lifetime of the receivables, even if the loss is considered remote, and reflects expected recoveries of amounts previously written-off. The Company estimates the allowance on the basis of specifically identified receivables that are evaluated individually for impairment and an analysis of the remaining receivables determined by reference to past default experience. The Company considers the need to adjust historical information to reflect the extent to which current conditions and reasonable forecasts are expected to differ from the conditions that existed for the historical period considered. Losses on receivables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historically been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Management judgments are used to determine when to charge off uncollectible trade accounts receivable. The Company bases these judgments on the age of the receivable, credit quality of the customer, current economic conditions, and other factors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affect a customer’s ability and intent to pay. Customers are generally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 to provide collateral for 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Activity in the allowance for expected losses on receivables is as follows:</w:t>
      </w:r>
    </w:p>
    <w:p>
      <w:pPr>
        <w:pStyle w:val="TextBody"/>
        <w:bidi w:val="0"/>
        <w:spacing w:before="0" w:after="0"/>
        <w:ind w:left="0" w:right="0" w:firstLine="720"/>
        <w:jc w:val="both"/>
        <w:rPr>
          <w:caps w:val="false"/>
          <w:smallCaps w:val="false"/>
        </w:rPr>
      </w:pPr>
      <w:r>
        <w:rPr>
          <w:caps w:val="false"/>
          <w:smallCaps w:val="false"/>
        </w:rPr>
        <w:t> </w:t>
      </w:r>
    </w:p>
    <w:tbl>
      <w:tblPr>
        <w:tblW w:w="5443" w:type="dxa"/>
        <w:jc w:val="left"/>
        <w:tblInd w:w="0" w:type="dxa"/>
        <w:tblLayout w:type="fixed"/>
        <w:tblCellMar>
          <w:top w:w="0" w:type="dxa"/>
          <w:left w:w="0" w:type="dxa"/>
          <w:bottom w:w="0" w:type="dxa"/>
          <w:right w:w="0" w:type="dxa"/>
        </w:tblCellMar>
      </w:tblPr>
      <w:tblGrid>
        <w:gridCol w:w="2390"/>
        <w:gridCol w:w="60"/>
        <w:gridCol w:w="343"/>
        <w:gridCol w:w="921"/>
        <w:gridCol w:w="220"/>
        <w:gridCol w:w="165"/>
        <w:gridCol w:w="343"/>
        <w:gridCol w:w="921"/>
        <w:gridCol w:w="80"/>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20" w:type="dxa"/>
            <w:tcBorders>
              <w:bottom w:val="single" w:sz="2" w:space="0" w:color="000000"/>
            </w:tcBorders>
            <w:tcMar>
              <w:bottom w:w="28" w:type="dxa"/>
            </w:tcMar>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3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w:t>
            </w:r>
          </w:p>
        </w:tc>
        <w:tc>
          <w:tcPr>
            <w:tcW w:w="2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3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w:t>
            </w:r>
          </w:p>
        </w:tc>
        <w:tc>
          <w:tcPr>
            <w:tcW w:w="8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Provision for bad debts</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22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8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Charge-offs and other</w:t>
            </w:r>
          </w:p>
        </w:tc>
        <w:tc>
          <w:tcPr>
            <w:tcW w:w="60" w:type="dxa"/>
            <w:tcBorders/>
            <w:shd w:fill="CCEEFF" w:val="clear"/>
            <w:vAlign w:val="center"/>
          </w:tcPr>
          <w:p>
            <w:pPr>
              <w:pStyle w:val="TableContents"/>
              <w:bidi w:val="0"/>
              <w:spacing w:before="0" w:after="283"/>
              <w:jc w:val="left"/>
              <w:rPr/>
            </w:pPr>
            <w:r>
              <w:rPr/>
              <w:t> </w:t>
            </w:r>
          </w:p>
        </w:tc>
        <w:tc>
          <w:tcPr>
            <w:tcW w:w="3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w:t>
            </w:r>
          </w:p>
        </w:tc>
        <w:tc>
          <w:tcPr>
            <w:tcW w:w="22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65" w:type="dxa"/>
            <w:tcBorders/>
            <w:shd w:fill="CCEEFF" w:val="clear"/>
            <w:vAlign w:val="center"/>
          </w:tcPr>
          <w:p>
            <w:pPr>
              <w:pStyle w:val="TableContents"/>
              <w:bidi w:val="0"/>
              <w:spacing w:before="0" w:after="283"/>
              <w:jc w:val="left"/>
              <w:rPr/>
            </w:pPr>
            <w:r>
              <w:rPr/>
              <w:t> </w:t>
            </w:r>
          </w:p>
        </w:tc>
        <w:tc>
          <w:tcPr>
            <w:tcW w:w="3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3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3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w:t>
            </w:r>
          </w:p>
        </w:tc>
        <w:tc>
          <w:tcPr>
            <w:tcW w:w="22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3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center"/>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315" w:type="dxa"/>
        <w:jc w:val="left"/>
        <w:tblInd w:w="0" w:type="dxa"/>
        <w:tblLayout w:type="fixed"/>
        <w:tblCellMar>
          <w:top w:w="0" w:type="dxa"/>
          <w:left w:w="0" w:type="dxa"/>
          <w:bottom w:w="0" w:type="dxa"/>
          <w:right w:w="0" w:type="dxa"/>
        </w:tblCellMar>
      </w:tblPr>
      <w:tblGrid>
        <w:gridCol w:w="275"/>
        <w:gridCol w:w="104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12.</w:t>
            </w:r>
          </w:p>
        </w:tc>
        <w:tc>
          <w:tcPr>
            <w:tcW w:w="10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Tax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Income tax expense (benefit) was $0.7 million and $(1.3)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and was $0.1 million and $(0.4) million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The effective tax rates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were (120.2)% and 27.4%, respectively. The effective tax rates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were (9.9)% and 5.3%,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difference between the Company’s effective tax rates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compared to the U.S. statutory tax rate of 21% was primarily due to the mix of forecasted income or losses in the U.S. and foreign tax jurisdictions and a Global Intangible Low-Taxed Income (“GILTI”) inclusion to taxable income. The effective tax rates in both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were also impacted by changes in valuation allowances associated with the Company’s assessment of the likelihood of the recoverability of deferred tax assets. The Company has valuation allowances against substantially all of its net operating loss carryforwards and tax credit carryforwards.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determination of the annual effective tax rate is based upon a number of significant estimates and judgments, including the estimated annual pretax income in each tax jurisdiction in which the Company operates and the development of tax planning strategies during the year. In addition, as a global commercial enterprise, the Company’s tax expense can be impacted by changes in tax rates or laws, the finalization of tax audits and reviews and other factors that cannot be predicted with certainty. As such, there can be significant volatility in interim tax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730" w:type="dxa"/>
        <w:jc w:val="left"/>
        <w:tblInd w:w="0" w:type="dxa"/>
        <w:tblLayout w:type="fixed"/>
        <w:tblCellMar>
          <w:top w:w="0" w:type="dxa"/>
          <w:left w:w="0" w:type="dxa"/>
          <w:bottom w:w="0" w:type="dxa"/>
          <w:right w:w="0" w:type="dxa"/>
        </w:tblCellMar>
      </w:tblPr>
      <w:tblGrid>
        <w:gridCol w:w="275"/>
        <w:gridCol w:w="345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13.</w:t>
            </w:r>
          </w:p>
        </w:tc>
        <w:tc>
          <w:tcPr>
            <w:tcW w:w="34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Commitments and Contingent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27, 2022, </w:t>
      </w:r>
      <w:r>
        <w:rPr>
          <w:rFonts w:ascii="Times New Roman" w:hAnsi="Times New Roman"/>
          <w:caps w:val="false"/>
          <w:smallCaps w:val="false"/>
          <w:sz w:val="20"/>
        </w:rPr>
        <w:t xml:space="preserve">the Company and Biostage, Inc. (“Biostage”) executed a settlement with the plaintiffs in the Biostage Litigation (as defined below) which resolved all claims relating to the litigation as described in Note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 Litigation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is involved in various other claims and legal proceedings arising in the ordinary course of business. After consultation with legal counsel, the Company has determined that the ultimate disposition of such proceedings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likely to have a material adverse effect on its business, financial condition, results of operations or cash flows. Although unfavorable outcomes in the proceedings are possible,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accrued loss contingencies relating to any such matters as they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to be probable and reasonably estimable. If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of these matters are resolved in a manner adverse to the Company, the impact on the Company’s business, financial condition, results of operations and cash flows could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addition, the Company has entered into indemnification agreements with its directors.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possible to determine the maximum potential liability amount under these indemnification agreements due to the limited history of prior indemnification claims and the unique facts and circumstances involved in each particular agreement. The Company has not recorded any liability for costs related to contingent indemnification obligations as of </w:t>
      </w:r>
      <w:r>
        <w:rPr>
          <w:rStyle w:val="Emphasis"/>
          <w:rFonts w:ascii="Times New Roman" w:hAnsi="Times New Roman"/>
          <w:caps w:val="false"/>
          <w:smallCaps w:val="false"/>
          <w:sz w:val="20"/>
        </w:rPr>
        <w:t>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is subject to unclaimed property laws in the ordinary course of its business.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The Company is currently undergoing unclaimed property audits conducted in various states. Based on the current stage of the audits,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accrued any significant losses related to these audits as of </w:t>
      </w:r>
      <w:r>
        <w:rPr>
          <w:rStyle w:val="Emphasis"/>
          <w:rFonts w:ascii="Times New Roman" w:hAnsi="Times New Roman"/>
          <w:caps w:val="false"/>
          <w:smallCaps w:val="false"/>
          <w:sz w:val="20"/>
        </w:rPr>
        <w:t>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080" w:type="dxa"/>
        <w:jc w:val="left"/>
        <w:tblInd w:w="0" w:type="dxa"/>
        <w:tblLayout w:type="fixed"/>
        <w:tblCellMar>
          <w:top w:w="0" w:type="dxa"/>
          <w:left w:w="0" w:type="dxa"/>
          <w:bottom w:w="0" w:type="dxa"/>
          <w:right w:w="0" w:type="dxa"/>
        </w:tblCellMar>
      </w:tblPr>
      <w:tblGrid>
        <w:gridCol w:w="275"/>
        <w:gridCol w:w="180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14.</w:t>
            </w:r>
          </w:p>
        </w:tc>
        <w:tc>
          <w:tcPr>
            <w:tcW w:w="18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Litigation Settlement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14, 2017, </w:t>
      </w:r>
      <w:r>
        <w:rPr>
          <w:rFonts w:ascii="Times New Roman" w:hAnsi="Times New Roman"/>
          <w:caps w:val="false"/>
          <w:smallCaps w:val="false"/>
          <w:sz w:val="20"/>
        </w:rPr>
        <w:t xml:space="preserve">representatives for the estate of an individual plaintiff filed a wrongful death complaint with the Suffolk Superior Court, in the County of Suffolk, Massachusetts, against the Company and other defendants, including Biostage, a former subsidiary of the Company that was spun off in </w:t>
      </w:r>
      <w:r>
        <w:rPr>
          <w:rStyle w:val="Emphasis"/>
          <w:rFonts w:ascii="Times New Roman" w:hAnsi="Times New Roman"/>
          <w:caps w:val="false"/>
          <w:smallCaps w:val="false"/>
          <w:sz w:val="20"/>
        </w:rPr>
        <w:t>2013,</w:t>
      </w:r>
      <w:r>
        <w:rPr>
          <w:rFonts w:ascii="Times New Roman" w:hAnsi="Times New Roman"/>
          <w:caps w:val="false"/>
          <w:smallCaps w:val="false"/>
          <w:sz w:val="20"/>
        </w:rPr>
        <w:t xml:space="preserve"> as well as another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(the “Biostage Litigation”). The complaint sought payment for an unspecified amount of damages and alleged that the plaintiff sustained terminal injuries allegedly caused by products, including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synthetic trachea scaffold and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bioreactors, provided by certain of the named defendants and utilized in connection with surgeries performed by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in Europe in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27, 2022, </w:t>
      </w:r>
      <w:r>
        <w:rPr>
          <w:rFonts w:ascii="Times New Roman" w:hAnsi="Times New Roman"/>
          <w:caps w:val="false"/>
          <w:smallCaps w:val="false"/>
          <w:sz w:val="20"/>
        </w:rPr>
        <w:t xml:space="preserve">the Company and Biostage executed a settlement with the plaintiffs of the Biostage Litigation and Biostage’s products liability insurance carriers (the “Biostage Settlement”), which resolved all claims by and between the parties and Biostage’s product liability insurance carriers and resulted in the dismissal with prejudice of the wrongful death claim and all claims between the Company, Biostage and the insurance carriers. The Biostage Settlement was entered into solely by way of compromise and settlement and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any way an admission of liability or fault by the Company or Biostage. Biostage has indemnified the Company for all losses and expenses, including legal expenses that the Company incurred in connection with the Biostage Litigation and the Biostage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center"/>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2022, </w:t>
      </w:r>
      <w:r>
        <w:rPr>
          <w:rFonts w:ascii="Times New Roman" w:hAnsi="Times New Roman"/>
          <w:caps w:val="false"/>
          <w:smallCaps w:val="false"/>
          <w:sz w:val="20"/>
        </w:rPr>
        <w:t>the Company recorded a net credit of $0.2 million related to the Biostage Settlement consisting of charges (credits)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sz w:val="20"/>
              </w:rPr>
              <w:t xml:space="preserve">During the </w:t>
            </w:r>
            <w:r>
              <w:rPr>
                <w:rStyle w:val="Emphasis"/>
                <w:sz w:val="20"/>
              </w:rPr>
              <w:t>three</w:t>
            </w:r>
            <w:r>
              <w:rPr>
                <w:sz w:val="20"/>
              </w:rPr>
              <w:t xml:space="preserve"> months ended </w:t>
            </w:r>
            <w:r>
              <w:rPr>
                <w:rStyle w:val="Emphasis"/>
                <w:sz w:val="20"/>
              </w:rPr>
              <w:t xml:space="preserve">March 31, 2022, </w:t>
            </w:r>
            <w:r>
              <w:rPr>
                <w:sz w:val="20"/>
              </w:rPr>
              <w:t xml:space="preserve">the Company accrued $5.2 million of costs related to legal fees and the Biostage Settlement. Additionally, during the year ended </w:t>
            </w:r>
            <w:r>
              <w:rPr>
                <w:rStyle w:val="Emphasis"/>
                <w:sz w:val="20"/>
              </w:rPr>
              <w:t xml:space="preserve">December 31, 2021, </w:t>
            </w:r>
            <w:r>
              <w:rPr>
                <w:sz w:val="20"/>
              </w:rPr>
              <w:t>the Company had incurred $0.3 million in legal fees in connection with the Biostage Litigation. Due to the financial condition of Biostage, the Company determined that it was uncertain as to whether Biostage would be able to meet its indemnification obligation and had fully reserved any receivable from Biostage.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During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June 30, 2022, </w:t>
            </w:r>
            <w:r>
              <w:rPr>
                <w:rFonts w:ascii="Times New Roman;Times;serif" w:hAnsi="Times New Roman;Times;serif"/>
                <w:caps w:val="false"/>
                <w:smallCaps w:val="false"/>
                <w:sz w:val="20"/>
              </w:rPr>
              <w:t xml:space="preserve">the Company recorded credit adjustments of $4.9 million to the reserve against the indemnification receivable from Biostage. These adjustments reflected: i) the issuance by Biostage of 4,000 shares of its Series E Convertible Preferred Stock (the “Series E Preferred Stock”) to the Company on </w:t>
            </w:r>
            <w:r>
              <w:rPr>
                <w:rStyle w:val="Emphasis"/>
                <w:rFonts w:ascii="Times New Roman;Times;serif" w:hAnsi="Times New Roman;Times;serif"/>
                <w:caps w:val="false"/>
                <w:smallCaps w:val="false"/>
                <w:sz w:val="20"/>
              </w:rPr>
              <w:t xml:space="preserve">June 10, 2022, </w:t>
            </w:r>
            <w:r>
              <w:rPr>
                <w:rFonts w:ascii="Times New Roman;Times;serif" w:hAnsi="Times New Roman;Times;serif"/>
                <w:caps w:val="false"/>
                <w:smallCaps w:val="false"/>
                <w:sz w:val="20"/>
              </w:rPr>
              <w:t>in satisfaction of $4.0 million of Biostage’s total indemnification obligation, ii) the payment by Biostage of a portion of the legal fees associated with the Biostage Settlement, and iii) other accrual adjustments. The Series E Preferred Stock was initially recorded at an estimated fair value of $3.9 million using a Monte Carlo valuation simulation incorporating information from selected guideline companies.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During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September 30, 2022, </w:t>
            </w:r>
            <w:r>
              <w:rPr>
                <w:rFonts w:ascii="Times New Roman;Times;serif" w:hAnsi="Times New Roman;Times;serif"/>
                <w:caps w:val="false"/>
                <w:smallCaps w:val="false"/>
                <w:sz w:val="20"/>
              </w:rPr>
              <w:t>the Company recorded a credit adjustment of $0.5 million to the reserve against the indemnification receivable from Biostage due to the final payment by Biostage of the legal fees associated with the Biostage Settlement.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book value of the shares of Series E Preferred Stock, inclusive of accrued dividends, was $4.0 million and was included in the consolidated balance sheet as a component of Other long-term assets. The Company elected the provisions within ASC </w:t>
      </w:r>
      <w:r>
        <w:rPr>
          <w:rStyle w:val="Emphasis"/>
          <w:rFonts w:ascii="Times New Roman" w:hAnsi="Times New Roman"/>
          <w:caps w:val="false"/>
          <w:smallCaps w:val="false"/>
          <w:sz w:val="20"/>
        </w:rPr>
        <w:t>321,</w:t>
      </w:r>
      <w:r>
        <w:rPr>
          <w:rFonts w:ascii="Times New Roman" w:hAnsi="Times New Roman"/>
          <w:caps w:val="false"/>
          <w:smallCaps w:val="false"/>
          <w:sz w:val="20"/>
        </w:rPr>
        <w:t xml:space="preserve"> </w:t>
      </w:r>
      <w:r>
        <w:rPr>
          <w:rFonts w:ascii="Times New Roman" w:hAnsi="Times New Roman"/>
          <w:i/>
          <w:caps w:val="false"/>
          <w:smallCaps w:val="false"/>
          <w:sz w:val="20"/>
        </w:rPr>
        <w:t>Investment Securities</w:t>
      </w:r>
      <w:r>
        <w:rPr>
          <w:rFonts w:ascii="Times New Roman" w:hAnsi="Times New Roman"/>
          <w:caps w:val="false"/>
          <w:smallCaps w:val="false"/>
          <w:sz w:val="20"/>
        </w:rPr>
        <w:t xml:space="preserve">, to subsequently measure the Series E Preferred Stock at its original cost minus impairment, if any, plus or minus changes resulting from observable price changes in orderly transactions for the identical or a similar investment of Biostage.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observable price changes or indicators of impairment and therefore, there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measurement adjustments to the carrying value of the Series 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6, 2023, </w:t>
      </w:r>
      <w:r>
        <w:rPr>
          <w:rFonts w:ascii="Times New Roman" w:hAnsi="Times New Roman"/>
          <w:caps w:val="false"/>
          <w:smallCaps w:val="false"/>
          <w:sz w:val="20"/>
        </w:rPr>
        <w:t>Biostage completed a private placement of its common stock for an aggregate offering amount of approximately $6.0 million at a purchase price of $6.00 per share. This transaction triggered a mandatory conversion of the Company’s remaining Series E Preferred Stock into shares of Biostage common stock at the offering price of $6.00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20, 2023, </w:t>
      </w:r>
      <w:r>
        <w:rPr>
          <w:rFonts w:ascii="Times New Roman" w:hAnsi="Times New Roman"/>
          <w:caps w:val="false"/>
          <w:smallCaps w:val="false"/>
          <w:sz w:val="20"/>
        </w:rPr>
        <w:t>Biostage, Inc. changed its corporate name to Harvard Apparatus Regenerative Technology, Inc. (“HART”) and began to trade under the OTCQB Marketplace symbol HRGN.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the Company held 706,626 shares of HART common stock with an estimated fair value of $3.8 million, which have been included in the consolidated balance sheet as a component of Other long-term assets.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the Company recorded an unrealized gain (loss) related to these shares of $1.2 million and $(0.4) million, respectively, which were recorded in the Other income (expense) section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determines the fair value of its HART common stock based on the closing price as quoted on the OTCQB Marketplace at the reporting date. Due to HART’s limited operating history, its overall financial condition and the limited trading volumes and liquidity of its common stock, the value of the Company’s investment in this common stock could fluctuate considerably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395" w:type="dxa"/>
        <w:jc w:val="left"/>
        <w:tblInd w:w="0" w:type="dxa"/>
        <w:tblLayout w:type="fixed"/>
        <w:tblCellMar>
          <w:top w:w="0" w:type="dxa"/>
          <w:left w:w="0" w:type="dxa"/>
          <w:bottom w:w="0" w:type="dxa"/>
          <w:right w:w="0" w:type="dxa"/>
        </w:tblCellMar>
      </w:tblPr>
      <w:tblGrid>
        <w:gridCol w:w="275"/>
        <w:gridCol w:w="212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15.</w:t>
            </w:r>
          </w:p>
        </w:tc>
        <w:tc>
          <w:tcPr>
            <w:tcW w:w="21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Product Line Disposition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17, 2023, </w:t>
      </w:r>
      <w:r>
        <w:rPr>
          <w:rFonts w:ascii="Times New Roman" w:hAnsi="Times New Roman"/>
          <w:caps w:val="false"/>
          <w:smallCaps w:val="false"/>
          <w:sz w:val="20"/>
        </w:rPr>
        <w:t xml:space="preserve">the Company completed the disposition of its Hoefer product line for cash consideration of $0.5 million. The carrying value of assets sold was $0.1 million resulting in a gain on disposition of $0.4 million which is recorded in Other income, net in the consolidated statement of operations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Revenue and gross profit of this disposed product line included in the condensed consolidated statement of operations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2022, </w:t>
      </w:r>
      <w:r>
        <w:rPr>
          <w:rFonts w:ascii="Times New Roman" w:hAnsi="Times New Roman"/>
          <w:caps w:val="false"/>
          <w:smallCaps w:val="false"/>
          <w:sz w:val="20"/>
        </w:rPr>
        <w:t xml:space="preserve">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490" w:type="dxa"/>
        <w:jc w:val="left"/>
        <w:tblInd w:w="0" w:type="dxa"/>
        <w:tblLayout w:type="fixed"/>
        <w:tblCellMar>
          <w:top w:w="0" w:type="dxa"/>
          <w:left w:w="0" w:type="dxa"/>
          <w:bottom w:w="0" w:type="dxa"/>
          <w:right w:w="0" w:type="dxa"/>
        </w:tblCellMar>
      </w:tblPr>
      <w:tblGrid>
        <w:gridCol w:w="320"/>
        <w:gridCol w:w="3170"/>
      </w:tblGrid>
      <w:tr>
        <w:trPr/>
        <w:tc>
          <w:tcPr>
            <w:tcW w:w="32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16</w:t>
            </w:r>
            <w:r>
              <w:rPr>
                <w:rFonts w:ascii="Times New Roman;Times;serif" w:hAnsi="Times New Roman;Times;serif"/>
                <w:b/>
                <w:i/>
                <w:sz w:val="20"/>
              </w:rPr>
              <w:t xml:space="preserve">. </w:t>
            </w:r>
          </w:p>
        </w:tc>
        <w:tc>
          <w:tcPr>
            <w:tcW w:w="3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Statement Reclassifications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the Company identified immaterial misclassification errors in the financial statement footnote describing the components of accumulated other comprehensive loss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These misclassifications overstated the amount attributed to the defined benefit pension plans, net of tax, by $5.4 million and $5.1 million and understated the amount attributed to foreign currency translation adjustments by $(5.4) million and $(5.1) million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respectively. This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impact on total other comprehensive income (loss) for the years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included in the Consolidated Statements of Comprehensive Income (Loss), or the total accumulated other comprehensive loss included in the Consolidated Balance Sheets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This also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impact on any of the Company’s previously reported Consolidated Statements of Operations, Stockholders’ Equity, or Cash Flows. These offsetting misclassifications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impact on any of the periods presented in the interim financial statements and disclosures in this Quarterly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as of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applicable corrections will be included in the annual financial statements and disclosures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and for the year then 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8125" w:type="dxa"/>
        <w:jc w:val="left"/>
        <w:tblInd w:w="0" w:type="dxa"/>
        <w:tblLayout w:type="fixed"/>
        <w:tblCellMar>
          <w:top w:w="0" w:type="dxa"/>
          <w:left w:w="0" w:type="dxa"/>
          <w:bottom w:w="0" w:type="dxa"/>
          <w:right w:w="0" w:type="dxa"/>
        </w:tblCellMar>
      </w:tblPr>
      <w:tblGrid>
        <w:gridCol w:w="605"/>
        <w:gridCol w:w="752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w:t>
            </w:r>
          </w:p>
        </w:tc>
        <w:tc>
          <w:tcPr>
            <w:tcW w:w="7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Management</w:t>
            </w:r>
            <w:r>
              <w:rPr>
                <w:rFonts w:ascii="Times New Roman;Times;serif" w:hAnsi="Times New Roman;Times;serif"/>
                <w:sz w:val="20"/>
              </w:rPr>
              <w:t>’</w:t>
            </w:r>
            <w:r>
              <w:rPr>
                <w:rFonts w:ascii="Times New Roman;Times;serif" w:hAnsi="Times New Roman;Times;serif"/>
                <w:b/>
                <w:sz w:val="20"/>
              </w:rPr>
              <w:t>s Discussion and Analysis of Financial Condition and Results of Operations.</w:t>
            </w:r>
            <w:bookmarkStart w:id="11" w:name="p1i2"/>
            <w:bookmarkEnd w:id="11"/>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This Quarterly Report on Form 10-Q contains statements that are not statements of historical fact and are forward-looking statements within the meaning of Section 27A of the Securities Act of 1933 and Section 21E of the Securities Exchange Act of 1934 (the </w:t>
      </w:r>
      <w:r>
        <w:rPr>
          <w:rFonts w:ascii="Times New Roman" w:hAnsi="Times New Roman"/>
          <w:caps w:val="false"/>
          <w:smallCaps w:val="false"/>
          <w:sz w:val="20"/>
        </w:rPr>
        <w:t>“</w:t>
      </w:r>
      <w:r>
        <w:rPr>
          <w:rFonts w:ascii="Times New Roman" w:hAnsi="Times New Roman"/>
          <w:i/>
          <w:caps w:val="false"/>
          <w:smallCaps w:val="false"/>
          <w:sz w:val="20"/>
        </w:rPr>
        <w:t>Exchange Act</w:t>
      </w:r>
      <w:r>
        <w:rPr>
          <w:rFonts w:ascii="Times New Roman" w:hAnsi="Times New Roman"/>
          <w:caps w:val="false"/>
          <w:smallCaps w:val="false"/>
          <w:sz w:val="20"/>
        </w:rPr>
        <w:t>”</w:t>
      </w:r>
      <w:r>
        <w:rPr>
          <w:rFonts w:ascii="Times New Roman" w:hAnsi="Times New Roman"/>
          <w:i/>
          <w:caps w:val="false"/>
          <w:smallCaps w:val="false"/>
          <w:sz w:val="20"/>
        </w:rPr>
        <w:t xml:space="preserve">). The forward-looking statements are principally, but not exclusively, contained in </w:t>
      </w:r>
      <w:r>
        <w:rPr>
          <w:rFonts w:ascii="Times New Roman" w:hAnsi="Times New Roman"/>
          <w:caps w:val="false"/>
          <w:smallCaps w:val="false"/>
          <w:sz w:val="20"/>
        </w:rPr>
        <w:t>“</w:t>
      </w:r>
      <w:r>
        <w:rPr>
          <w:rFonts w:ascii="Times New Roman" w:hAnsi="Times New Roman"/>
          <w:i/>
          <w:caps w:val="false"/>
          <w:smallCaps w:val="false"/>
          <w:sz w:val="20"/>
        </w:rPr>
        <w:t>Item 2: 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 xml:space="preserve">” </w:t>
      </w:r>
      <w:r>
        <w:rPr>
          <w:rFonts w:ascii="Times New Roman" w:hAnsi="Times New Roman"/>
          <w:i/>
          <w:caps w:val="false"/>
          <w:smallCaps w:val="false"/>
          <w:sz w:val="20"/>
        </w:rPr>
        <w:t>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w:t>
      </w:r>
      <w:r>
        <w:rPr>
          <w:rFonts w:ascii="Times New Roman" w:hAnsi="Times New Roman"/>
          <w:caps w:val="false"/>
          <w:smallCaps w:val="false"/>
          <w:sz w:val="20"/>
        </w:rPr>
        <w:t>’</w:t>
      </w:r>
      <w:r>
        <w:rPr>
          <w:rFonts w:ascii="Times New Roman" w:hAnsi="Times New Roman"/>
          <w:i/>
          <w:caps w:val="false"/>
          <w:smallCaps w:val="false"/>
          <w:sz w:val="20"/>
        </w:rPr>
        <w:t xml:space="preserve">s confidence or expectations, and our plans, objectives, expectations, and intentions that are not historical facts. In some cases, you can identify forward-looking statements by terms such as </w:t>
      </w:r>
      <w:r>
        <w:rPr>
          <w:rFonts w:ascii="Times New Roman" w:hAnsi="Times New Roman"/>
          <w:caps w:val="false"/>
          <w:smallCaps w:val="false"/>
          <w:sz w:val="20"/>
        </w:rPr>
        <w:t>“</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will,</w:t>
      </w:r>
      <w:r>
        <w:rPr>
          <w:rFonts w:ascii="Times New Roman" w:hAnsi="Times New Roman"/>
          <w:caps w:val="false"/>
          <w:smallCaps w:val="false"/>
          <w:sz w:val="20"/>
        </w:rPr>
        <w:t>” “</w:t>
      </w:r>
      <w:r>
        <w:rPr>
          <w:rFonts w:ascii="Times New Roman" w:hAnsi="Times New Roman"/>
          <w:i/>
          <w:caps w:val="false"/>
          <w:smallCaps w:val="false"/>
          <w:sz w:val="20"/>
        </w:rPr>
        <w:t>should,</w:t>
      </w:r>
      <w:r>
        <w:rPr>
          <w:rFonts w:ascii="Times New Roman" w:hAnsi="Times New Roman"/>
          <w:caps w:val="false"/>
          <w:smallCaps w:val="false"/>
          <w:sz w:val="20"/>
        </w:rPr>
        <w:t>” “</w:t>
      </w:r>
      <w:r>
        <w:rPr>
          <w:rFonts w:ascii="Times New Roman" w:hAnsi="Times New Roman"/>
          <w:i/>
          <w:caps w:val="false"/>
          <w:smallCaps w:val="false"/>
          <w:sz w:val="20"/>
        </w:rPr>
        <w:t>could,</w:t>
      </w:r>
      <w:r>
        <w:rPr>
          <w:rFonts w:ascii="Times New Roman" w:hAnsi="Times New Roman"/>
          <w:caps w:val="false"/>
          <w:smallCaps w:val="false"/>
          <w:sz w:val="20"/>
        </w:rPr>
        <w:t>” “</w:t>
      </w:r>
      <w:r>
        <w:rPr>
          <w:rFonts w:ascii="Times New Roman" w:hAnsi="Times New Roman"/>
          <w:i/>
          <w:caps w:val="false"/>
          <w:smallCaps w:val="false"/>
          <w:sz w:val="20"/>
        </w:rPr>
        <w:t>would,</w:t>
      </w:r>
      <w:r>
        <w:rPr>
          <w:rFonts w:ascii="Times New Roman" w:hAnsi="Times New Roman"/>
          <w:caps w:val="false"/>
          <w:smallCaps w:val="false"/>
          <w:sz w:val="20"/>
        </w:rPr>
        <w:t>” “</w:t>
      </w:r>
      <w:r>
        <w:rPr>
          <w:rFonts w:ascii="Times New Roman" w:hAnsi="Times New Roman"/>
          <w:i/>
          <w:caps w:val="false"/>
          <w:smallCaps w:val="false"/>
          <w:sz w:val="20"/>
        </w:rPr>
        <w:t>seek,</w:t>
      </w:r>
      <w:r>
        <w:rPr>
          <w:rFonts w:ascii="Times New Roman" w:hAnsi="Times New Roman"/>
          <w:caps w:val="false"/>
          <w:smallCaps w:val="false"/>
          <w:sz w:val="20"/>
        </w:rPr>
        <w:t>” “</w:t>
      </w:r>
      <w:r>
        <w:rPr>
          <w:rFonts w:ascii="Times New Roman" w:hAnsi="Times New Roman"/>
          <w:i/>
          <w:caps w:val="false"/>
          <w:smallCaps w:val="false"/>
          <w:sz w:val="20"/>
        </w:rPr>
        <w:t>expects,</w:t>
      </w:r>
      <w:r>
        <w:rPr>
          <w:rFonts w:ascii="Times New Roman" w:hAnsi="Times New Roman"/>
          <w:caps w:val="false"/>
          <w:smallCaps w:val="false"/>
          <w:sz w:val="20"/>
        </w:rPr>
        <w:t>” “</w:t>
      </w:r>
      <w:r>
        <w:rPr>
          <w:rFonts w:ascii="Times New Roman" w:hAnsi="Times New Roman"/>
          <w:i/>
          <w:caps w:val="false"/>
          <w:smallCaps w:val="false"/>
          <w:sz w:val="20"/>
        </w:rPr>
        <w:t>plans,</w:t>
      </w:r>
      <w:r>
        <w:rPr>
          <w:rFonts w:ascii="Times New Roman" w:hAnsi="Times New Roman"/>
          <w:caps w:val="false"/>
          <w:smallCaps w:val="false"/>
          <w:sz w:val="20"/>
        </w:rPr>
        <w:t>” “</w:t>
      </w:r>
      <w:r>
        <w:rPr>
          <w:rFonts w:ascii="Times New Roman" w:hAnsi="Times New Roman"/>
          <w:i/>
          <w:caps w:val="false"/>
          <w:smallCaps w:val="false"/>
          <w:sz w:val="20"/>
        </w:rPr>
        <w:t>aim,</w:t>
      </w:r>
      <w:r>
        <w:rPr>
          <w:rFonts w:ascii="Times New Roman" w:hAnsi="Times New Roman"/>
          <w:caps w:val="false"/>
          <w:smallCaps w:val="false"/>
          <w:sz w:val="20"/>
        </w:rPr>
        <w:t>” “</w:t>
      </w:r>
      <w:r>
        <w:rPr>
          <w:rFonts w:ascii="Times New Roman" w:hAnsi="Times New Roman"/>
          <w:i/>
          <w:caps w:val="false"/>
          <w:smallCaps w:val="false"/>
          <w:sz w:val="20"/>
        </w:rPr>
        <w:t>anticipates,</w:t>
      </w:r>
      <w:r>
        <w:rPr>
          <w:rFonts w:ascii="Times New Roman" w:hAnsi="Times New Roman"/>
          <w:caps w:val="false"/>
          <w:smallCaps w:val="false"/>
          <w:sz w:val="20"/>
        </w:rPr>
        <w:t>” “</w:t>
      </w:r>
      <w:r>
        <w:rPr>
          <w:rFonts w:ascii="Times New Roman" w:hAnsi="Times New Roman"/>
          <w:i/>
          <w:caps w:val="false"/>
          <w:smallCaps w:val="false"/>
          <w:sz w:val="20"/>
        </w:rPr>
        <w:t>believes,</w:t>
      </w:r>
      <w:r>
        <w:rPr>
          <w:rFonts w:ascii="Times New Roman" w:hAnsi="Times New Roman"/>
          <w:caps w:val="false"/>
          <w:smallCaps w:val="false"/>
          <w:sz w:val="20"/>
        </w:rPr>
        <w:t>” “</w:t>
      </w:r>
      <w:r>
        <w:rPr>
          <w:rFonts w:ascii="Times New Roman" w:hAnsi="Times New Roman"/>
          <w:i/>
          <w:caps w:val="false"/>
          <w:smallCaps w:val="false"/>
          <w:sz w:val="20"/>
        </w:rPr>
        <w:t>estimates,</w:t>
      </w:r>
      <w:r>
        <w:rPr>
          <w:rFonts w:ascii="Times New Roman" w:hAnsi="Times New Roman"/>
          <w:caps w:val="false"/>
          <w:smallCaps w:val="false"/>
          <w:sz w:val="20"/>
        </w:rPr>
        <w:t>” “</w:t>
      </w:r>
      <w:r>
        <w:rPr>
          <w:rFonts w:ascii="Times New Roman" w:hAnsi="Times New Roman"/>
          <w:i/>
          <w:caps w:val="false"/>
          <w:smallCaps w:val="false"/>
          <w:sz w:val="20"/>
        </w:rPr>
        <w:t>projects,</w:t>
      </w:r>
      <w:r>
        <w:rPr>
          <w:rFonts w:ascii="Times New Roman" w:hAnsi="Times New Roman"/>
          <w:caps w:val="false"/>
          <w:smallCaps w:val="false"/>
          <w:sz w:val="20"/>
        </w:rPr>
        <w:t>” “</w:t>
      </w:r>
      <w:r>
        <w:rPr>
          <w:rFonts w:ascii="Times New Roman" w:hAnsi="Times New Roman"/>
          <w:i/>
          <w:caps w:val="false"/>
          <w:smallCaps w:val="false"/>
          <w:sz w:val="20"/>
        </w:rPr>
        <w:t>predicts,</w:t>
      </w:r>
      <w:r>
        <w:rPr>
          <w:rFonts w:ascii="Times New Roman" w:hAnsi="Times New Roman"/>
          <w:caps w:val="false"/>
          <w:smallCaps w:val="false"/>
          <w:sz w:val="20"/>
        </w:rPr>
        <w:t>” “</w:t>
      </w:r>
      <w:r>
        <w:rPr>
          <w:rFonts w:ascii="Times New Roman" w:hAnsi="Times New Roman"/>
          <w:i/>
          <w:caps w:val="false"/>
          <w:smallCaps w:val="false"/>
          <w:sz w:val="20"/>
        </w:rPr>
        <w:t>intends,</w:t>
      </w:r>
      <w:r>
        <w:rPr>
          <w:rFonts w:ascii="Times New Roman" w:hAnsi="Times New Roman"/>
          <w:caps w:val="false"/>
          <w:smallCaps w:val="false"/>
          <w:sz w:val="20"/>
        </w:rPr>
        <w:t>” “</w:t>
      </w:r>
      <w:r>
        <w:rPr>
          <w:rFonts w:ascii="Times New Roman" w:hAnsi="Times New Roman"/>
          <w:i/>
          <w:caps w:val="false"/>
          <w:smallCaps w:val="false"/>
          <w:sz w:val="20"/>
        </w:rPr>
        <w:t>think,</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w:t>
      </w:r>
      <w:r>
        <w:rPr>
          <w:rFonts w:ascii="Times New Roman" w:hAnsi="Times New Roman"/>
          <w:i/>
          <w:caps w:val="false"/>
          <w:smallCaps w:val="false"/>
          <w:sz w:val="20"/>
        </w:rPr>
        <w:t>objectives,</w:t>
      </w:r>
      <w:r>
        <w:rPr>
          <w:rFonts w:ascii="Times New Roman" w:hAnsi="Times New Roman"/>
          <w:caps w:val="false"/>
          <w:smallCaps w:val="false"/>
          <w:sz w:val="20"/>
        </w:rPr>
        <w:t>” “</w:t>
      </w:r>
      <w:r>
        <w:rPr>
          <w:rFonts w:ascii="Times New Roman" w:hAnsi="Times New Roman"/>
          <w:i/>
          <w:caps w:val="false"/>
          <w:smallCaps w:val="false"/>
          <w:sz w:val="20"/>
        </w:rPr>
        <w:t>optimistic,</w:t>
      </w:r>
      <w:r>
        <w:rPr>
          <w:rFonts w:ascii="Times New Roman" w:hAnsi="Times New Roman"/>
          <w:caps w:val="false"/>
          <w:smallCaps w:val="false"/>
          <w:sz w:val="20"/>
        </w:rPr>
        <w:t>” “</w:t>
      </w:r>
      <w:r>
        <w:rPr>
          <w:rFonts w:ascii="Times New Roman" w:hAnsi="Times New Roman"/>
          <w:i/>
          <w:caps w:val="false"/>
          <w:smallCaps w:val="false"/>
          <w:sz w:val="20"/>
        </w:rPr>
        <w:t>strategy,</w:t>
      </w:r>
      <w:r>
        <w:rPr>
          <w:rFonts w:ascii="Times New Roman" w:hAnsi="Times New Roman"/>
          <w:caps w:val="false"/>
          <w:smallCaps w:val="false"/>
          <w:sz w:val="20"/>
        </w:rPr>
        <w:t>” “</w:t>
      </w:r>
      <w:r>
        <w:rPr>
          <w:rFonts w:ascii="Times New Roman" w:hAnsi="Times New Roman"/>
          <w:i/>
          <w:caps w:val="false"/>
          <w:smallCaps w:val="false"/>
          <w:sz w:val="20"/>
        </w:rPr>
        <w:t>goals,</w:t>
      </w:r>
      <w:r>
        <w:rPr>
          <w:rFonts w:ascii="Times New Roman" w:hAnsi="Times New Roman"/>
          <w:caps w:val="false"/>
          <w:smallCaps w:val="false"/>
          <w:sz w:val="20"/>
        </w:rPr>
        <w:t>” “</w:t>
      </w:r>
      <w:r>
        <w:rPr>
          <w:rFonts w:ascii="Times New Roman" w:hAnsi="Times New Roman"/>
          <w:i/>
          <w:caps w:val="false"/>
          <w:smallCaps w:val="false"/>
          <w:sz w:val="20"/>
        </w:rPr>
        <w:t>sees,</w:t>
      </w:r>
      <w:r>
        <w:rPr>
          <w:rFonts w:ascii="Times New Roman" w:hAnsi="Times New Roman"/>
          <w:caps w:val="false"/>
          <w:smallCaps w:val="false"/>
          <w:sz w:val="20"/>
        </w:rPr>
        <w:t>” “</w:t>
      </w:r>
      <w:r>
        <w:rPr>
          <w:rFonts w:ascii="Times New Roman" w:hAnsi="Times New Roman"/>
          <w:i/>
          <w:caps w:val="false"/>
          <w:smallCaps w:val="false"/>
          <w:sz w:val="20"/>
        </w:rPr>
        <w:t>new,</w:t>
      </w:r>
      <w:r>
        <w:rPr>
          <w:rFonts w:ascii="Times New Roman" w:hAnsi="Times New Roman"/>
          <w:caps w:val="false"/>
          <w:smallCaps w:val="false"/>
          <w:sz w:val="20"/>
        </w:rPr>
        <w:t>” “</w:t>
      </w:r>
      <w:r>
        <w:rPr>
          <w:rFonts w:ascii="Times New Roman" w:hAnsi="Times New Roman"/>
          <w:i/>
          <w:caps w:val="false"/>
          <w:smallCaps w:val="false"/>
          <w:sz w:val="20"/>
        </w:rPr>
        <w:t>guidance,</w:t>
      </w:r>
      <w:r>
        <w:rPr>
          <w:rFonts w:ascii="Times New Roman" w:hAnsi="Times New Roman"/>
          <w:caps w:val="false"/>
          <w:smallCaps w:val="false"/>
          <w:sz w:val="20"/>
        </w:rPr>
        <w:t>” “</w:t>
      </w:r>
      <w:r>
        <w:rPr>
          <w:rFonts w:ascii="Times New Roman" w:hAnsi="Times New Roman"/>
          <w:i/>
          <w:caps w:val="false"/>
          <w:smallCaps w:val="false"/>
          <w:sz w:val="20"/>
        </w:rPr>
        <w:t>future,</w:t>
      </w:r>
      <w:r>
        <w:rPr>
          <w:rFonts w:ascii="Times New Roman" w:hAnsi="Times New Roman"/>
          <w:caps w:val="false"/>
          <w:smallCaps w:val="false"/>
          <w:sz w:val="20"/>
        </w:rPr>
        <w:t>” “</w:t>
      </w:r>
      <w:r>
        <w:rPr>
          <w:rFonts w:ascii="Times New Roman" w:hAnsi="Times New Roman"/>
          <w:i/>
          <w:caps w:val="false"/>
          <w:smallCaps w:val="false"/>
          <w:sz w:val="20"/>
        </w:rPr>
        <w:t>continue,</w:t>
      </w:r>
      <w:r>
        <w:rPr>
          <w:rFonts w:ascii="Times New Roman" w:hAnsi="Times New Roman"/>
          <w:caps w:val="false"/>
          <w:smallCaps w:val="false"/>
          <w:sz w:val="20"/>
        </w:rPr>
        <w:t>” “</w:t>
      </w:r>
      <w:r>
        <w:rPr>
          <w:rFonts w:ascii="Times New Roman" w:hAnsi="Times New Roman"/>
          <w:i/>
          <w:caps w:val="false"/>
          <w:smallCaps w:val="false"/>
          <w:sz w:val="20"/>
        </w:rPr>
        <w:t>drive,</w:t>
      </w:r>
      <w:r>
        <w:rPr>
          <w:rFonts w:ascii="Times New Roman" w:hAnsi="Times New Roman"/>
          <w:caps w:val="false"/>
          <w:smallCaps w:val="false"/>
          <w:sz w:val="20"/>
        </w:rPr>
        <w:t>” “</w:t>
      </w:r>
      <w:r>
        <w:rPr>
          <w:rFonts w:ascii="Times New Roman" w:hAnsi="Times New Roman"/>
          <w:i/>
          <w:caps w:val="false"/>
          <w:smallCaps w:val="false"/>
          <w:sz w:val="20"/>
        </w:rPr>
        <w:t>growth,</w:t>
      </w:r>
      <w:r>
        <w:rPr>
          <w:rFonts w:ascii="Times New Roman" w:hAnsi="Times New Roman"/>
          <w:caps w:val="false"/>
          <w:smallCaps w:val="false"/>
          <w:sz w:val="20"/>
        </w:rPr>
        <w:t>” “</w:t>
      </w:r>
      <w:r>
        <w:rPr>
          <w:rFonts w:ascii="Times New Roman" w:hAnsi="Times New Roman"/>
          <w:i/>
          <w:caps w:val="false"/>
          <w:smallCaps w:val="false"/>
          <w:sz w:val="20"/>
        </w:rPr>
        <w:t>long-term,</w:t>
      </w:r>
      <w:r>
        <w:rPr>
          <w:rFonts w:ascii="Times New Roman" w:hAnsi="Times New Roman"/>
          <w:caps w:val="false"/>
          <w:smallCaps w:val="false"/>
          <w:sz w:val="20"/>
        </w:rPr>
        <w:t>” “</w:t>
      </w:r>
      <w:r>
        <w:rPr>
          <w:rFonts w:ascii="Times New Roman" w:hAnsi="Times New Roman"/>
          <w:i/>
          <w:caps w:val="false"/>
          <w:smallCaps w:val="false"/>
          <w:sz w:val="20"/>
        </w:rPr>
        <w:t>projects,</w:t>
      </w:r>
      <w:r>
        <w:rPr>
          <w:rFonts w:ascii="Times New Roman" w:hAnsi="Times New Roman"/>
          <w:caps w:val="false"/>
          <w:smallCaps w:val="false"/>
          <w:sz w:val="20"/>
        </w:rPr>
        <w:t>” “</w:t>
      </w:r>
      <w:r>
        <w:rPr>
          <w:rFonts w:ascii="Times New Roman" w:hAnsi="Times New Roman"/>
          <w:i/>
          <w:caps w:val="false"/>
          <w:smallCaps w:val="false"/>
          <w:sz w:val="20"/>
        </w:rPr>
        <w:t>develop,</w:t>
      </w:r>
      <w:r>
        <w:rPr>
          <w:rFonts w:ascii="Times New Roman" w:hAnsi="Times New Roman"/>
          <w:caps w:val="false"/>
          <w:smallCaps w:val="false"/>
          <w:sz w:val="20"/>
        </w:rPr>
        <w:t>” “</w:t>
      </w:r>
      <w:r>
        <w:rPr>
          <w:rFonts w:ascii="Times New Roman" w:hAnsi="Times New Roman"/>
          <w:i/>
          <w:caps w:val="false"/>
          <w:smallCaps w:val="false"/>
          <w:sz w:val="20"/>
        </w:rPr>
        <w:t>possible,</w:t>
      </w:r>
      <w:r>
        <w:rPr>
          <w:rFonts w:ascii="Times New Roman" w:hAnsi="Times New Roman"/>
          <w:caps w:val="false"/>
          <w:smallCaps w:val="false"/>
          <w:sz w:val="20"/>
        </w:rPr>
        <w:t>” “</w:t>
      </w:r>
      <w:r>
        <w:rPr>
          <w:rFonts w:ascii="Times New Roman" w:hAnsi="Times New Roman"/>
          <w:i/>
          <w:caps w:val="false"/>
          <w:smallCaps w:val="false"/>
          <w:sz w:val="20"/>
        </w:rPr>
        <w:t>emerging,</w:t>
      </w:r>
      <w:r>
        <w:rPr>
          <w:rFonts w:ascii="Times New Roman" w:hAnsi="Times New Roman"/>
          <w:caps w:val="false"/>
          <w:smallCaps w:val="false"/>
          <w:sz w:val="20"/>
        </w:rPr>
        <w:t>” “</w:t>
      </w:r>
      <w:r>
        <w:rPr>
          <w:rFonts w:ascii="Times New Roman" w:hAnsi="Times New Roman"/>
          <w:i/>
          <w:caps w:val="false"/>
          <w:smallCaps w:val="false"/>
          <w:sz w:val="20"/>
        </w:rPr>
        <w:t>opportunity,</w:t>
      </w:r>
      <w:r>
        <w:rPr>
          <w:rFonts w:ascii="Times New Roman" w:hAnsi="Times New Roman"/>
          <w:caps w:val="false"/>
          <w:smallCaps w:val="false"/>
          <w:sz w:val="20"/>
        </w:rPr>
        <w:t>” “</w:t>
      </w:r>
      <w:r>
        <w:rPr>
          <w:rFonts w:ascii="Times New Roman" w:hAnsi="Times New Roman"/>
          <w:i/>
          <w:caps w:val="false"/>
          <w:smallCaps w:val="false"/>
          <w:sz w:val="20"/>
        </w:rPr>
        <w:t>pursue</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detail in our Annual Report on Form 10-K for the year ended December 31, 2022 and our other filings with the SEC. You should carefully review all of these factors, as well as other risks described in our public filings, and you should be aware that there may be other factors, including factors of which we are not currently aware, that could cause these differences. Also, these forward-looking statements represent our estimates and assumptions only as of the date of this report. We may not update these forward-looking statements, even though our situation may change in the future, unless we have obligations under the federal securities laws to update and disclose material developments related to previously disclosed information. Harvard Bioscience, Inc. is referred to herein as </w:t>
      </w:r>
      <w:r>
        <w:rPr>
          <w:rFonts w:ascii="Times New Roman" w:hAnsi="Times New Roman"/>
          <w:caps w:val="false"/>
          <w:smallCaps w:val="false"/>
          <w:sz w:val="20"/>
        </w:rPr>
        <w:t>“</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the Company.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Global Economic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global supply chain has experienced significant disruptions over the last few years due to electronic component and labor shortages and other macroeconomic factors which have emerged since the onset of COVID-19. This has led to increased cost of freight, purchased materials, and manufacturing labor costs, while also delaying customer shipments. Additionally, the global economy has recently experienced increasing uncertainty, including inflationary pressure, rising interest rates, and fluctuations in exchange rates. These conditions have negatively impacted our past business, results of operations, and cash flow. Recent events in Ukraine and the Middle East, as well as delays in U.S. government funding may lead to additional economic uncertainties. If these factors are prolonged or are more severe than anticipated, our business, results of operations, and cash flow may be materially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Selected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Three months ended September 30, 2023 compared to three months ended September 30, 2022.</w:t>
      </w:r>
    </w:p>
    <w:p>
      <w:pPr>
        <w:pStyle w:val="TextBody"/>
        <w:bidi w:val="0"/>
        <w:spacing w:before="0" w:after="0"/>
        <w:ind w:left="0" w:right="0" w:hanging="0"/>
        <w:jc w:val="left"/>
        <w:rPr>
          <w:caps w:val="false"/>
          <w:smallCaps w:val="false"/>
        </w:rPr>
      </w:pPr>
      <w:r>
        <w:rPr>
          <w:caps w:val="false"/>
          <w:smallCaps w:val="false"/>
        </w:rPr>
        <w:t> </w:t>
      </w:r>
    </w:p>
    <w:tbl>
      <w:tblPr>
        <w:tblW w:w="7611" w:type="dxa"/>
        <w:jc w:val="left"/>
        <w:tblInd w:w="0" w:type="dxa"/>
        <w:tblLayout w:type="fixed"/>
        <w:tblCellMar>
          <w:top w:w="0" w:type="dxa"/>
          <w:left w:w="0" w:type="dxa"/>
          <w:bottom w:w="0" w:type="dxa"/>
          <w:right w:w="0" w:type="dxa"/>
        </w:tblCellMar>
      </w:tblPr>
      <w:tblGrid>
        <w:gridCol w:w="2990"/>
        <w:gridCol w:w="60"/>
        <w:gridCol w:w="133"/>
        <w:gridCol w:w="631"/>
        <w:gridCol w:w="85"/>
        <w:gridCol w:w="64"/>
        <w:gridCol w:w="154"/>
        <w:gridCol w:w="990"/>
        <w:gridCol w:w="198"/>
        <w:gridCol w:w="64"/>
        <w:gridCol w:w="133"/>
        <w:gridCol w:w="631"/>
        <w:gridCol w:w="85"/>
        <w:gridCol w:w="64"/>
        <w:gridCol w:w="154"/>
        <w:gridCol w:w="990"/>
        <w:gridCol w:w="18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7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(dollars in thousands)</w:t>
            </w:r>
          </w:p>
        </w:tc>
        <w:tc>
          <w:tcPr>
            <w:tcW w:w="60" w:type="dxa"/>
            <w:tcBorders/>
            <w:vAlign w:val="center"/>
          </w:tcPr>
          <w:p>
            <w:pPr>
              <w:pStyle w:val="TableContents"/>
              <w:bidi w:val="0"/>
              <w:spacing w:before="0" w:after="283"/>
              <w:ind w:left="0" w:right="0" w:hanging="0"/>
              <w:jc w:val="left"/>
              <w:rPr/>
            </w:pPr>
            <w:r>
              <w:rPr/>
              <w:t> </w:t>
            </w:r>
          </w:p>
        </w:tc>
        <w:tc>
          <w:tcPr>
            <w:tcW w:w="7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5" w:type="dxa"/>
            <w:tcBorders>
              <w:bottom w:val="single" w:sz="2" w:space="0" w:color="000000"/>
            </w:tcBorders>
            <w:tcMar>
              <w:bottom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revenue</w:t>
            </w:r>
          </w:p>
        </w:tc>
        <w:tc>
          <w:tcPr>
            <w:tcW w:w="198" w:type="dxa"/>
            <w:tcBorders>
              <w:bottom w:val="single" w:sz="2" w:space="0" w:color="000000"/>
            </w:tcBorders>
            <w:tcMar>
              <w:bottom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7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5" w:type="dxa"/>
            <w:tcBorders>
              <w:bottom w:val="single" w:sz="2" w:space="0" w:color="000000"/>
            </w:tcBorders>
            <w:tcMar>
              <w:bottom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revenue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25,363</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198"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26,922</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14,727</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58.1</w:t>
            </w:r>
          </w:p>
        </w:tc>
        <w:tc>
          <w:tcPr>
            <w:tcW w:w="19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12,172</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5,732</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w:t>
            </w:r>
          </w:p>
        </w:tc>
        <w:tc>
          <w:tcPr>
            <w:tcW w:w="19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5,819</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5,807</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w:t>
            </w:r>
          </w:p>
        </w:tc>
        <w:tc>
          <w:tcPr>
            <w:tcW w:w="19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6,324</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2,760</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p>
        </w:tc>
        <w:tc>
          <w:tcPr>
            <w:tcW w:w="19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2,763</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1,361</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w:t>
            </w:r>
          </w:p>
        </w:tc>
        <w:tc>
          <w:tcPr>
            <w:tcW w:w="19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1,572</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Litigation settlement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98"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(544</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Unrealized gain on equity securities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(1,208</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w:t>
            </w:r>
          </w:p>
        </w:tc>
        <w:tc>
          <w:tcPr>
            <w:tcW w:w="19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882</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w:t>
            </w:r>
          </w:p>
        </w:tc>
        <w:tc>
          <w:tcPr>
            <w:tcW w:w="19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749</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 (benefit)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677</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19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(1,285</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 was $25.4 million for the three months ended September 30, 2023, compared to $26.9 million for the three months ended September 30, 2022, a decrease of $1.5 million, or 5.8%. This decline included a net decrease of $1.3 million from non-strategic products discontinued in the second half of 2022 and decreases in cellular and molecular product revenue, which were largely offset by growth in preclinical products and services. Revenue declines in Asia were partially offset by growth in North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profit was $14.7 million for the three months ended September 30, 2023, compared with $12.2 million for the three months ended September 30, 2022. Gross margin increased to 58.1% for the three months ended September 30, 2023, compared with 45.2% for the three months ended September 30, 2022. The increase in gross margin was due primarily to a higher mix of preclinical products, service and software, which generally have higher gross margins than our other product lines, as well as reduced revenue from lower margin products discontinued during the second half of 2022. Costs of goods sold for the three months ended September 30, 2022, also included a $1.3 million inventory reserve related to the discontinuation of certain non-strategic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Sales and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Sales and marketing expenses decreased $0.1 million, or 1.5%, to $5.7 million for the three months ended September 30, 2023, compared to $5.8 million for the three months ended September 30, 2022. A reduction in salaries due to lower headcount was mostly offset by increases in variable compensation and travel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decreased $0.5 million, or 8.2%, to $5.8 million for the three months ended September 30, 2023, compared with $6.3 million for the three months ended September 30, 2022. We undertook a restructuring during the three months ended September 30, 2022, which resulted in higher severance costs in the prior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Research and development expenses were $2.8 million for both the three months ended September 30, 2023, and 2022. A reduction in salaries due to lower headcount and a reduction in consulting costs were mostly offset by increases in variable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Amortization of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Amortization of intangible asset expenses were $1.4 million for the three months ended September 30, 2023, compared with $1.6 million for the three months ended September 30, 2022. Amortization expense decreased due to the completion of  amortizing certain intangible assets during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Litigation settlement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three months ended September 30, 2022, we released a reserve of $0.5 million against the indemnification receivable from Biostage to reflect the final payment by Biostage of the legal fees associated with the Biostage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Unrealized gain on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6, 2023, Biostage completed a private placement of its common stock for an aggregate offering amount of approximately $6.0 million at a purchase price of $6.00 per share. As the proceeds of the private placements were in excess of $4.0 million, the transaction triggered a mandatory conversion of our Series E Preferred Stock into shares of Biostage common stock at the offering price of $6.00 per share. On July 20, 2023, Biostage, Inc. changed its corporate name to Harvard Apparatus Regenerative Technology (“HART”) and began to trade under the OTCQB Marketplace symbol HRGN. As of September 30, 2023, we held 706,626 shares of HART common stock with an estimated fair value of $3.8 million. During the three months ended September 30, 2023, we recorded an unrealized gain of $1.2 million related to these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determine the fair value of our HART common stock based on the closing price as quoted on the OTCQB Marketplace at the reporting date. Due to HART’s limited operating history, its overall financial condition and the limited trading volumes and liquidity of its common stock, the value of our investment in this common stock could fluctuate considerably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Interest expense was $0.9 million and $0.7 million for the three months ended September 30, 2023 and 2022, respectively. The increase was the result of higher interest costs in a rising rate environment, which was partially offset by lower average borrowings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Income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Income tax expense (benefit) for the three months ended September 30, 2023 was $0.7 million and for the three months ended September 30, 2022 was $(1.3) million. The effective tax rates for the three months ended September 30, 2023 and 2022 were (120.2)% and 27.4%, respectively. The difference between our effective tax rates for the three months ended September 30, 2023, compared to the U.S. statutory tax rate of 21% is primarily due to the mix of forecasted income or losses in our U.S. and foreign tax jurisdictions and a Global Intangible Low-Taxed Income (“GILTI”) inclusion to taxable income. The effective tax rates in both the three months ended September 30, 2023 and 2022, were also impacted by changes in valuation allowances associated with our assessment of the likelihood of the recoverability of our deferred tax assets. We have valuation allowances against substantially all of our net operating loss carryforwards and tax credit carryforwards.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Nine months ended September 30, 2023 compared to nine months ended September 30, 2022.</w:t>
      </w:r>
    </w:p>
    <w:p>
      <w:pPr>
        <w:pStyle w:val="TextBody"/>
        <w:bidi w:val="0"/>
        <w:spacing w:before="0" w:after="0"/>
        <w:ind w:left="0" w:right="0" w:hanging="0"/>
        <w:jc w:val="left"/>
        <w:rPr>
          <w:caps w:val="false"/>
          <w:smallCaps w:val="false"/>
        </w:rPr>
      </w:pPr>
      <w:r>
        <w:rPr>
          <w:caps w:val="false"/>
          <w:smallCaps w:val="false"/>
        </w:rPr>
        <w:t> </w:t>
      </w:r>
    </w:p>
    <w:tbl>
      <w:tblPr>
        <w:tblW w:w="7522" w:type="dxa"/>
        <w:jc w:val="left"/>
        <w:tblInd w:w="0" w:type="dxa"/>
        <w:tblLayout w:type="fixed"/>
        <w:tblCellMar>
          <w:top w:w="0" w:type="dxa"/>
          <w:left w:w="0" w:type="dxa"/>
          <w:bottom w:w="0" w:type="dxa"/>
          <w:right w:w="0" w:type="dxa"/>
        </w:tblCellMar>
      </w:tblPr>
      <w:tblGrid>
        <w:gridCol w:w="2990"/>
        <w:gridCol w:w="60"/>
        <w:gridCol w:w="129"/>
        <w:gridCol w:w="610"/>
        <w:gridCol w:w="62"/>
        <w:gridCol w:w="62"/>
        <w:gridCol w:w="154"/>
        <w:gridCol w:w="990"/>
        <w:gridCol w:w="191"/>
        <w:gridCol w:w="62"/>
        <w:gridCol w:w="129"/>
        <w:gridCol w:w="610"/>
        <w:gridCol w:w="82"/>
        <w:gridCol w:w="62"/>
        <w:gridCol w:w="154"/>
        <w:gridCol w:w="990"/>
        <w:gridCol w:w="18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28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(dollars in thousands)</w:t>
            </w:r>
          </w:p>
        </w:tc>
        <w:tc>
          <w:tcPr>
            <w:tcW w:w="60" w:type="dxa"/>
            <w:tcBorders/>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2"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revenue</w:t>
            </w:r>
          </w:p>
        </w:tc>
        <w:tc>
          <w:tcPr>
            <w:tcW w:w="191"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revenue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84,097</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84,908</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49,746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44,986</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17,888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w:t>
            </w:r>
          </w:p>
        </w:tc>
        <w:tc>
          <w:tcPr>
            <w:tcW w:w="1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19,093</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17,494</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18,630</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8,614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w:t>
            </w:r>
          </w:p>
        </w:tc>
        <w:tc>
          <w:tcPr>
            <w:tcW w:w="1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9,480</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4,138</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4,492</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Litigation settlement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9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w:t>
            </w:r>
          </w:p>
        </w:tc>
        <w:tc>
          <w:tcPr>
            <w:tcW w:w="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Unrealized loss on equity securities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0.4</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2,797</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w:t>
            </w:r>
          </w:p>
        </w:tc>
        <w:tc>
          <w:tcPr>
            <w:tcW w:w="1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1,648</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 (benefit)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(437</w:t>
            </w:r>
          </w:p>
        </w:tc>
        <w:tc>
          <w:tcPr>
            <w:tcW w:w="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 was $84.1 million for the nine months ended September 30, 2023, compared to $84.9 million for the nine months ended September 30, 2022, a decrease of $0.8 million, or 1.0%. Revenue included a net decrease of $4.1 million from the discontinuation of non-strategic products which was largely offset by growth in preclinical product and service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profit was $49.7 million for nine months ended September 30, 2023, compared with $45.0 million for the nine months ended September 30, 2022. Gross margin increased to 59.2% for the nine months ended September 30, 2023, compared with 53.0% for the nine months ended September 30, 2022. The increase in gross margin was due primarily to a higher mix of preclinical products, services and software, which generally have higher gross margins than our other product lines, as well as reduced revenue from lower margin products discontinued during the second half of 2022. Costs of goods sold for the three months ended September 30, 2022, also included a $1.3 million inventory reserve related to the discontinuation of certain non-strategic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Sales and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Sales and marketing expenses decreased $1.2 million, or 6.3%, to $17.9 million for the nine months ended September 30, 2023, compared to $19.1 million for the nine months ended September 30, 2022. A reduction in salaries due to lower headcount was partially offset by increases in variable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decreased $1.1 million, or 6.1%, to $17.5 million for the nine months ended September 30, 2023, compared with $18.6 million for the nine months ended September 30, 2022. The decrease was primarily due to reduced consulting costs and severance costs incurred with restructuring activities in the prior period, partially offset by increases in salaries and variable compensation in the current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Research and development expenses decreased $0.9 million, or 9.1%, to $8.6 million for the nine months ended September 30, 2023, compared with $9.5 million for the nine months ended September 30, 2022. The decrease was primarily due to reduced salaries and consulting costs, partially offset by increases in variable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Amortization of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Amortization of intangible asset expenses were $4.1 million for the nine months ended September 30, 2023, compared with $4.5 million for the nine months ended September 30, 2022. Amortization expense decreased as we completed the amortization of certain intangible assets during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Litigation settlement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nine months ended September 30, 2022, we recorded a net credit of $0.2 million related to the Biostage Settlement consisting of $5.2 million in settlement and legal expenses accrued during the three months ended March 31, 2022, offset by credits of $4.9 million and $0.5 million recorded during the three months ended June 30, 2022 and September 30, 2022, respectively. The credits consisted of adjustments to the reserve against the indemnification receivable from Biostage to reflect: i) the issuance by Biostage of Series E Convertible Preferred Stock to us on June 10, 2022, in satisfaction of $4.0 million of Biostage’s total indemnification obligations, ii) the payment by Biostage of legal fees associated with the Biostage Settlement, and iii) other accrual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Unrealized loss on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discussed above, we held 706,626 shares of HART common stock with an estimated fair value of $3.8 million as of September 30, 2023. During the nine months ended September 30, 2023, we recorded an unrealized loss of $0.4 million related to these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determine the fair value of our HART common stock based on the closing price as quoted on the OTCQB Marketplace at the reporting date. Due to HART’s limited operating history, its overall financial condition and the limited trading volumes and liquidity of its common stock, the value of our investment in this common stock could fluctuate considerably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Interest expense increased $1.2 million, or 69.7%, to $2.8 million for the nine months ended September 30, 2023, compared with $1.6 million for the nine months ended September 30, 2022. The increase was the result of higher interest costs in a rising rate environment, which was partially offset by lower average borrowings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Income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Income tax expense (benefit) for the nine months ended September 30, 2023 was $0.1 million and for the nine months ended September 30, 2022 was $(0.4) million. The effective tax rates for the nine months ended September 30, 2023 and 2022 were (9.9)% and 5.3%, respectively. The difference between our effective tax rates for the nine months ended September 30, 2023, compared to the U.S. statutory tax rate of 21% was primarily due to the mix of forecasted income or losses in our U.S. and foreign tax jurisdictions and a GILTI inclusion to taxable income. The effective tax rates in both the nine months ended September 30, 2023 and 2022, were also impacted by changes in valuation allowances associated with our assessment of the likelihood of the recoverability of our deferred tax assets. We have valuation allowances against substantially all of our net operating loss carryforwards and tax credit carryforwards.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primary sources of liquidity are cash and cash equivalents, internally generated cash flow from operations and our revolving credit facility. Our expected cash outlays relate primarily to cash payments due under our Credit Agreement described below, salaries as well as 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September 30, 2023, we held cash and cash equivalents of $5.3 million, compared with $4.5 million at December 31, 2022. Borrowings outstanding were $39.4 million and $47.7 million as of September 30, 2023 and December 31,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22, 2020, we entered into a Credit Agreement which provides for a term loan of $40.0 million and a $25.0 million senior revolving credit facility both maturing on December 22, 2025. As of September 30, 2023, the weighted average interest rate on our borrowings, inclusive of the effect of our interest rate swaps, was 7.7%, and the available and unused borrowing capacity was $13.0 million. Total revolver borrowing capacity is limited by our consolidated net leverage ratio as defined under the Credit Agreement, as amended. As of September 30, 2023, we were in compliance with the covenants of the Credit Agreement,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Based on our current operating plans, we expect that our available cash, cash generated from current operations and debt capacity will be sufficient to finance current operations, and capital expenditures for at least the next 12 months. This assessment includes consideration of our best estimates of the impact of macroeconomic conditions on our financial results described above. Our forecast of the period of time through which our financial resources will be adequate to support our operations is a forward-looking statement that involves risks and uncertainties, and actual results could vary as a result of a number of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CASH FLOW STATEMENTS</w:t>
      </w:r>
    </w:p>
    <w:p>
      <w:pPr>
        <w:pStyle w:val="TextBody"/>
        <w:bidi w:val="0"/>
        <w:spacing w:before="0" w:after="0"/>
        <w:ind w:left="0" w:right="0" w:hanging="0"/>
        <w:jc w:val="left"/>
        <w:rPr>
          <w:caps w:val="false"/>
          <w:smallCaps w:val="false"/>
        </w:rPr>
      </w:pPr>
      <w:r>
        <w:rPr>
          <w:caps w:val="false"/>
          <w:smallCaps w:val="false"/>
        </w:rPr>
        <w:t> </w:t>
      </w:r>
    </w:p>
    <w:tbl>
      <w:tblPr>
        <w:tblW w:w="6943" w:type="dxa"/>
        <w:jc w:val="left"/>
        <w:tblInd w:w="0" w:type="dxa"/>
        <w:tblLayout w:type="fixed"/>
        <w:tblCellMar>
          <w:top w:w="0" w:type="dxa"/>
          <w:left w:w="0" w:type="dxa"/>
          <w:bottom w:w="0" w:type="dxa"/>
          <w:right w:w="0" w:type="dxa"/>
        </w:tblCellMar>
      </w:tblPr>
      <w:tblGrid>
        <w:gridCol w:w="3890"/>
        <w:gridCol w:w="60"/>
        <w:gridCol w:w="246"/>
        <w:gridCol w:w="1073"/>
        <w:gridCol w:w="157"/>
        <w:gridCol w:w="118"/>
        <w:gridCol w:w="246"/>
        <w:gridCol w:w="1073"/>
        <w:gridCol w:w="80"/>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3" w:type="dxa"/>
            <w:gridSpan w:val="6"/>
            <w:tcBorders>
              <w:bottom w:val="single" w:sz="2" w:space="0" w:color="000000"/>
            </w:tcBorders>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Nine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3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57" w:type="dxa"/>
            <w:tcBorders>
              <w:bottom w:val="single" w:sz="2" w:space="0" w:color="000000"/>
            </w:tcBorders>
            <w:tcMar>
              <w:bottom w:w="28" w:type="dxa"/>
            </w:tcMar>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ind w:left="0" w:right="0" w:hanging="0"/>
              <w:jc w:val="left"/>
              <w:rPr/>
            </w:pPr>
            <w:r>
              <w:rPr/>
              <w:t> </w:t>
            </w:r>
          </w:p>
        </w:tc>
        <w:tc>
          <w:tcPr>
            <w:tcW w:w="13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provided by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2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9,725</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2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used in investing activities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(738</w:t>
            </w:r>
          </w:p>
        </w:tc>
        <w:tc>
          <w:tcPr>
            <w:tcW w:w="15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used in financing activities</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(8,018</w:t>
            </w:r>
          </w:p>
        </w:tc>
        <w:tc>
          <w:tcPr>
            <w:tcW w:w="15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w:t>
            </w:r>
          </w:p>
        </w:tc>
        <w:tc>
          <w:tcPr>
            <w:tcW w:w="15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8" w:type="dxa"/>
            <w:tcBorders/>
            <w:shd w:fill="FFFFFF" w:val="clear"/>
            <w:vAlign w:val="center"/>
          </w:tcPr>
          <w:p>
            <w:pPr>
              <w:pStyle w:val="TableContents"/>
              <w:bidi w:val="0"/>
              <w:spacing w:before="0" w:after="283"/>
              <w:jc w:val="left"/>
              <w:rPr/>
            </w:pPr>
            <w:r>
              <w:rPr/>
              <w:t> </w:t>
            </w:r>
          </w:p>
        </w:tc>
        <w:tc>
          <w:tcPr>
            <w:tcW w:w="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 (decrease)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832</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provided by operating activities was $9.7 million for the nine months ended September 30, 2023, compared with cash used in operating activities of $1.5 million for the nine months ended September 30, 2022. Cash provided by operating activities for the nine months ended September 30, 2023 improved due to reductions in our net loss adjusted for non-cash items and increases in deferred revenue for service contracts. During the nine months ended September 30, 2022, cash used in operating activities was negatively impacted by the payment of approximately $4.0 million in connection with the Biostage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used in investing activities was $0.7 million for the nine months ended September 30, 2023, and primarily consisted of $1.2 million of capital expenditures in manufacturing, information technology infrastructure, and intangible asset acquisitions, offset by $0.5 million from proceeds of the sale our Hoefer product line. Cash used in investing activities was $1.4 million for the nine months ended September 30, 2022, and primarily consisted of capital expenditures in manufacturing and information technology infrastructure.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used in financing activities was $8.0 million and $0.1 million for the nine months ended September 30, 2023 and 2022, respectively. During the nine months ended September 30, 2023, debt outstanding under our credit facility decreased by $8.3 million, consisting of net payments against our revolving line of credit of $5.0 million, and payments of $3.3 million against the term loan. We also received proceeds of $0.7 million from the exercise of stock options and employee stock purchases and paid $0.5 million for taxes related to net share settlement of equity awards. During the nine months ended September 30, 2022, debt outstanding under our credit facility increased by $0.7 million, consisting of net drawings against our revolver of $3.1 million, offset by payments of $2.4 million against the term loan. We also paid $1.2 million for taxes related to net share settlement of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Impact of Foreign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international operations in some instances operate in a natural hedge, as we sell our products in many countries and a substantial portion of our revenues, costs and expenses are denominated in foreign currencies, primarily the euro and British pound.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three months ended September 30, 2023, changes in foreign currency exchange rates resulted in a favorable translation effect on our consolidated revenues of approximately $0.7 million and an unfavorable effect on expense of approximately $0.5 million. During the nine months ended September 30, 2023, changes in foreign currency exchange rates resulted in a favorable translation effect on our consolidated revenues of approximately $0.3 million and a unfavorable effect on expense of approximately $0.1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loss associated with the translation of foreign equity into U.S. dollars included as a component of comprehensive loss was $1.3 million and $2.9 million for the three months ended September 30, 2023 and 2022, respectively, and was $0.4 million and $6.2 million for the nine months ended September 30,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currency exchange rate fluctuations included as a component of net loss resulted in currency gains (losses) of approximately $0.2 million and $(0.3) million for the three months ended September 30, 2023 and 2022, respectively, and $0.1 million and $(0.6) million for the nine months ended September 30,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Critical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critical accounting policies underlying the accompanying unaudited consolidated financial statements are those set forth in Part II, Item 7 included in our Annual Report on Form 10-K for the fiscal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information on recent accounting pronouncements impacting our business, see “Recently Issued Accounting Pronouncements” included in Note 2 to our Condensed Consolidated Financial Statements included in “Part I, Item 1. Financial Statements”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5680" w:type="dxa"/>
        <w:jc w:val="left"/>
        <w:tblInd w:w="0" w:type="dxa"/>
        <w:tblLayout w:type="fixed"/>
        <w:tblCellMar>
          <w:top w:w="0" w:type="dxa"/>
          <w:left w:w="0" w:type="dxa"/>
          <w:bottom w:w="0" w:type="dxa"/>
          <w:right w:w="0" w:type="dxa"/>
        </w:tblCellMar>
      </w:tblPr>
      <w:tblGrid>
        <w:gridCol w:w="605"/>
        <w:gridCol w:w="507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3.</w:t>
            </w:r>
          </w:p>
        </w:tc>
        <w:tc>
          <w:tcPr>
            <w:tcW w:w="50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bookmarkStart w:id="12" w:name="p1i3"/>
            <w:bookmarkEnd w:id="12"/>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605"/>
        <w:gridCol w:w="216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4.</w:t>
            </w:r>
          </w:p>
        </w:tc>
        <w:tc>
          <w:tcPr>
            <w:tcW w:w="21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Controls and Procedures.</w:t>
            </w:r>
            <w:bookmarkStart w:id="13" w:name="p1i4"/>
            <w:bookmarkEnd w:id="13"/>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September 30, 2023, the end of the period covered by this report, our management, including our Chief Executive Officer and our Chief Financial Officer, reviewed and evaluated the effectiveness of our disclosure controls and procedures (as defined in Rule 13a-15(e) or 15d-15(e) of the Exchange Act). Based upon management's review and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SEC and is accumulated and communicated to management, including the Chief Executive Officer and Chief Financial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during the third quarter of fiscal 2023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Limitations on Effectiveness of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designing and evaluating our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within the Company have been detected.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 OTHER INFORMATION</w:t>
      </w:r>
      <w:bookmarkStart w:id="14" w:name="p2"/>
      <w:bookmarkEnd w:id="14"/>
    </w:p>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605"/>
        <w:gridCol w:w="164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w:t>
            </w:r>
          </w:p>
        </w:tc>
        <w:tc>
          <w:tcPr>
            <w:tcW w:w="16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Legal Proceedings.</w:t>
            </w:r>
            <w:bookmarkStart w:id="15" w:name="p2i1"/>
            <w:bookmarkEnd w:id="15"/>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included in Note 13 and Note 14 to the Condensed Consolidated Financial Statements (Unaudited) included in “Part I, Item 1 Financial Statements” of this quarterly report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740"/>
        <w:gridCol w:w="1130"/>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1A.</w:t>
            </w:r>
          </w:p>
        </w:tc>
        <w:tc>
          <w:tcPr>
            <w:tcW w:w="11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 Factors.</w:t>
            </w:r>
            <w:bookmarkStart w:id="16" w:name="p2i1a"/>
            <w:bookmarkEnd w:id="16"/>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should carefully consider the risk factors discussed in Part I, “Item 1A. Risk Factors” in our Annual Report on Form 10-K for the fiscal year ended December 31, 2022, which could materially affect our business, financial position, or future results of operations. The risks described in our Annual Report on Form 10-K are not the only risks we face. Additional risks and uncertainties not currently known to us or that we currently deem to be immaterial may also materially adversely affect our business, financial position, or future results of operations.</w:t>
      </w:r>
    </w:p>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605"/>
        <w:gridCol w:w="506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w:t>
            </w:r>
          </w:p>
        </w:tc>
        <w:tc>
          <w:tcPr>
            <w:tcW w:w="50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Unregistered Sales of Equity Securities and Use of Proceeds.</w:t>
            </w:r>
            <w:bookmarkStart w:id="17" w:name="p2i2"/>
            <w:bookmarkEnd w:id="17"/>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were no unregistered sales of equity securities during the period covered by this report.</w:t>
      </w:r>
    </w:p>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605"/>
        <w:gridCol w:w="272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3.</w:t>
            </w:r>
          </w:p>
        </w:tc>
        <w:tc>
          <w:tcPr>
            <w:tcW w:w="27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Defaults Upon Senior Securities.</w:t>
            </w:r>
            <w:bookmarkStart w:id="18" w:name="p2i3"/>
            <w:bookmarkEnd w:id="18"/>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605"/>
        <w:gridCol w:w="207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4.</w:t>
            </w:r>
          </w:p>
        </w:tc>
        <w:tc>
          <w:tcPr>
            <w:tcW w:w="20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Mine Safety Disclosures.</w:t>
            </w:r>
            <w:bookmarkStart w:id="19" w:name="p2i4"/>
            <w:bookmarkEnd w:id="19"/>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605"/>
        <w:gridCol w:w="164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5.</w:t>
            </w:r>
          </w:p>
        </w:tc>
        <w:tc>
          <w:tcPr>
            <w:tcW w:w="16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bookmarkStart w:id="20" w:name="p2i5"/>
            <w:bookmarkEnd w:id="20"/>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605"/>
        <w:gridCol w:w="72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6.</w:t>
            </w:r>
          </w:p>
        </w:tc>
        <w:tc>
          <w:tcPr>
            <w:tcW w:w="7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Exhibits</w:t>
            </w:r>
            <w:bookmarkStart w:id="21" w:name="p2i6"/>
            <w:bookmarkEnd w:id="21"/>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8"/>
        <w:gridCol w:w="9667"/>
      </w:tblGrid>
      <w:tr>
        <w:trPr/>
        <w:tc>
          <w:tcPr>
            <w:tcW w:w="538" w:type="dxa"/>
            <w:tcBorders/>
            <w:vAlign w:val="center"/>
          </w:tcPr>
          <w:p>
            <w:pPr>
              <w:pStyle w:val="TableContents"/>
              <w:bidi w:val="0"/>
              <w:spacing w:before="0" w:after="0"/>
              <w:ind w:left="0" w:right="0" w:hanging="0"/>
              <w:jc w:val="left"/>
              <w:rPr/>
            </w:pPr>
            <w:hyperlink w:anchor="ex_586569.htm">
              <w:r>
                <w:rPr>
                  <w:rStyle w:val="InternetLink"/>
                  <w:rFonts w:ascii="Times New Roman" w:hAnsi="Times New Roman"/>
                  <w:caps w:val="false"/>
                  <w:smallCaps w:val="false"/>
                  <w:sz w:val="20"/>
                </w:rPr>
                <w:t>31.1</w:t>
              </w:r>
            </w:hyperlink>
          </w:p>
        </w:tc>
        <w:tc>
          <w:tcPr>
            <w:tcW w:w="9667" w:type="dxa"/>
            <w:tcBorders/>
            <w:vAlign w:val="center"/>
          </w:tcPr>
          <w:p>
            <w:pPr>
              <w:pStyle w:val="TableContents"/>
              <w:bidi w:val="0"/>
              <w:spacing w:before="0" w:after="0"/>
              <w:ind w:left="0" w:right="0" w:hanging="0"/>
              <w:jc w:val="left"/>
              <w:rPr/>
            </w:pPr>
            <w:hyperlink w:anchor="ex_586569.htm">
              <w:r>
                <w:rPr>
                  <w:rStyle w:val="InternetLink"/>
                  <w:rFonts w:ascii="Times New Roman" w:hAnsi="Times New Roman"/>
                  <w:caps w:val="false"/>
                  <w:smallCaps w:val="false"/>
                  <w:sz w:val="20"/>
                </w:rPr>
                <w:t>Certification of Chief Financial Officer of Harvard Bioscience, Inc., pursuant to Rules 13a-14(a) and 15d-14(a), as adopted pursuant to Section 302 of the Sarbanes-Oxley Act of 2002.</w:t>
              </w:r>
            </w:hyperlink>
          </w:p>
        </w:tc>
      </w:tr>
      <w:tr>
        <w:trPr/>
        <w:tc>
          <w:tcPr>
            <w:tcW w:w="538" w:type="dxa"/>
            <w:tcBorders/>
            <w:vAlign w:val="center"/>
          </w:tcPr>
          <w:p>
            <w:pPr>
              <w:pStyle w:val="TableContents"/>
              <w:bidi w:val="0"/>
              <w:spacing w:before="0" w:after="0"/>
              <w:ind w:left="0" w:right="0" w:hanging="0"/>
              <w:jc w:val="left"/>
              <w:rPr/>
            </w:pPr>
            <w:hyperlink w:anchor="ex_586570.htm">
              <w:r>
                <w:rPr>
                  <w:rStyle w:val="InternetLink"/>
                  <w:rFonts w:ascii="Times New Roman" w:hAnsi="Times New Roman"/>
                  <w:caps w:val="false"/>
                  <w:smallCaps w:val="false"/>
                  <w:sz w:val="20"/>
                </w:rPr>
                <w:t>31.2</w:t>
              </w:r>
            </w:hyperlink>
          </w:p>
        </w:tc>
        <w:tc>
          <w:tcPr>
            <w:tcW w:w="9667" w:type="dxa"/>
            <w:tcBorders/>
            <w:vAlign w:val="center"/>
          </w:tcPr>
          <w:p>
            <w:pPr>
              <w:pStyle w:val="TableContents"/>
              <w:bidi w:val="0"/>
              <w:spacing w:before="0" w:after="0"/>
              <w:ind w:left="0" w:right="0" w:hanging="0"/>
              <w:jc w:val="left"/>
              <w:rPr/>
            </w:pPr>
            <w:hyperlink w:anchor="ex_586570.htm">
              <w:r>
                <w:rPr>
                  <w:rStyle w:val="InternetLink"/>
                  <w:rFonts w:ascii="Times New Roman" w:hAnsi="Times New Roman"/>
                  <w:caps w:val="false"/>
                  <w:smallCaps w:val="false"/>
                  <w:sz w:val="20"/>
                </w:rPr>
                <w:t>Certification of Chief Executive Officer of Harvard Bioscience, Inc., pursuant to Rules 13a-14(a) and 15d-14(a), as adopted pursuant to Section 302 of the Sarbanes-Oxley Act of 2002.</w:t>
              </w:r>
            </w:hyperlink>
          </w:p>
        </w:tc>
      </w:tr>
      <w:tr>
        <w:trPr/>
        <w:tc>
          <w:tcPr>
            <w:tcW w:w="538" w:type="dxa"/>
            <w:tcBorders/>
            <w:vAlign w:val="center"/>
          </w:tcPr>
          <w:p>
            <w:pPr>
              <w:pStyle w:val="TableContents"/>
              <w:bidi w:val="0"/>
              <w:spacing w:before="0" w:after="0"/>
              <w:ind w:left="0" w:right="0" w:hanging="0"/>
              <w:jc w:val="left"/>
              <w:rPr/>
            </w:pPr>
            <w:hyperlink w:anchor="ex_586571.htm">
              <w:r>
                <w:rPr>
                  <w:rStyle w:val="InternetLink"/>
                  <w:rFonts w:ascii="Times New Roman" w:hAnsi="Times New Roman"/>
                  <w:caps w:val="false"/>
                  <w:smallCaps w:val="false"/>
                  <w:sz w:val="20"/>
                </w:rPr>
                <w:t>32.1*</w:t>
              </w:r>
            </w:hyperlink>
          </w:p>
        </w:tc>
        <w:tc>
          <w:tcPr>
            <w:tcW w:w="9667" w:type="dxa"/>
            <w:tcBorders/>
            <w:vAlign w:val="center"/>
          </w:tcPr>
          <w:p>
            <w:pPr>
              <w:pStyle w:val="TableContents"/>
              <w:bidi w:val="0"/>
              <w:spacing w:before="0" w:after="0"/>
              <w:ind w:left="0" w:right="0" w:hanging="0"/>
              <w:jc w:val="left"/>
              <w:rPr/>
            </w:pPr>
            <w:hyperlink w:anchor="ex_586571.htm">
              <w:r>
                <w:rPr>
                  <w:rStyle w:val="InternetLink"/>
                  <w:rFonts w:ascii="Times New Roman" w:hAnsi="Times New Roman"/>
                  <w:caps w:val="false"/>
                  <w:smallCaps w:val="false"/>
                  <w:sz w:val="20"/>
                </w:rPr>
                <w:t>Certification of Chief Financial Officer of Harvard Bioscience, Inc., pursuant to 18 U.S.C. Section 1350, as adopted pursuant to Section 906 of the Sarbanes-Oxley Act of 2002.</w:t>
              </w:r>
            </w:hyperlink>
          </w:p>
        </w:tc>
      </w:tr>
      <w:tr>
        <w:trPr/>
        <w:tc>
          <w:tcPr>
            <w:tcW w:w="538" w:type="dxa"/>
            <w:tcBorders/>
            <w:vAlign w:val="center"/>
          </w:tcPr>
          <w:p>
            <w:pPr>
              <w:pStyle w:val="TableContents"/>
              <w:bidi w:val="0"/>
              <w:spacing w:before="0" w:after="0"/>
              <w:ind w:left="0" w:right="0" w:hanging="0"/>
              <w:jc w:val="left"/>
              <w:rPr/>
            </w:pPr>
            <w:hyperlink w:anchor="ex_586572.htm">
              <w:r>
                <w:rPr>
                  <w:rStyle w:val="InternetLink"/>
                  <w:rFonts w:ascii="Times New Roman" w:hAnsi="Times New Roman"/>
                  <w:caps w:val="false"/>
                  <w:smallCaps w:val="false"/>
                  <w:sz w:val="20"/>
                </w:rPr>
                <w:t>32.2*</w:t>
              </w:r>
            </w:hyperlink>
          </w:p>
        </w:tc>
        <w:tc>
          <w:tcPr>
            <w:tcW w:w="9667" w:type="dxa"/>
            <w:tcBorders/>
            <w:vAlign w:val="center"/>
          </w:tcPr>
          <w:p>
            <w:pPr>
              <w:pStyle w:val="TableContents"/>
              <w:bidi w:val="0"/>
              <w:spacing w:before="0" w:after="0"/>
              <w:ind w:left="0" w:right="0" w:hanging="0"/>
              <w:jc w:val="left"/>
              <w:rPr/>
            </w:pPr>
            <w:hyperlink w:anchor="ex_586572.htm">
              <w:r>
                <w:rPr>
                  <w:rStyle w:val="InternetLink"/>
                  <w:rFonts w:ascii="Times New Roman" w:hAnsi="Times New Roman"/>
                  <w:caps w:val="false"/>
                  <w:smallCaps w:val="false"/>
                  <w:sz w:val="20"/>
                </w:rPr>
                <w:t>Certification of Chief Executive Officer of Harvard Bioscience, Inc., pursuant to 18 U.S.C. Section 1350, as adopted pursuant to Section 906 of the Sarbanes-Oxley Act of 2002.</w:t>
              </w:r>
            </w:hyperlink>
          </w:p>
        </w:tc>
      </w:tr>
      <w:tr>
        <w:trPr/>
        <w:tc>
          <w:tcPr>
            <w:tcW w:w="5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96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5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96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5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96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5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96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5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96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Labels Linkbase Document</w:t>
            </w:r>
          </w:p>
        </w:tc>
      </w:tr>
      <w:tr>
        <w:trPr/>
        <w:tc>
          <w:tcPr>
            <w:tcW w:w="5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96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5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96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in Inline XBRL and contained in Exhibit 101)</w:t>
            </w:r>
          </w:p>
        </w:tc>
      </w:tr>
      <w:tr>
        <w:trPr/>
        <w:tc>
          <w:tcPr>
            <w:tcW w:w="538" w:type="dxa"/>
            <w:tcBorders/>
            <w:vAlign w:val="center"/>
          </w:tcPr>
          <w:p>
            <w:pPr>
              <w:pStyle w:val="TableContents"/>
              <w:bidi w:val="0"/>
              <w:spacing w:before="0" w:after="283"/>
              <w:jc w:val="left"/>
              <w:rPr/>
            </w:pPr>
            <w:r>
              <w:rPr/>
              <w:t> </w:t>
            </w:r>
          </w:p>
        </w:tc>
        <w:tc>
          <w:tcPr>
            <w:tcW w:w="9667" w:type="dxa"/>
            <w:tcBorders/>
            <w:vAlign w:val="center"/>
          </w:tcPr>
          <w:p>
            <w:pPr>
              <w:pStyle w:val="TableContents"/>
              <w:bidi w:val="0"/>
              <w:spacing w:before="0" w:after="283"/>
              <w:jc w:val="left"/>
              <w:rPr/>
            </w:pPr>
            <w:r>
              <w:rPr/>
              <w:t> </w:t>
            </w:r>
          </w:p>
        </w:tc>
      </w:tr>
      <w:tr>
        <w:trPr/>
        <w:tc>
          <w:tcPr>
            <w:tcW w:w="5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6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0" w:right="0" w:hanging="0"/>
        <w:jc w:val="center"/>
        <w:rPr>
          <w:rFonts w:ascii="Times New Roman" w:hAnsi="Times New Roman"/>
          <w:b/>
          <w:caps w:val="false"/>
          <w:smallCaps w:val="false"/>
          <w:sz w:val="20"/>
        </w:rPr>
      </w:pPr>
      <w:bookmarkStart w:id="22" w:name="sig"/>
      <w:bookmarkEnd w:id="22"/>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2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079" w:type="dxa"/>
        <w:jc w:val="left"/>
        <w:tblInd w:w="0" w:type="dxa"/>
        <w:tblLayout w:type="fixed"/>
        <w:tblCellMar>
          <w:top w:w="0" w:type="dxa"/>
          <w:left w:w="0" w:type="dxa"/>
          <w:bottom w:w="0" w:type="dxa"/>
          <w:right w:w="0" w:type="dxa"/>
        </w:tblCellMar>
      </w:tblPr>
      <w:tblGrid>
        <w:gridCol w:w="2405"/>
        <w:gridCol w:w="370"/>
        <w:gridCol w:w="2244"/>
        <w:gridCol w:w="60"/>
      </w:tblGrid>
      <w:tr>
        <w:trPr/>
        <w:tc>
          <w:tcPr>
            <w:tcW w:w="2405" w:type="dxa"/>
            <w:tcBorders/>
            <w:vAlign w:val="center"/>
          </w:tcPr>
          <w:p>
            <w:pPr>
              <w:pStyle w:val="TableContents"/>
              <w:bidi w:val="0"/>
              <w:spacing w:before="0" w:after="283"/>
              <w:jc w:val="left"/>
              <w:rPr/>
            </w:pPr>
            <w:r>
              <w:rPr/>
              <w:t> </w:t>
            </w:r>
          </w:p>
        </w:tc>
        <w:tc>
          <w:tcPr>
            <w:tcW w:w="261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HARVARD BIOSCIENCE, INC.</w:t>
            </w:r>
          </w:p>
        </w:tc>
        <w:tc>
          <w:tcPr>
            <w:tcW w:w="6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7, 2023         </w:t>
            </w:r>
          </w:p>
        </w:tc>
        <w:tc>
          <w:tcPr>
            <w:tcW w:w="370"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2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JAMES GREEN</w:t>
            </w:r>
          </w:p>
        </w:tc>
        <w:tc>
          <w:tcPr>
            <w:tcW w:w="6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James Green</w:t>
            </w:r>
          </w:p>
        </w:tc>
        <w:tc>
          <w:tcPr>
            <w:tcW w:w="6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2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JENNIFER COTE  </w:t>
            </w:r>
          </w:p>
        </w:tc>
        <w:tc>
          <w:tcPr>
            <w:tcW w:w="6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Jennifer Cote</w:t>
            </w:r>
          </w:p>
        </w:tc>
        <w:tc>
          <w:tcPr>
            <w:tcW w:w="6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TextBody"/>
        <w:bidi w:val="0"/>
        <w:spacing w:before="0" w:after="283"/>
        <w:jc w:val="left"/>
        <w:rPr/>
      </w:pPr>
      <w:r>
        <w:rPr/>
        <w:t xml:space="preserve">  </w:t>
      </w:r>
    </w:p>
    <w:p>
      <w:pPr>
        <w:pStyle w:val="TextBody"/>
        <w:bidi w:val="0"/>
        <w:spacing w:before="0" w:after="0"/>
        <w:ind w:left="160" w:right="0" w:hanging="0"/>
        <w:jc w:val="right"/>
        <w:rPr>
          <w:rFonts w:ascii="Times New Roman" w:hAnsi="Times New Roman"/>
          <w:b/>
          <w:caps w:val="false"/>
          <w:smallCaps w:val="false"/>
          <w:sz w:val="20"/>
        </w:rPr>
      </w:pPr>
      <w:bookmarkStart w:id="23" w:name="ex_586569.htm"/>
      <w:bookmarkStart w:id="24" w:name="ksex_586569"/>
      <w:bookmarkEnd w:id="23"/>
      <w:bookmarkEnd w:id="24"/>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Jennifer Cote,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Harvard Bioscience, Inc.</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1985"/>
        <w:gridCol w:w="1880"/>
      </w:tblGrid>
      <w:tr>
        <w:trPr/>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7, 2023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JENNIFER COTE</w:t>
            </w:r>
          </w:p>
        </w:tc>
      </w:tr>
      <w:tr>
        <w:trPr/>
        <w:tc>
          <w:tcPr>
            <w:tcW w:w="198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Jennifer Cote</w:t>
            </w:r>
          </w:p>
        </w:tc>
      </w:tr>
      <w:tr>
        <w:trPr/>
        <w:tc>
          <w:tcPr>
            <w:tcW w:w="198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25" w:name="ex_586570.htm"/>
      <w:bookmarkStart w:id="26" w:name="ksex_586570"/>
      <w:bookmarkEnd w:id="25"/>
      <w:bookmarkEnd w:id="26"/>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James Green,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Harvard Bioscience, Inc.</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2000"/>
        <w:gridCol w:w="1940"/>
      </w:tblGrid>
      <w:tr>
        <w:trP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7, 2023</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JAMES GREEN</w:t>
            </w:r>
          </w:p>
        </w:tc>
      </w:tr>
      <w:tr>
        <w:trPr/>
        <w:tc>
          <w:tcPr>
            <w:tcW w:w="200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James Green</w:t>
            </w:r>
          </w:p>
        </w:tc>
      </w:tr>
      <w:tr>
        <w:trPr/>
        <w:tc>
          <w:tcPr>
            <w:tcW w:w="200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27" w:name="ex_586571.htm"/>
      <w:bookmarkStart w:id="28" w:name="ksex_586571"/>
      <w:bookmarkEnd w:id="27"/>
      <w:bookmarkEnd w:id="28"/>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PERIODIC FINANCIAL REPORT PURSUANT TO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undersigned officer of Harvard Bioscience, Inc. (the “Company”) hereby certifies to her knowledge that the Company’s Quarterly Report on Form 10-Q for the quarterly period ended September 30, 2023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 (32)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2000"/>
        <w:gridCol w:w="2465"/>
      </w:tblGrid>
      <w:tr>
        <w:trP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7, 2023</w:t>
            </w:r>
          </w:p>
        </w:tc>
        <w:tc>
          <w:tcPr>
            <w:tcW w:w="24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JENNIFER COTE</w:t>
            </w:r>
          </w:p>
        </w:tc>
      </w:tr>
      <w:tr>
        <w:trPr/>
        <w:tc>
          <w:tcPr>
            <w:tcW w:w="200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Jennifer Cote</w:t>
            </w:r>
          </w:p>
        </w:tc>
      </w:tr>
      <w:tr>
        <w:trPr/>
        <w:tc>
          <w:tcPr>
            <w:tcW w:w="200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29" w:name="ex_586572.htm"/>
      <w:bookmarkStart w:id="30" w:name="ksex_586572"/>
      <w:bookmarkEnd w:id="29"/>
      <w:bookmarkEnd w:id="30"/>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PERIODIC FINANCIAL REPORT PURSUANT TO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undersigned officer of Harvard Bioscience, Inc. (the “Company”) hereby certifies to his knowledge that the Company’s Quarterly Report on Form 10-Q for the quarterly period ended September 30, 2023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2180"/>
        <w:gridCol w:w="2525"/>
      </w:tblGrid>
      <w:tr>
        <w:trPr/>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7, 2023    </w:t>
            </w:r>
          </w:p>
        </w:tc>
        <w:tc>
          <w:tcPr>
            <w:tcW w:w="25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JAMES GREEN</w:t>
            </w:r>
          </w:p>
        </w:tc>
      </w:tr>
      <w:tr>
        <w:trPr/>
        <w:tc>
          <w:tcPr>
            <w:tcW w:w="218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James Green</w:t>
            </w:r>
          </w:p>
        </w:tc>
      </w:tr>
      <w:tr>
        <w:trPr/>
        <w:tc>
          <w:tcPr>
            <w:tcW w:w="218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13833</Words>
  <Characters>75015</Characters>
  <CharactersWithSpaces>90324</CharactersWithSpaces>
  <Paragraphs>5571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