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19" w:lineRule="exact"/>
        <w:rPr>
          <w:sz w:val="24"/>
          <w:szCs w:val="24"/>
          <w:color w:val="auto"/>
        </w:rPr>
      </w:pPr>
    </w:p>
    <w:p>
      <w:pPr>
        <w:ind w:left="280" w:hanging="273"/>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260" w:hanging="253"/>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9"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679" w:right="339" w:bottom="1440" w:gutter="0" w:footer="0" w:header="0"/>
        </w:sectPr>
      </w:pPr>
    </w:p>
    <w:p>
      <w:pPr>
        <w:spacing w:after="0" w:line="21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27"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20" w:space="720"/>
            <w:col w:w="4100"/>
          </w:cols>
          <w:pgMar w:left="320" w:top="679" w:right="339" w:bottom="1440" w:gutter="0" w:footer="0" w:header="0"/>
          <w:type w:val="continuous"/>
        </w:sectPr>
      </w:pP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5"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0"/>
        </w:trPr>
        <w:tc>
          <w:tcPr>
            <w:tcW w:w="4500" w:type="dxa"/>
            <w:vAlign w:val="bottom"/>
            <w:tcBorders>
              <w:left w:val="single" w:sz="8" w:color="auto"/>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8"/>
              </w:rPr>
              <w:t>Common Stock, $0.01 par value</w:t>
            </w:r>
          </w:p>
        </w:tc>
        <w:tc>
          <w:tcPr>
            <w:tcW w:w="224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5"/>
              </w:rPr>
              <w:t>HBIO</w:t>
            </w:r>
          </w:p>
        </w:tc>
        <w:tc>
          <w:tcPr>
            <w:tcW w:w="450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8"/>
              </w:rPr>
              <w:t>The Nasdaq Global Market</w:t>
            </w:r>
          </w:p>
        </w:tc>
      </w:tr>
    </w:tbl>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0"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5" w:lineRule="exact"/>
        <w:rPr>
          <w:sz w:val="24"/>
          <w:szCs w:val="24"/>
          <w:color w:val="auto"/>
        </w:rPr>
      </w:pPr>
    </w:p>
    <w:p>
      <w:pPr>
        <w:ind w:right="200"/>
        <w:spacing w:after="0" w:line="22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7" w:lineRule="exact"/>
        <w:rPr>
          <w:sz w:val="24"/>
          <w:szCs w:val="24"/>
          <w:color w:val="auto"/>
        </w:rPr>
      </w:pPr>
    </w:p>
    <w:p>
      <w:pPr>
        <w:jc w:val="both"/>
        <w:ind w:right="60" w:firstLine="44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337820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p>
      <w:pPr>
        <w:jc w:val="both"/>
        <w:ind w:right="20" w:firstLine="444"/>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4" w:right="339" w:bottom="1440" w:gutter="0" w:footer="0" w:header="0"/>
        </w:sectPr>
      </w:pPr>
    </w:p>
    <w:p>
      <w:pPr>
        <w:spacing w:after="0" w:line="1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424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574" w:right="339" w:bottom="1440" w:gutter="0" w:footer="0" w:header="0"/>
          <w:type w:val="continuous"/>
        </w:sectPr>
      </w:pPr>
    </w:p>
    <w:p>
      <w:pPr>
        <w:spacing w:after="0" w:line="3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574" w:right="339" w:bottom="1440" w:gutter="0" w:footer="0" w:header="0"/>
          <w:type w:val="continuous"/>
        </w:sectPr>
      </w:pPr>
    </w:p>
    <w:p>
      <w:pPr>
        <w:spacing w:after="0" w:line="31" w:lineRule="exact"/>
        <w:rPr>
          <w:sz w:val="20"/>
          <w:szCs w:val="20"/>
          <w:color w:val="auto"/>
        </w:rPr>
      </w:pPr>
    </w:p>
    <w:p>
      <w:pPr>
        <w:ind w:left="56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74" w:right="339" w:bottom="1440" w:gutter="0" w:footer="0" w:header="0"/>
          <w:type w:val="continuous"/>
        </w:sectPr>
      </w:pPr>
    </w:p>
    <w:p>
      <w:pPr>
        <w:spacing w:after="0" w:line="272" w:lineRule="exact"/>
        <w:rPr>
          <w:sz w:val="20"/>
          <w:szCs w:val="20"/>
          <w:color w:val="auto"/>
        </w:rPr>
      </w:pPr>
    </w:p>
    <w:p>
      <w:pPr>
        <w:ind w:right="200" w:firstLine="444"/>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7" w:lineRule="exact"/>
        <w:rPr>
          <w:sz w:val="20"/>
          <w:szCs w:val="20"/>
          <w:color w:val="auto"/>
        </w:rPr>
      </w:pPr>
    </w:p>
    <w:p>
      <w:pPr>
        <w:ind w:firstLine="44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7" w:lineRule="exact"/>
        <w:rPr>
          <w:sz w:val="20"/>
          <w:szCs w:val="20"/>
          <w:color w:val="auto"/>
        </w:rPr>
      </w:pPr>
    </w:p>
    <w:p>
      <w:pPr>
        <w:ind w:firstLine="444"/>
        <w:spacing w:after="0" w:line="23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7" w:lineRule="exact"/>
        <w:rPr>
          <w:sz w:val="20"/>
          <w:szCs w:val="20"/>
          <w:color w:val="auto"/>
        </w:rPr>
      </w:pPr>
    </w:p>
    <w:p>
      <w:pPr>
        <w:ind w:right="440" w:firstLine="444"/>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27" w:lineRule="exact"/>
        <w:rPr>
          <w:sz w:val="20"/>
          <w:szCs w:val="20"/>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0" w:lineRule="exact"/>
        <w:rPr>
          <w:sz w:val="20"/>
          <w:szCs w:val="20"/>
          <w:color w:val="auto"/>
        </w:rPr>
      </w:pPr>
    </w:p>
    <w:p>
      <w:pPr>
        <w:ind w:right="140" w:firstLine="444"/>
        <w:spacing w:after="0" w:line="284" w:lineRule="auto"/>
        <w:rPr>
          <w:sz w:val="20"/>
          <w:szCs w:val="20"/>
          <w:color w:val="auto"/>
        </w:rPr>
      </w:pPr>
      <w:r>
        <w:rPr>
          <w:rFonts w:ascii="Times New Roman" w:cs="Times New Roman" w:eastAsia="Times New Roman" w:hAnsi="Times New Roman"/>
          <w:sz w:val="17"/>
          <w:szCs w:val="17"/>
          <w:color w:val="auto"/>
        </w:rPr>
        <w:t>The aggregate market value of shares of voting common equity held by non-affiliates of the registrant as of June 28, 2024, the last business day of the registrant’s most recently completed second fiscal quarter, was approximately $115.2 million based on the closing sales price of the registrant’s common stock, par value $0.01 per share on that date. At March 5, 2025, there were 44,074,475 shares of the registrant’s common stock issued and outstanding.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1" w:lineRule="exact"/>
        <w:rPr>
          <w:sz w:val="20"/>
          <w:szCs w:val="20"/>
          <w:color w:val="auto"/>
        </w:rPr>
      </w:pPr>
    </w:p>
    <w:p>
      <w:pPr>
        <w:ind w:right="340" w:firstLine="444"/>
        <w:spacing w:after="0" w:line="261" w:lineRule="auto"/>
        <w:rPr>
          <w:sz w:val="20"/>
          <w:szCs w:val="20"/>
          <w:color w:val="auto"/>
        </w:rPr>
      </w:pPr>
      <w:r>
        <w:rPr>
          <w:rFonts w:ascii="Times New Roman" w:cs="Times New Roman" w:eastAsia="Times New Roman" w:hAnsi="Times New Roman"/>
          <w:sz w:val="18"/>
          <w:szCs w:val="18"/>
          <w:color w:val="auto"/>
        </w:rPr>
        <w:t>Portions of the Company’s definitive Proxy Statement in connection with the 2025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615315</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9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6"/>
        </w:trPr>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80" w:type="dxa"/>
            <w:vAlign w:val="bottom"/>
            <w:gridSpan w:val="8"/>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80" w:type="dxa"/>
            <w:vAlign w:val="bottom"/>
            <w:gridSpan w:val="8"/>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40" w:type="dxa"/>
            <w:vAlign w:val="bottom"/>
            <w:gridSpan w:val="9"/>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20" w:type="dxa"/>
            <w:vAlign w:val="bottom"/>
            <w:gridSpan w:val="10"/>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7"/>
        </w:trPr>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2"/>
        </w:trPr>
        <w:tc>
          <w:tcPr>
            <w:tcW w:w="540" w:type="dxa"/>
            <w:vAlign w:val="bottom"/>
            <w:tcBorders>
              <w:bottom w:val="single" w:sz="8" w:color="0000EE"/>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91"/>
              </w:rPr>
              <w:t>PART I</w:t>
            </w:r>
          </w:p>
        </w:tc>
        <w:tc>
          <w:tcPr>
            <w:tcW w:w="400" w:type="dxa"/>
            <w:vAlign w:val="bottom"/>
            <w:gridSpan w:val="6"/>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Borders>
              <w:bottom w:val="single" w:sz="8" w:color="0000EE"/>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16"/>
                <w:szCs w:val="16"/>
                <w:color w:val="auto"/>
              </w:rPr>
            </w:pPr>
          </w:p>
        </w:tc>
      </w:tr>
      <w:tr>
        <w:trPr>
          <w:trHeight w:val="406"/>
        </w:trPr>
        <w:tc>
          <w:tcPr>
            <w:tcW w:w="240" w:type="dxa"/>
            <w:vAlign w:val="bottom"/>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200" w:type="dxa"/>
            <w:vAlign w:val="bottom"/>
            <w:gridSpan w:val="3"/>
          </w:tcPr>
          <w:p>
            <w:pPr>
              <w:spacing w:after="0"/>
              <w:rPr>
                <w:sz w:val="24"/>
                <w:szCs w:val="24"/>
                <w:color w:val="auto"/>
              </w:rPr>
            </w:pPr>
          </w:p>
        </w:tc>
        <w:tc>
          <w:tcPr>
            <w:tcW w:w="804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0000EE"/>
              </w:rPr>
              <w:t>Business</w:t>
            </w:r>
          </w:p>
        </w:tc>
        <w:tc>
          <w:tcPr>
            <w:tcW w:w="1920" w:type="dxa"/>
            <w:vAlign w:val="bottom"/>
            <w:gridSpan w:val="2"/>
          </w:tcPr>
          <w:p>
            <w:pPr>
              <w:jc w:val="center"/>
              <w:ind w:left="1731"/>
              <w:spacing w:after="0"/>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Item 1A.</w:t>
            </w:r>
          </w:p>
        </w:tc>
        <w:tc>
          <w:tcPr>
            <w:tcW w:w="40" w:type="dxa"/>
            <w:vAlign w:val="bottom"/>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gridSpan w:val="2"/>
          </w:tcPr>
          <w:p>
            <w:pPr>
              <w:jc w:val="center"/>
              <w:ind w:left="1731"/>
              <w:spacing w:after="0" w:line="194" w:lineRule="exact"/>
              <w:rPr>
                <w:sz w:val="20"/>
                <w:szCs w:val="20"/>
                <w:color w:val="auto"/>
              </w:rPr>
            </w:pPr>
            <w:r>
              <w:rPr>
                <w:rFonts w:ascii="Times New Roman" w:cs="Times New Roman" w:eastAsia="Times New Roman" w:hAnsi="Times New Roman"/>
                <w:sz w:val="18"/>
                <w:szCs w:val="18"/>
                <w:color w:val="0000EE"/>
              </w:rPr>
              <w:t>6</w:t>
            </w:r>
          </w:p>
        </w:tc>
        <w:tc>
          <w:tcPr>
            <w:tcW w:w="14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5"/>
              </w:rPr>
              <w:t>Item 1B.</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5"/>
              </w:rPr>
              <w:t>Item 1C.</w:t>
            </w: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Cybersecurity</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17</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2.</w:t>
            </w:r>
          </w:p>
        </w:tc>
        <w:tc>
          <w:tcPr>
            <w:tcW w:w="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Properties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3.</w:t>
            </w:r>
          </w:p>
        </w:tc>
        <w:tc>
          <w:tcPr>
            <w:tcW w:w="200" w:type="dxa"/>
            <w:vAlign w:val="bottom"/>
            <w:gridSpan w:val="3"/>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Legal Proceedings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4.</w:t>
            </w:r>
          </w:p>
        </w:tc>
        <w:tc>
          <w:tcPr>
            <w:tcW w:w="200" w:type="dxa"/>
            <w:vAlign w:val="bottom"/>
            <w:gridSpan w:val="3"/>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Mine Safety Disclosures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6"/>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34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6"/>
        </w:trPr>
        <w:tc>
          <w:tcPr>
            <w:tcW w:w="240" w:type="dxa"/>
            <w:vAlign w:val="bottom"/>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200" w:type="dxa"/>
            <w:vAlign w:val="bottom"/>
            <w:gridSpan w:val="3"/>
          </w:tcPr>
          <w:p>
            <w:pPr>
              <w:spacing w:after="0"/>
              <w:rPr>
                <w:sz w:val="24"/>
                <w:szCs w:val="24"/>
                <w:color w:val="auto"/>
              </w:rPr>
            </w:pPr>
          </w:p>
        </w:tc>
        <w:tc>
          <w:tcPr>
            <w:tcW w:w="804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 Purchases of Equity Securities</w:t>
            </w:r>
          </w:p>
        </w:tc>
        <w:tc>
          <w:tcPr>
            <w:tcW w:w="206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6.</w:t>
            </w:r>
          </w:p>
        </w:tc>
        <w:tc>
          <w:tcPr>
            <w:tcW w:w="200" w:type="dxa"/>
            <w:vAlign w:val="bottom"/>
            <w:gridSpan w:val="3"/>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[Reserved]</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19</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7.</w:t>
            </w:r>
          </w:p>
        </w:tc>
        <w:tc>
          <w:tcPr>
            <w:tcW w:w="200" w:type="dxa"/>
            <w:vAlign w:val="bottom"/>
            <w:gridSpan w:val="3"/>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19</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Item 7A.</w:t>
            </w:r>
          </w:p>
        </w:tc>
        <w:tc>
          <w:tcPr>
            <w:tcW w:w="40" w:type="dxa"/>
            <w:vAlign w:val="bottom"/>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8.</w:t>
            </w:r>
          </w:p>
        </w:tc>
        <w:tc>
          <w:tcPr>
            <w:tcW w:w="1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9.</w:t>
            </w:r>
          </w:p>
        </w:tc>
        <w:tc>
          <w:tcPr>
            <w:tcW w:w="200" w:type="dxa"/>
            <w:vAlign w:val="bottom"/>
            <w:gridSpan w:val="3"/>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Item 9A.</w:t>
            </w:r>
          </w:p>
        </w:tc>
        <w:tc>
          <w:tcPr>
            <w:tcW w:w="40" w:type="dxa"/>
            <w:vAlign w:val="bottom"/>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Controls and Procedures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5"/>
              </w:rPr>
              <w:t>Item 9B.</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Other Information</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5"/>
              </w:rPr>
              <w:t>Item 9C.</w:t>
            </w: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2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6"/>
        </w:trPr>
        <w:tc>
          <w:tcPr>
            <w:tcW w:w="240" w:type="dxa"/>
            <w:vAlign w:val="bottom"/>
          </w:tcPr>
          <w:p>
            <w:pPr>
              <w:spacing w:after="0"/>
              <w:rPr>
                <w:sz w:val="24"/>
                <w:szCs w:val="24"/>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10.</w:t>
            </w:r>
          </w:p>
        </w:tc>
        <w:tc>
          <w:tcPr>
            <w:tcW w:w="804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206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11.</w:t>
            </w: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Executive Compensation</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12.</w:t>
            </w: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13.</w:t>
            </w: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14.</w:t>
            </w: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6"/>
        </w:trPr>
        <w:tc>
          <w:tcPr>
            <w:tcW w:w="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PART IV</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6"/>
        </w:trPr>
        <w:tc>
          <w:tcPr>
            <w:tcW w:w="240" w:type="dxa"/>
            <w:vAlign w:val="bottom"/>
          </w:tcPr>
          <w:p>
            <w:pPr>
              <w:spacing w:after="0"/>
              <w:rPr>
                <w:sz w:val="24"/>
                <w:szCs w:val="24"/>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120" w:type="dxa"/>
            <w:vAlign w:val="bottom"/>
            <w:gridSpan w:val="2"/>
          </w:tcPr>
          <w:p>
            <w:pPr>
              <w:spacing w:after="0"/>
              <w:rPr>
                <w:sz w:val="24"/>
                <w:szCs w:val="24"/>
                <w:color w:val="auto"/>
              </w:rPr>
            </w:pPr>
          </w:p>
        </w:tc>
        <w:tc>
          <w:tcPr>
            <w:tcW w:w="804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2060" w:type="dxa"/>
            <w:vAlign w:val="bottom"/>
            <w:gridSpan w:val="3"/>
          </w:tcPr>
          <w:p>
            <w:pPr>
              <w:jc w:val="center"/>
              <w:ind w:left="1591"/>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16.</w:t>
            </w:r>
          </w:p>
        </w:tc>
        <w:tc>
          <w:tcPr>
            <w:tcW w:w="120" w:type="dxa"/>
            <w:vAlign w:val="bottom"/>
            <w:gridSpan w:val="2"/>
          </w:tcPr>
          <w:p>
            <w:pPr>
              <w:spacing w:after="0"/>
              <w:rPr>
                <w:sz w:val="16"/>
                <w:szCs w:val="16"/>
                <w:color w:val="auto"/>
              </w:rPr>
            </w:pPr>
          </w:p>
        </w:tc>
        <w:tc>
          <w:tcPr>
            <w:tcW w:w="804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0000EE"/>
              </w:rPr>
              <w:t>Form 10-K Summary</w:t>
            </w:r>
          </w:p>
        </w:tc>
        <w:tc>
          <w:tcPr>
            <w:tcW w:w="2060" w:type="dxa"/>
            <w:vAlign w:val="bottom"/>
            <w:gridSpan w:val="3"/>
          </w:tcPr>
          <w:p>
            <w:pPr>
              <w:jc w:val="center"/>
              <w:ind w:left="1591"/>
              <w:spacing w:after="0" w:line="194"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370840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40"/>
          </w:cols>
          <w:pgMar w:left="320" w:top="346"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This Annual Report on Form 10-K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 forward-looking statements are principally, but not exclusively, contained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7: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These statements involve known and unknown risks, uncertainties and other factors that may cause our actual results, financial performance, or achievements to be materially different from any future results, financial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confidence or expectations, and our plans, objectives, expectations, and intentions that are not historical facts. In some cases, you can identify forward-looking statements by terms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aim,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think,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objectives,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optimistic,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strategy,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goals,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new,</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guidance,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future,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drive,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growth,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long-term,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develop,</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possible,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emerging,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opportunity,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pursue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similar expressions intended to identify forward-looking statements. These statements reflect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our current views with respect to future events and are based on assumptions and subject to risks and uncertainties. We discuss many of these risks in detail under the heading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of this Annual Report on Form 10-K. Given these risks and uncertainties, you should not place undue reliance on our forward-looking statements.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Company.</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1"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drug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and Strategy</w:t>
      </w:r>
    </w:p>
    <w:p>
      <w:pPr>
        <w:spacing w:after="0" w:line="221"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microprocessor-controlled syringe pump in the 1980s. In 1996, a group of investors acquired a majority of the then existing business of our predecessor, Harvard Apparatus, Inc. Harvard Bioscience, Inc. was incorporated in the State of Delaware in September 2000 and became the successor entity to Harvard Apparatus, Inc. by merger in November 2000. In 2018, we acquired Data Sciences International, Inc. (“DSI”), a global leader in products, services and solutions focused on preclinical testing. The DSI product portfolio, which is largely complementary to our cellular and molecular technology (“CMT”) product portfolio, expanded our product portfolio to address the continuum from research and discovery to preclinical testing with principal applications in drug and therapy testing.</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for driving revenue growth is focused in the following three areas.</w:t>
      </w:r>
    </w:p>
    <w:p>
      <w:pPr>
        <w:spacing w:after="0" w:line="219" w:lineRule="exact"/>
        <w:rPr>
          <w:sz w:val="20"/>
          <w:szCs w:val="20"/>
          <w:color w:val="auto"/>
        </w:rPr>
      </w:pPr>
    </w:p>
    <w:p>
      <w:pPr>
        <w:jc w:val="both"/>
        <w:ind w:left="800" w:hanging="314"/>
        <w:spacing w:after="0" w:line="257"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intend to maintain and strengthen our established base business in the areas of therapy research and pre-clinical testing. This includes expanding our product offerings to address the needs of higher-volume industrial customers such as CROs, biotechnology and pharmaceutical companies, and government laboratories engaged in the development and testing of new therapeutics, where the ability to reduce costs and improve cycle times in pre-clinical testing has the potential to drive additional demand.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left="800" w:hanging="314"/>
        <w:spacing w:after="0" w:line="261"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we are expanding our product offerings for biotechnology and pharmaceutical customers in the field of bioproduction, where we believe there are opportunities to provide innovative products and services that bridge from research and development to production in applications that scale with production volume.</w:t>
      </w:r>
    </w:p>
    <w:p>
      <w:pPr>
        <w:spacing w:after="0" w:line="175" w:lineRule="exact"/>
        <w:rPr>
          <w:rFonts w:ascii="Times New Roman" w:cs="Times New Roman" w:eastAsia="Times New Roman" w:hAnsi="Times New Roman"/>
          <w:sz w:val="18"/>
          <w:szCs w:val="18"/>
          <w:color w:val="auto"/>
        </w:rPr>
      </w:pPr>
    </w:p>
    <w:p>
      <w:pPr>
        <w:jc w:val="both"/>
        <w:ind w:left="800" w:hanging="314"/>
        <w:spacing w:after="0" w:line="255"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we are expanding our product offerings in the emerging field of organoid research and testing. Organoids, which serve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that emulate human organs, provide new opportunities for academic research and for streamlined testing early in the pharmaceutical development cycle, especially in the area of neurological and cardiac research and testing. We believe that our microelectrode array products, including our recently introduced MeshMEA™ system, will be attractive to a range of customers, including academic researchers as well as biotechnology, pharmaceutical, and CRO customers engaged in therapy, discovery, development and testing.</w:t>
      </w:r>
    </w:p>
    <w:p>
      <w:pPr>
        <w:spacing w:after="0" w:line="182"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In addition, we have taken steps to rationalize our product portfolio and improve our operating cost structure. These activities have included the discontinuation of certain non-strategic products, the consolidation of our global operating footprint, and the reduction of our headcount in Europe and North America. In 2024, we also consolidated our enterprise resource planning (“ERP”) system in the United States. We believe that these actions will allow us to focus on product opportunities that drive sustainable revenue growth with attractive gross margins and improved profitability.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1"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Our products, consumables, software and services enable fundamental advances in life science applications, including research, pharmaceutical and therapy discovery, bioproduction and preclinical testing.</w:t>
      </w:r>
    </w:p>
    <w:p>
      <w:pPr>
        <w:spacing w:after="0" w:line="164"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 xml:space="preserve">We have organized our product line activities into two product families, CMT and Preclinical. Our CMT product family is primarily composed of products supporting research related to molecular, cellular, organ and organoid technologies. Our CMT products also have application in the emerging field of bioproduction of pharmaceuticals and therapeutics as well as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of cell lines and organoids in the therapy development. The principal customers for our CMT products include academic and government laboratories, biotechnology and pharmaceutical companies, and CROs. Our Preclinical product family includes products that support the preclinical research and testing phase for drug development, and in particular testing related to data collection and analysis for safety and regulatory compliance. Preclinical products are primarily sold to pharmaceutical and biotechnology companies and CROs, as well as to larger academic laboratories.</w:t>
      </w:r>
    </w:p>
    <w:p>
      <w:pPr>
        <w:spacing w:after="0" w:line="185"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Our solutions range from simple to complex, and generally consist of hardware/firmware and software products, augmented with consumables, options, upgrades and post-sales (scientific, installation and data) services. Sales prices of these products and services range typically from $1,000 to over $100,000.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each product family.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Cellular and Molecular Technologies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CMT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Product Family</w:t>
      </w:r>
    </w:p>
    <w:p>
      <w:pPr>
        <w:spacing w:after="0" w:line="223"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Our CMT product family includes products designed primarily to support academic research and the discovery phase of new drug development. The CMT product family includes the Harvard Apparatus, Biochrom, BTX, HEKA, KD Scientific, MCS and Warner brands. CMT products include:</w:t>
      </w:r>
    </w:p>
    <w:p>
      <w:pPr>
        <w:spacing w:after="0" w:line="164" w:lineRule="exact"/>
        <w:rPr>
          <w:sz w:val="20"/>
          <w:szCs w:val="20"/>
          <w:color w:val="auto"/>
        </w:rPr>
      </w:pPr>
    </w:p>
    <w:p>
      <w:pPr>
        <w:ind w:left="580" w:hanging="347"/>
        <w:spacing w:after="0" w:line="27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electroporation and electrofusion instruments, including the bioproduction configuration of our BTX electroporation system, which leverages our electroporation technology to bridge from therapy to production in the emerging field of bioproduction;</w:t>
      </w:r>
    </w:p>
    <w:p>
      <w:pPr>
        <w:spacing w:after="0" w:line="163"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amino acid analyzers which support protein analysis of buffers and solutions in clinical and bioproduction environments;</w:t>
      </w:r>
    </w:p>
    <w:p>
      <w:pPr>
        <w:spacing w:after="0" w:line="219"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spectrophotometers and other equipment which primarily support molecular level testing and research;</w:t>
      </w:r>
    </w:p>
    <w:p>
      <w:pPr>
        <w:spacing w:after="0" w:line="219"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precision syringe and peristaltic pumps for infusion applications in research;</w:t>
      </w:r>
    </w:p>
    <w:p>
      <w:pPr>
        <w:spacing w:after="0" w:line="219" w:lineRule="exact"/>
        <w:rPr>
          <w:rFonts w:ascii="Times New Roman" w:cs="Times New Roman" w:eastAsia="Times New Roman" w:hAnsi="Times New Roman"/>
          <w:sz w:val="18"/>
          <w:szCs w:val="18"/>
          <w:color w:val="auto"/>
        </w:rPr>
      </w:pPr>
    </w:p>
    <w:p>
      <w:pPr>
        <w:jc w:val="both"/>
        <w:ind w:left="580" w:hanging="347"/>
        <w:spacing w:after="0" w:line="26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scientific measuring instrumentation and equipment in the field of electrophysiology such as: data acquisition systems with custom amplifier configurations for cellular analysis, complete micro electrode array solutions for in vivo recordings and in vitro systems for extracellular recordings; and</w:t>
      </w:r>
    </w:p>
    <w:p>
      <w:pPr>
        <w:spacing w:after="0" w:line="177" w:lineRule="exact"/>
        <w:rPr>
          <w:rFonts w:ascii="Times New Roman" w:cs="Times New Roman" w:eastAsia="Times New Roman" w:hAnsi="Times New Roman"/>
          <w:sz w:val="18"/>
          <w:szCs w:val="18"/>
          <w:color w:val="auto"/>
        </w:rPr>
      </w:pPr>
    </w:p>
    <w:p>
      <w:pPr>
        <w:ind w:left="580" w:hanging="347"/>
        <w:spacing w:after="0" w:line="27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introduced MeshMEA™ system, which builds on our existing micro-electrode array technology to support the emerging field of organoid research, especially in the areas of cardiac and neurological research and testing.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of our CMT product family made up approximately 49% of our global revenues for each of the years ended December 31, 2024 and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Product Family</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Our Preclinical product family provides a complete platform to assess physiological data from organisms for research ranging from basic research to drug discovery, and drug development services. The Preclinical product family includes the DSI, Panlab, Hugo Sachs and Buxco brands. It includes:</w:t>
      </w:r>
    </w:p>
    <w:p>
      <w:pPr>
        <w:spacing w:after="0" w:line="164" w:lineRule="exact"/>
        <w:rPr>
          <w:sz w:val="20"/>
          <w:szCs w:val="20"/>
          <w:color w:val="auto"/>
        </w:rPr>
      </w:pPr>
    </w:p>
    <w:p>
      <w:pPr>
        <w:jc w:val="both"/>
        <w:ind w:left="580" w:hanging="347"/>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implantable and externally worn telemetry systems, which are commonly used in research to collect cardiovascular, central nervous system, respiratory, metabolic data; including our new SoHo™ Small Animal Implantable Telemetry System that enables data collection in high-density group housing environments;</w:t>
      </w:r>
    </w:p>
    <w:p>
      <w:pPr>
        <w:spacing w:after="0" w:line="177" w:lineRule="exact"/>
        <w:rPr>
          <w:rFonts w:ascii="Times New Roman" w:cs="Times New Roman" w:eastAsia="Times New Roman" w:hAnsi="Times New Roman"/>
          <w:sz w:val="18"/>
          <w:szCs w:val="18"/>
          <w:color w:val="auto"/>
        </w:rPr>
      </w:pPr>
    </w:p>
    <w:p>
      <w:pPr>
        <w:ind w:left="580" w:hanging="347"/>
        <w:spacing w:after="0" w:line="27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behavioral products; isolated organ and surgical products, a broad range of instruments and accessories for tissue, organ-based lab research, including surgical products, infusion systems, and behavior research systems;</w:t>
      </w:r>
    </w:p>
    <w:p>
      <w:pPr>
        <w:spacing w:after="0" w:line="163" w:lineRule="exact"/>
        <w:rPr>
          <w:rFonts w:ascii="Times New Roman" w:cs="Times New Roman" w:eastAsia="Times New Roman" w:hAnsi="Times New Roman"/>
          <w:sz w:val="18"/>
          <w:szCs w:val="18"/>
          <w:color w:val="auto"/>
        </w:rPr>
      </w:pPr>
    </w:p>
    <w:p>
      <w:pPr>
        <w:ind w:left="580" w:right="20" w:hanging="347"/>
        <w:spacing w:after="0" w:line="27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turn-key respiratory system solutions encompassing plethysmograph chambers, data acquisition hardware, physiological signal analysis software, and final report generation;</w:t>
      </w:r>
    </w:p>
    <w:p>
      <w:pPr>
        <w:spacing w:after="0" w:line="163" w:lineRule="exact"/>
        <w:rPr>
          <w:rFonts w:ascii="Times New Roman" w:cs="Times New Roman" w:eastAsia="Times New Roman" w:hAnsi="Times New Roman"/>
          <w:sz w:val="18"/>
          <w:szCs w:val="18"/>
          <w:color w:val="auto"/>
        </w:rPr>
      </w:pPr>
    </w:p>
    <w:p>
      <w:pPr>
        <w:ind w:left="580" w:hanging="347"/>
        <w:spacing w:after="0" w:line="27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inhalation and exposure systems providing precise, homogenous aerosol delivery for up to 42 subjects, while integrating respiratory parameters for the ultimate delivered dose system;</w:t>
      </w:r>
    </w:p>
    <w:p>
      <w:pPr>
        <w:spacing w:after="0" w:line="163"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GLP-capable data acquisition and analysis systems, capable of integrating third party sensors for a more comprehensive study design; and</w:t>
      </w:r>
    </w:p>
    <w:p>
      <w:pPr>
        <w:spacing w:after="0" w:line="219" w:lineRule="exact"/>
        <w:rPr>
          <w:rFonts w:ascii="Times New Roman" w:cs="Times New Roman" w:eastAsia="Times New Roman" w:hAnsi="Times New Roman"/>
          <w:sz w:val="18"/>
          <w:szCs w:val="18"/>
          <w:color w:val="auto"/>
        </w:rPr>
      </w:pPr>
    </w:p>
    <w:p>
      <w:pPr>
        <w:jc w:val="both"/>
        <w:ind w:left="580" w:hanging="347"/>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VivaMars™ behavioral monitoring system, launched in 2023, which is directed to the high throughput testing needs of higher-volume industrial customers such as CROs, biotechnology and pharmaceutical companies, and government laboratories engaged in the development and testing of new therapeutics.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of our Preclinical product family made up approximately 51% of our global revenues for each of the years ended December 31, 2024 and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w:t>
      </w:r>
    </w:p>
    <w:p>
      <w:pPr>
        <w:spacing w:after="0" w:line="223"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In addition to our proprietarily manufactured products, we distribute products developed by other manufacturers. Resale of such products enables us to act as a single source for our customers’ research needs. They consist primarily of instruments or accessories as well as consumables used in experiments involving fluid handling, molecular and cell analysis and tissue, organ and animal research. Sales of third-party products that we distribute accounted for approximately 12% and 13% of our revenues for the years ended December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1" w:lineRule="exact"/>
        <w:rPr>
          <w:sz w:val="20"/>
          <w:szCs w:val="20"/>
          <w:color w:val="auto"/>
        </w:rPr>
      </w:pPr>
    </w:p>
    <w:p>
      <w:pPr>
        <w:jc w:val="both"/>
        <w:ind w:firstLine="160"/>
        <w:spacing w:after="0" w:line="252" w:lineRule="auto"/>
        <w:rPr>
          <w:sz w:val="20"/>
          <w:szCs w:val="20"/>
          <w:color w:val="auto"/>
        </w:rPr>
      </w:pPr>
      <w:r>
        <w:rPr>
          <w:rFonts w:ascii="Times New Roman" w:cs="Times New Roman" w:eastAsia="Times New Roman" w:hAnsi="Times New Roman"/>
          <w:sz w:val="18"/>
          <w:szCs w:val="18"/>
          <w:color w:val="auto"/>
        </w:rPr>
        <w:t>Our end-user customers are primarily pharmaceutical and biotechnology companies, universities, hospitals, government laboratories, including laboratories operated by the United States National Institutes of Health (“NIH”), U.S. Army and CROs. Our pharmaceutical and biotechnology customers include pharmaceutical companies and research laboratories such as Abbott, Amgen, AstraZeneca, Bayer, Glaxo Smith Kline, Johnson &amp; Johnson, Merck, Novartis, Pfizer and Regeneron. Our academic customers include colleges and universities such as Baylor College of Medicine, Cambridge University, Harvard University, Imperial College of London, Johns Hopkins University, Stanford, the University of California system, University of Pennsylvania, University of Pittsburgh, University of Texas and Yale University. Our CRO customers include Charles River Laboratories, Labcorp and Wuxi AppTec. We have a wide range of U.S. and international customers, and no customer accounted for more than 10% of our revenues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1"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We conduct direct sales and sales through distributors in the United States, China and major European markets. We engage distributors for the sales of our own branded and private label products in certain areas of the world and for certain product lines. For the year ended December 31, 2024, revenues from direct sales to end-users represented approximately 63% of our revenues; and revenues from sales of our products through distributors represented approximately 37% of our revenues.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1"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Our marketing activities encompass product management and marketing communications. Marketing maintains value-proposition based product roadmaps, collaborates with research and development on timing and investment for new products, develops marketing and sales strategies, supports direct and distributor sales activities, and sets the global pricing of our products. Our marketing team also maintains digital presence across the web and social media platforms, creates electronic leads and analyzes opportunities for new product portfolio extensions. Our websites and marketing collateral serve as the primary sales tool for our product lines, which includes both proprietary manufactured products and complementary products from various suppliers.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1"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are focused primarily on maintaining and strengthening our existing product and technology portfolio and expanding our portfolio to support new opportunities consistent with our growth strategy. We maintain development staff in many of our manufacturing facilities to design and develop new products and to re-engineer existing products to bring them to the next generation. Our research and development expenses were approximately $10.4 million and $11.8 million for the years ended December 31, 2024 and 2023, respectively. We anticipate that we will continue to make investments in research and development activities to advance our position in the industry as a provider of life science equipment, software and services. We plan to pursue a balanced development portfolio strategy of originating new products from internal research and evaluate acquiring products and technologies through business and technology acquisitions or collaborations,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1"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We manufacture and test the majority of our products in our principal manufacturing facilities located in the United States, Germany and Spain.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although some of our products are dependent on sole-source suppliers. The consolidation of our ERP system, which we completed during 2024, is expected to enable operational improvements in our sales and operations planning processes and management of inventory levels and customer service. Our manufacturing operations primarily involve assembly and testing activities along with some machine-based processes. Going forward we will continue to evaluate our manufacturing facilities and operations in order to optimize our manufacturing footprint. See “Part I, Item 2. Properties” of this report for additional information regarding our manufacturing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1"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7"/>
          <w:szCs w:val="17"/>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broader product offerings and greater name recognition than we do, and many offer discounts as a competitive tactic. These competitors and other companies may have developed or in the future could develop new technologies that compete with our products, which could render our products obsolete. We cannot provide assurance that we will be able to make the enhancements to our technologies necessary to compete successfully with newly emerging technologies. While we provide a broad selection of differentiated products, we have numerous competitors across our product lines. We believe that we compete favorably with our competitors on the basis of product performance, including quality, reliability, speed, technical support, price and delivery time.</w:t>
      </w:r>
    </w:p>
    <w:p>
      <w:pPr>
        <w:spacing w:after="0" w:line="173"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We compete with several companies that provide products for life science research including Agilent, Becton, Dickinson and Company, Bio-Rad Laboratories, Inc., Danaher Corporation, Emka Technologies, Eppendorf AG, Hitachi, Instem plc, Kent Scientific Corporation, Lonza Group Ltd., PerkinElmer, Inc., Thermo Fisher Scientific, Inc., TSE Systems and Waters Corporation.</w:t>
      </w:r>
    </w:p>
    <w:p>
      <w:pPr>
        <w:spacing w:after="0" w:line="178"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the availability of supply, manufacturing, marketing and sales expertise and capability.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Sales and earnings in our third quarter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To establish and protect our proprietary technologies and products, we rely on a combination of patent, copyright, trademark and trade secret laws, as well as confidentiality provisions in our contracts. Patents or patent applications cover certain of our new technologies. Most of our product lines are protected principally by trade names and trade secrets.</w:t>
      </w:r>
    </w:p>
    <w:p>
      <w:pPr>
        <w:spacing w:after="0" w:line="178"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covering new products and technologies where it is appropriate to do so taking into account factors such as the likely scope of coverage, strategic value, and cost.</w:t>
      </w:r>
    </w:p>
    <w:p>
      <w:pPr>
        <w:spacing w:after="0" w:line="180"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85"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We also rely in part on trade 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provide assurance that third parties will not independently discover or invent competing technologies or reverse engineer our trade secrets or other technologies. Therefore, the measures we are taking to protect our proprietary rights may not be adequate.</w:t>
      </w:r>
    </w:p>
    <w:p>
      <w:pPr>
        <w:spacing w:after="0" w:line="192"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We do not believe that our products infringe on the intellectual property rights of any third party. It is possible, however, that third parties will claim such infringement by us or our licensors with respect to current or future products.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84"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1"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We are generally not subject to direct governmental regulation other than the laws and regulations generally applicable to businesses in the domestic and foreign jurisdictions in which we operate. Other than our amino acid analyzer products, which are registered with, but otherwise exempt from United States Food and Drug Administration (“U.S. FDA”) pre-clearance requirements, our current products are not subject to pre-market clearance or approval by the U.S. FDA for use on human clinical patients. In addition, we believe we are materially in compliance with all relevant environmental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As of December 31, 2024, we employed 355 employees, which included 330 full-time employees. Some of our employees in Europe have statutory collective bargaining rights. We have never experienced a general work stoppage or strike, and management believes that our relations with our employees are good. Additional information about our employees follows:</w:t>
      </w:r>
    </w:p>
    <w:p>
      <w:pPr>
        <w:spacing w:after="0" w:line="200" w:lineRule="exact"/>
        <w:rPr>
          <w:sz w:val="20"/>
          <w:szCs w:val="20"/>
          <w:color w:val="auto"/>
        </w:rPr>
      </w:pPr>
    </w:p>
    <w:p>
      <w:pPr>
        <w:spacing w:after="0" w:line="202"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Part-time</w:t>
            </w:r>
          </w:p>
        </w:tc>
      </w:tr>
      <w:tr>
        <w:trPr>
          <w:trHeight w:val="20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6"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Part-time</w:t>
            </w:r>
          </w:p>
        </w:tc>
      </w:tr>
      <w:tr>
        <w:trPr>
          <w:trHeight w:val="20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8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5"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We make employment decisions without regard to age, color, national origin, citizenship status, physical or mental disability, race, religion, creed, gender, sex, sexual orientation, gender identity and/or expression, genetic information, marital status, status with regard to public assistance, veteran and military status or any other characteristic protected by federal, state or local law. We take steps to employ and advance in employment qualified protected veterans and qualified individuals with disabilities.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w:t>
      </w:r>
    </w:p>
    <w:p>
      <w:pPr>
        <w:spacing w:after="0" w:line="221"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Financial information regarding geographic areas in which we operate is provided in Notes 3 and 6 to the Consolidated Financial Statements included in “Part IV, Item 15. Exhibits, Financial Statement Schedules”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and Website</w:t>
      </w:r>
    </w:p>
    <w:p>
      <w:pPr>
        <w:spacing w:after="0" w:line="221"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w:t>
      </w:r>
    </w:p>
    <w:p>
      <w:pPr>
        <w:spacing w:after="0" w:line="198" w:lineRule="exact"/>
        <w:rPr>
          <w:sz w:val="20"/>
          <w:szCs w:val="20"/>
          <w:color w:val="auto"/>
        </w:rPr>
      </w:pPr>
    </w:p>
    <w:p>
      <w:pPr>
        <w:jc w:val="both"/>
        <w:ind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factors should be reviewed carefully, in conjunction with the other information contained in this Annual Report on Form 10-K. As previously discussed, our actual results could differ materially from the information included in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or develop, our business operations, financial performance and financial condition could be materially and adversely affected, and the trading price of our common stock could decline.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Going Concern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23"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As of December 31, 2024, there was indebtedness of $37.4 million outstanding under our term loan and senior revolving credit facility (collectively, the “Credit Agreement”). We were not in compliance with the consolidated net leverage ratio covenant contained in the Credit Agreement as of the December 31, 2024 test date. On March 10, 2025, we entered into an amendment to the Credit Agreement (the “March 2025 Amendment”) pursuant to which the lenders and administrative agent agreed to waive such non-compliance, subject to the terms contained in the March 2025 Amendment. The March 2025 Amendment provides, among other things, that our failure to achieve certain refinancing milestones, including receipt of a term sheet or commitment letter from one or more potential lenders, by the dates provided in the March 2025 Amendment or our failure to consummate a refinancing of the Credit Agreement by June 30, 2025, would, in either case, constitute an event of default under the Credit Agreement. In such event, in addition to other actions our lenders may require, the amounts outstanding under the Credit Agreement may become immediately due and payable. See “Part II, Item 7. Management’s Discussion and Analysis of Financial Condition and Results of Operations - Liquidity and Capital Resources” of this report for additional information regarding the March 2025 Amendment.</w:t>
      </w:r>
    </w:p>
    <w:p>
      <w:pPr>
        <w:spacing w:after="0" w:line="189"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We are exploring alternative sources of capital that would allow us to refinance our outstanding indebtedness by June 30, 2025, in order to avoid default under the Credit Agreement, but our ability to access such other sources of capital is uncertain. There is no assurance that such capital will be available to us, be obtainable on commercially acceptable terms, or provide us with sufficient funds to meet our objectives. Based on our anticipated cash flows from operations, unless we are able to access other sources of capital or extend the date for repayment under the Credit Agreement, we will be unable to pay our debt obligations and fund our operations for at least twelve months from the date of issuance of the consolidated financial statements contained in this Annual Report on Form 10-K. As a result, there is substantial doubt about our ability to continue as a going concern.</w:t>
      </w:r>
    </w:p>
    <w:p>
      <w:pPr>
        <w:spacing w:after="0" w:line="183"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included in “Part IV, Item 15. Exhibits, Financial Statement Schedules” of this report, our consolidated financial statements include an explanatory paragraph that such financial statements were prepared assuming that we will continue as a going concern, continue our operations for the foreseeable future and realize assets and settle liabilities in the normal course of business. The financial statements do not give effect to any adjustments to the amounts and classification of assets and liabilities that may be necessary should we be unable to continue as a going concern. Such adjustments could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industry is very competitive.</w:t>
      </w:r>
    </w:p>
    <w:p>
      <w:pPr>
        <w:spacing w:after="0" w:line="223"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 friendly products.</w:t>
      </w:r>
    </w:p>
    <w:p>
      <w:pPr>
        <w:spacing w:after="0" w:line="192"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and our new products may not be accepted by the marketplace or may generate lower than anticipated revenues. Our failure to develop and introduce products in a timely manner in response to changing technology, market demands, or the requirements of our customers could cause our product sales to decline, and we could experience significant losses.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We offer, and plan to continue to offer, a broad range of products and have incurred, and expect to continue to incur, substantial expenses for the development of new products and enhancements to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76"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revenues is derived from customers in the pharmaceutical and biotechnology industries and is subject to the risks faced by those industries. Such risks may materially and adversely affect our financial results.</w:t>
      </w:r>
    </w:p>
    <w:p>
      <w:pPr>
        <w:spacing w:after="0" w:line="159"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revenues from pharmaceutical and biotechnology companies and CROs serving these companies. We expect that pharmaceutical and biotechnology companies and CROs will continue to be a significant source of our revenues for the foreseeable future, including in our CMT and Preclinical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84" w:lineRule="exact"/>
        <w:rPr>
          <w:sz w:val="20"/>
          <w:szCs w:val="20"/>
          <w:color w:val="auto"/>
        </w:rPr>
      </w:pPr>
    </w:p>
    <w:p>
      <w:pPr>
        <w:jc w:val="both"/>
        <w:ind w:firstLine="444"/>
        <w:spacing w:after="0" w:line="251" w:lineRule="auto"/>
        <w:rPr>
          <w:sz w:val="20"/>
          <w:szCs w:val="20"/>
          <w:color w:val="auto"/>
        </w:rPr>
      </w:pPr>
      <w:r>
        <w:rPr>
          <w:rFonts w:ascii="Times New Roman" w:cs="Times New Roman" w:eastAsia="Times New Roman" w:hAnsi="Times New Roman"/>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materially and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government regulations may reduce demand for our products, adversely impact our revenues, or increase our expenses.</w:t>
      </w:r>
    </w:p>
    <w:p>
      <w:pPr>
        <w:spacing w:after="0" w:line="223" w:lineRule="exact"/>
        <w:rPr>
          <w:sz w:val="20"/>
          <w:szCs w:val="20"/>
          <w:color w:val="auto"/>
        </w:rPr>
      </w:pPr>
    </w:p>
    <w:p>
      <w:pPr>
        <w:jc w:val="both"/>
        <w:ind w:firstLine="444"/>
        <w:spacing w:after="0" w:line="251" w:lineRule="auto"/>
        <w:rPr>
          <w:sz w:val="20"/>
          <w:szCs w:val="20"/>
          <w:color w:val="auto"/>
        </w:rPr>
      </w:pPr>
      <w:r>
        <w:rPr>
          <w:rFonts w:ascii="Times New Roman" w:cs="Times New Roman" w:eastAsia="Times New Roman" w:hAnsi="Times New Roman"/>
          <w:sz w:val="18"/>
          <w:szCs w:val="18"/>
          <w:color w:val="auto"/>
        </w:rPr>
        <w:t>We operate in many markets in which we and our customers must comply with federal, state, local and international regulations. We develop, configure and market our products to meet customer needs created by, and in compliance with,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Reductions in customers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research budgets due to reductions in government funding or delays in government funding may adversely affect our business.</w:t>
      </w:r>
    </w:p>
    <w:p>
      <w:pPr>
        <w:spacing w:after="0" w:line="235"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Many of our customers are universities, government research laboratories, private foundations and other institutions whose funding is dependent on both the level and timing of funding from government agencies such as the NIH and similar domestic and foreign agencies. These customers represent a significant portion of our revenue. The level of funding and reimbursement rates under government programs relied on by these customers is subject to the political process and is often unpredictable. For example, the NIH announced on February 7, 2025, a policy significantly reducing research grants by limiting payments for indirect overhead. Further, government proposals to reduce or eliminate budget deficits have sometimes included reduced allocations to the NIH and other government agencies that fund our customers’ activities. Our revenue may be adversely affected if our customers forgo or delay purchases of our products and services as a result of uncertainties resulting from the NIH announcement or other government budget proposals, including reduced allocations to government agencies that fund our customers’ activities. NIH funding may not be directed towards projects and studies that require the use of our products and services. These factors could adversely affect our business and financial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and other risks associated with international sales and operations.</w:t>
      </w:r>
    </w:p>
    <w:p>
      <w:pPr>
        <w:spacing w:after="0" w:line="223"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We manufacture and sell our products internationally and, as a result, our business is subject to risks associated with doing business internationally. A substantial amount of our revenues is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w:t>
      </w:r>
    </w:p>
    <w:p>
      <w:pPr>
        <w:spacing w:after="0" w:line="180"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Our foreign operations subject us to certain risks, including: effects of fluctuations in foreign currency exchange rates; the impact of local economic conditions; fluctuations or reductions in economic growth in overseas markets including Asia and Europe; product preferences and seasonality and product requirements in foreign markets; difficulties in effectively establishing and expanding our business and operations in international markets; disruptions in foreign capital markets and trading markets; restrictions and potentially negative tax implications of transfers of capital across borders; differing labor regulations; the imposition of tariffs or import or export restrictions by the United States or foreign governments; other factors beyond our control, including potential political instability, terrorism, acts of war, natural disasters and diseases, pandemics;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w:t>
      </w:r>
    </w:p>
    <w:p>
      <w:pPr>
        <w:spacing w:after="0" w:line="189"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A small percentage of our products are subject to export control regulations administered by the U.S. Department of the Treasury’s Office of Foreign Assets Control (“OFAC”) and by the Export Administration Regulations administered by the U.S. Department of Commerce’s Bureau of Industry and Security (“BIS”). Based on the nature of the product, its ultimate end use and country of destination, we are sometimes subject to foreign assets control and economic sanctions regulations administered by OFAC, which restrict or prohibit our ability to transact with certain foreign countries, certain individuals and entities identified on the Treasury Department’s “Denied Parties List.” Under the OFAC regulations, the sale or transfer of certain equipment to a location outside the United States may require prior approval in the form of an export license issued by the BIS or the U.S. Department of State’s Directorate of Defense Trade Controls. Some potential international transactions may also be restricted or prohibited based on the location, nationality or identity of the potential end user, customer or other parties to the transaction or may require prior authorization in the form of an OFAC license. These risks may be exacerbated by geopolitical tensions in various regions of the world such as China, the Asia-Pacific region and the Middle East. Any delay in obtaining required governmental approvals could affect our ability to conclude a sale or timely commence a project, and the failure to comply with all such controls could result in criminal and/or civil penalties.</w:t>
      </w:r>
    </w:p>
    <w:p>
      <w:pPr>
        <w:spacing w:after="0" w:line="187"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Our overall success as a global business depends, in part, upon our ability to succeed in differing economic, social and political conditions. In order to continue to succeed in our international sales strategy, we must continue developing and implementing policies and strategies that are effective in each location where we do business, which could negatively affect our profitability.</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Rising inflation and interest rates could negatively impact our revenues, profitability and borrowing costs. In addition, if our costs increase and we are not able to correspondingly adjust our commercial relationships to account for this increase, our net income would be adversely affected, and the adverse impact may be material.</w:t>
      </w:r>
    </w:p>
    <w:p>
      <w:pPr>
        <w:spacing w:after="0" w:line="174"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Sustained or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interest rates in response to concerns about inflation. Increases in interest rates have had, and could continue to have, a material impact on our borrowing costs.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if there is a decrease in spending on products in our industry in general or a negative reaction to our pricing. A reduction in our revenue would be detrimental to our profitability and financial condition and could also have an adverse impact on our future growth.</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our lenders have waived our non-compliance with certain of the covenants in our Credit Agreement. If we fail to comply with the terms and conditions of the waiver, or if we fail to comply with any covenants in the future, our lenders may require the amounts outstanding under the debt to become immediately due and payable.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44"/>
        <w:spacing w:after="0" w:line="249" w:lineRule="auto"/>
        <w:rPr>
          <w:sz w:val="20"/>
          <w:szCs w:val="20"/>
          <w:color w:val="auto"/>
        </w:rPr>
      </w:pPr>
      <w:r>
        <w:rPr>
          <w:rFonts w:ascii="Times New Roman" w:cs="Times New Roman" w:eastAsia="Times New Roman" w:hAnsi="Times New Roman"/>
          <w:sz w:val="18"/>
          <w:szCs w:val="18"/>
          <w:color w:val="auto"/>
        </w:rPr>
        <w:t>As of December 31, 2024, we had outstanding borrowings of $37.4 million under the Credit Agreement. We were not in compliance with the consolidated net leverage ratio covenant contained in the Credit Agreement as of the December 31, 2024 test date. Pursuant to the March 2025 Amendment, the lenders and administrative agent agreed to waive such non-compliance subject to the terms contained in the March 2025 Amendment. The March 2025 Amendment provides, among other things, that the lender’s commitment under our revolving credit facility is capped at the amount outstanding thereunder as of the date thereof and thus we are unable to make additional borrowings under our revolving credit facility. The March 2025 Amendment also provides that our failure to achieve certain refinancing milestones, including receipt of a term sheet or commitment letter from one or more potential lenders, by the dates provided in the March 2025 Amendment or our failure to consummate a refinancing of the Credit Agreement by June 30, 2025, would, in either case, constitute an event of default under the Credit Agreement. The lenders also agreed not to assert the financial covenants included in the Credit Agreement for the first quarter of fiscal year 2025 provided that we continue to comply with our payment obligations, achieve the refinancing milestones, provide the administrative agent with certain financial reports and maintain a minimum level of liquidity as defined by the March 2025 Amendment. If we are not able to comply with the terms and conditions of the March 2025 Amendment, or if we are otherwise unable to regain and maintain compliance with the covenants under the Credit Agreement, as amended, or are unsuccessful in obtaining waivers or amendments for any covenant in the future, in addition to other actions our lenders may require, the amounts outstanding under the Credit Agreement may become immediately due and payable. See “Part II, Item 7. Management’s Discussion and Analysis of Financial Condition and Results of Operations - Liquidity and Capital Resources” of this report for additional information regarding the March 2025 Amendment.</w:t>
      </w:r>
    </w:p>
    <w:p>
      <w:pPr>
        <w:spacing w:after="0" w:line="191"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If we fail to satisfy these requirements, there can be no assurance that the lenders will not take action to collect payment of our debt or dispose of collateral securing the debt. Our cash flow and existing capital resources may be insufficient to repay our debt, in which such case prior thereto we would have to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acceleration of repayment, our lenders could foreclose against their collateral or seek other remedies, which would jeopardize our ability to continue our current operations.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make additional borrowings under our revolving credit facility could materially affect our ability to fund our existing operations or execute our current business strategy. We may be unable to generate sufficient cash flow, and we may be forced to take actions, which may not be successful, to satisfy our obligations and fund our operations.</w:t>
      </w:r>
    </w:p>
    <w:p>
      <w:pPr>
        <w:spacing w:after="0" w:line="174"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7"/>
          <w:szCs w:val="17"/>
          <w:color w:val="auto"/>
        </w:rPr>
        <w:t>Due to the consolidated net leverage ratio requirements in the Credit Agreement and based on the terms of the March 2025 Amendment, we are unable to make additional borrowings under our revolving credit facility. Our financial and operating performance will continue to be subject to prevailing economic conditions and to financial, business and other factors, some of which are beyond our control. Depending on our revenues and operating performance, our inability to make such additional borrowings could materially affect our ability to fund our existing operations and maintain our current liquidity position.</w:t>
      </w:r>
    </w:p>
    <w:p>
      <w:pPr>
        <w:spacing w:after="0" w:line="167" w:lineRule="exact"/>
        <w:rPr>
          <w:sz w:val="20"/>
          <w:szCs w:val="20"/>
          <w:color w:val="auto"/>
        </w:rPr>
      </w:pPr>
    </w:p>
    <w:p>
      <w:pPr>
        <w:jc w:val="both"/>
        <w:ind w:firstLine="444"/>
        <w:spacing w:after="0" w:line="250" w:lineRule="auto"/>
        <w:rPr>
          <w:sz w:val="20"/>
          <w:szCs w:val="20"/>
          <w:color w:val="auto"/>
        </w:rPr>
      </w:pPr>
      <w:r>
        <w:rPr>
          <w:rFonts w:ascii="Times New Roman" w:cs="Times New Roman" w:eastAsia="Times New Roman" w:hAnsi="Times New Roman"/>
          <w:sz w:val="18"/>
          <w:szCs w:val="18"/>
          <w:color w:val="auto"/>
        </w:rPr>
        <w:t>Pursuant to the terms of the March 2025 Amendment, we must restructure or refinance the indebtedness underlying the Credit Agreement or seek additional capital to pay such indebtedness. If we are unable to raise sufficient capital on favorable terms and in a timely manner (if at all), our business and product development efforts could be seriously harmed, and we may be restricted in pursuing potential acquisitions or other business development opportunities as we may be forced to reduce or delay investments and capital expenditures. Our ability to restructure or refinance our debt will depend on, among other things, the condition of the credit markets,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If we raise additional funds through collaborations or licensing arrangements, we may relinquish rights to certain of our technologies or products or grant licenses to third parties on terms that are unfavorable. In the absence of sufficient cash flows and resources, we could face substantial liquidity problems and might be required to dispose of material assets or operations to meet our debt service and other 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 agreement governing our senior secured credit facility contains financial covenants and other covenants that may restrict our current and future operations, particularly our ability to respond to changes in our business or to take certain actions. Any failure to comply with these covenants could materially harm our business, financial condition, results of operations and liquidity.</w:t>
      </w:r>
    </w:p>
    <w:p>
      <w:pPr>
        <w:spacing w:after="0" w:line="174" w:lineRule="exact"/>
        <w:rPr>
          <w:sz w:val="20"/>
          <w:szCs w:val="20"/>
          <w:color w:val="auto"/>
        </w:rPr>
      </w:pPr>
    </w:p>
    <w:p>
      <w:pPr>
        <w:jc w:val="both"/>
        <w:ind w:firstLine="444"/>
        <w:spacing w:after="0" w:line="251" w:lineRule="auto"/>
        <w:rPr>
          <w:sz w:val="20"/>
          <w:szCs w:val="20"/>
          <w:color w:val="auto"/>
        </w:rPr>
      </w:pPr>
      <w:r>
        <w:rPr>
          <w:rFonts w:ascii="Times New Roman" w:cs="Times New Roman" w:eastAsia="Times New Roman" w:hAnsi="Times New Roman"/>
          <w:sz w:val="18"/>
          <w:szCs w:val="18"/>
          <w:color w:val="auto"/>
        </w:rPr>
        <w:t>Pursuant to the terms of the Credit Agreement,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 incur debt or liens, make investments (including acquisitions), sell assets, and pay dividends on our capital stock. In addition, the Credit Agreement contains certain financial covenants, including a maximum consolidated net leverage ratio and a minimum consolidated fixed charge coverage ratio, each of which is to be tested at the end of each fiscal quarter of the Company. The March 2025 Amendment contains a minimum liquidity requirement, which will be tested on a biweekly basis. The operating and financial restrictions and covenants in the Credit Agreement and any future financing agreements may adversely affect our ability to finance future operations or capital needs or to engage in other business activities.</w:t>
      </w:r>
    </w:p>
    <w:p>
      <w:pPr>
        <w:spacing w:after="0" w:line="183"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identified material weaknesses in our internal controls over financial reporting as of December 31, 2024. Failure to establish and maintain effective internal controls over financial reporting could have a material adverse effect on our ability to report our financial condition, results of operations, or cash flows accurately and on a timely basis.</w:t>
      </w:r>
    </w:p>
    <w:p>
      <w:pPr>
        <w:spacing w:after="0" w:line="174" w:lineRule="exact"/>
        <w:rPr>
          <w:sz w:val="20"/>
          <w:szCs w:val="20"/>
          <w:color w:val="auto"/>
        </w:rPr>
      </w:pPr>
    </w:p>
    <w:p>
      <w:pPr>
        <w:jc w:val="both"/>
        <w:ind w:left="20" w:firstLine="444"/>
        <w:spacing w:after="0" w:line="251" w:lineRule="auto"/>
        <w:rPr>
          <w:sz w:val="20"/>
          <w:szCs w:val="20"/>
          <w:color w:val="auto"/>
        </w:rPr>
      </w:pPr>
      <w:r>
        <w:rPr>
          <w:rFonts w:ascii="Times New Roman" w:cs="Times New Roman" w:eastAsia="Times New Roman" w:hAnsi="Times New Roman"/>
          <w:sz w:val="18"/>
          <w:szCs w:val="18"/>
          <w:color w:val="auto"/>
        </w:rPr>
        <w:t>As a publicly traded company, we are subject to the Sarbanes-Oxley Act of 2002 (“Sarbanes-Oxley Act”). The Sarbanes-Oxley Act requires that we maintain effective disclosure controls and procedures and internal controls over financial reporting. As part of its annual review of the effectiveness of our internal controls over financial reporting as of December 31, 2024, our management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identified material weaknesses relate to the design and operating effectiveness of our internal controls over (i) our order to cash cycle and (ii) our physical count of inventories. As a result of these material weaknesses, our management also concluded that our disclosure controls and procedures were not effective as of December 31, 2024.</w:t>
      </w:r>
    </w:p>
    <w:p>
      <w:pPr>
        <w:spacing w:after="0" w:line="187" w:lineRule="exact"/>
        <w:rPr>
          <w:sz w:val="20"/>
          <w:szCs w:val="20"/>
          <w:color w:val="auto"/>
        </w:rPr>
      </w:pPr>
    </w:p>
    <w:p>
      <w:pPr>
        <w:jc w:val="both"/>
        <w:ind w:left="20" w:firstLine="444"/>
        <w:spacing w:after="0" w:line="254" w:lineRule="auto"/>
        <w:rPr>
          <w:sz w:val="20"/>
          <w:szCs w:val="20"/>
          <w:color w:val="auto"/>
        </w:rPr>
      </w:pPr>
      <w:r>
        <w:rPr>
          <w:rFonts w:ascii="Times New Roman" w:cs="Times New Roman" w:eastAsia="Times New Roman" w:hAnsi="Times New Roman"/>
          <w:sz w:val="18"/>
          <w:szCs w:val="18"/>
          <w:color w:val="auto"/>
        </w:rPr>
        <w:t>We are currently implementing a plan intended to remediate the material weaknesses described above. The identified material weaknesses will be considered remediated once additional internal controls are designed, implemented and operate effectively for a sufficient period of time to allow management to conclude that the material weaknesses have been fully remediated. However, there can be no assurance that we will be able to remediate fully the material weaknesses on a timely basis. We may also fail to identify other material weaknesses or significant deficiencies that could impair our ability to report our financial condition and results of operations accurately or on a timely basis.</w:t>
      </w:r>
    </w:p>
    <w:p>
      <w:pPr>
        <w:spacing w:after="0" w:line="184" w:lineRule="exact"/>
        <w:rPr>
          <w:sz w:val="20"/>
          <w:szCs w:val="20"/>
          <w:color w:val="auto"/>
        </w:rPr>
      </w:pPr>
    </w:p>
    <w:p>
      <w:pPr>
        <w:jc w:val="both"/>
        <w:ind w:left="20" w:firstLine="480"/>
        <w:spacing w:after="0" w:line="257" w:lineRule="auto"/>
        <w:rPr>
          <w:sz w:val="20"/>
          <w:szCs w:val="20"/>
          <w:color w:val="auto"/>
        </w:rPr>
      </w:pPr>
      <w:r>
        <w:rPr>
          <w:rFonts w:ascii="Times New Roman" w:cs="Times New Roman" w:eastAsia="Times New Roman" w:hAnsi="Times New Roman"/>
          <w:sz w:val="18"/>
          <w:szCs w:val="18"/>
          <w:color w:val="auto"/>
        </w:rPr>
        <w:t>Continued or future failure to maintain effective internal control over financial reporting could result in financial statements that do not accurately reflect our financial condition or results of operations, may result in material misstatements in our financial statements and may also restrict our future access to the capital markets. Further, because of the inherent limitations in any system of controls, even effective internal control over financial reporting could fail to prevent or detect inaccuracies or misstatements.</w:t>
      </w:r>
    </w:p>
    <w:p>
      <w:pPr>
        <w:spacing w:after="0" w:line="180" w:lineRule="exact"/>
        <w:rPr>
          <w:sz w:val="20"/>
          <w:szCs w:val="20"/>
          <w:color w:val="auto"/>
        </w:rPr>
      </w:pPr>
    </w:p>
    <w:p>
      <w:pPr>
        <w:jc w:val="both"/>
        <w:ind w:left="20" w:firstLine="480"/>
        <w:spacing w:after="0" w:line="276" w:lineRule="auto"/>
        <w:rPr>
          <w:sz w:val="20"/>
          <w:szCs w:val="20"/>
          <w:color w:val="auto"/>
        </w:rPr>
      </w:pPr>
      <w:r>
        <w:rPr>
          <w:rFonts w:ascii="Times New Roman" w:cs="Times New Roman" w:eastAsia="Times New Roman" w:hAnsi="Times New Roman"/>
          <w:sz w:val="18"/>
          <w:szCs w:val="18"/>
          <w:color w:val="auto"/>
        </w:rPr>
        <w:t>For a discussion of our internal control over financial reporting and a description of the identified material weaknesses and remediation plans, see “Part II, Item 9A. Controls and Procedures” of this Annual Report on Form 10-K.</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may have a negative impact on our reported earnings.</w:t>
      </w:r>
    </w:p>
    <w:p>
      <w:pPr>
        <w:spacing w:after="0" w:line="223" w:lineRule="exact"/>
        <w:rPr>
          <w:sz w:val="20"/>
          <w:szCs w:val="20"/>
          <w:color w:val="auto"/>
        </w:rPr>
      </w:pPr>
    </w:p>
    <w:p>
      <w:pPr>
        <w:jc w:val="both"/>
        <w:ind w:left="20" w:firstLine="444"/>
        <w:spacing w:after="0" w:line="250" w:lineRule="auto"/>
        <w:rPr>
          <w:sz w:val="20"/>
          <w:szCs w:val="20"/>
          <w:color w:val="auto"/>
        </w:rPr>
      </w:pPr>
      <w:r>
        <w:rPr>
          <w:rFonts w:ascii="Times New Roman" w:cs="Times New Roman" w:eastAsia="Times New Roman" w:hAnsi="Times New Roman"/>
          <w:sz w:val="18"/>
          <w:szCs w:val="18"/>
          <w:color w:val="auto"/>
        </w:rPr>
        <w:t>We are subject to the risks of fluctuating foreign currency exchange rates, which could have an adverse effect on the sales price of our products in foreign markets, as well as the costs and expenses of our foreign subsidiaries. A substantial amount of our revenues is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certainty any changes in foreign currency exchange rates or the degree to which we can address these risks.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3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deployment, and use of artificial intelligence technologies in our business operations, services and products may result in reputational harm, regulatory action, or legal liability, and any failure to adapt to such technological developments or industry trends could adversely affect the competitiveness of our business.</w:t>
      </w:r>
    </w:p>
    <w:p>
      <w:pPr>
        <w:spacing w:after="0" w:line="174"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Use of artificial intelligence (“AI”) to improve our internal business operations, or in the development or provision of products or services, poses risks and challenges. The use of AI, particularly generative AI, presents opportunities as well as risks that could negatively impact the business. The development, deployment, and use of AI, including within the life sciences industry, is still in its early stages, where the use of insufficiently developed AI technologies and premature deployment practices could result in unintended outcomes that harm the business. AI technologies may be developed using inaccurate, incomplete, flawed or biased algorithms, training methodologies or data, which could result in competitive harm, regulatory penalties, legal liability, or brand or reputational harm. Further, a failure to timely and effectively use or deploy AI and integrate it into new product offerings and services could negatively impact our competitiveness, particularly ahead of evolving industry trends and evolving consumer demands. We may be unable to devote adequate financial resources to develop or acquire new AI technologies and systems in the future.</w:t>
      </w:r>
    </w:p>
    <w:p>
      <w:pPr>
        <w:spacing w:after="0" w:line="187" w:lineRule="exact"/>
        <w:rPr>
          <w:sz w:val="20"/>
          <w:szCs w:val="20"/>
          <w:color w:val="auto"/>
        </w:rPr>
      </w:pPr>
    </w:p>
    <w:p>
      <w:pPr>
        <w:jc w:val="both"/>
        <w:ind w:firstLine="444"/>
        <w:spacing w:after="0" w:line="268" w:lineRule="auto"/>
        <w:rPr>
          <w:sz w:val="20"/>
          <w:szCs w:val="20"/>
          <w:color w:val="auto"/>
        </w:rPr>
      </w:pPr>
      <w:r>
        <w:rPr>
          <w:rFonts w:ascii="Times New Roman" w:cs="Times New Roman" w:eastAsia="Times New Roman" w:hAnsi="Times New Roman"/>
          <w:sz w:val="17"/>
          <w:szCs w:val="17"/>
          <w:color w:val="auto"/>
        </w:rPr>
        <w:t>AI can pose risks from an intellectual property, confidential data leakage, data protection, privacy perspective, as well as raise ethical concerns, compliance issues, and security risks. The input of confidential information or trade secrets into AI systems may result in the loss of intellectual property, proprietary rights, or attorney-client privilege in such information or trade secrets. The use of AI technologies for developing products or services may adversely affect or preclude the company’s intellectual property rights in such products or services, or may expose the company to liability related to the infringement, misappropriation or other violation of third-party intellectual property. The use of AI technologies with personally identifiable information may also result in legal liability. Further, particularly given the nascent stage of the technology, the use of AI can lead to unintended consequences, including the generation of outputs that appear correct but are factually inaccurate, misleading, or that result in unintended biases and discriminatory outcomes, or are otherwise flawed, which could harm our reputation and business and expose us to risks related to such inaccuracies or errors in these outputs.</w:t>
      </w:r>
    </w:p>
    <w:p>
      <w:pPr>
        <w:spacing w:after="0" w:line="173"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Moreover, AI is subject to a dynamic and rapidly evolving legal and regulatory environment, which, without appropriate review, governance and risk management, could expose the company to unforeseen legal or regulatory scrutiny and liabilities. As such, it remains uncertain how AI laws and regulations will impact our business or the associated cost or risks related to compliance therewith or with respect to embedding compliance mechanisms appropriately and effectively into our operations. The use of AI may be subject to new legal or regulatory requirements, the impact of which may be prohibitive or pose further risks from a legal or regulatory action perspective.</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59"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 Disruption caused by the failure of these systems, the underlying equipment, or communication networks could delay or otherwise adversely impact day-to-day business and decision making, could make it impossible for us to operate critical equipment, and could have an adverse effect on our performance. Our disaster recovery plans may not fully mitigate the effect of any such disruption. Disruptions could be caused by a variety of factors, such as catastrophic events or weather, power outages, or cyber-attacks on our systems by outside parties.</w:t>
      </w:r>
    </w:p>
    <w:p>
      <w:pPr>
        <w:spacing w:after="0" w:line="183"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Our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investment of significant financial and human resources. In addition, we may not be able to successfully complete the implementation of the ERP systems without experiencing difficulties. Any disruptions, delays or deficiencies in the design and implementation of any information technology (“IT) system, including ERP systems, could adversely affect our ability to process orders, ship products, provide services and customer support, send invoices and track payments, fulfill contractual obligations or otherwise operate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An information security incident, including a cybersecurity breach, could have a negative impact on our business or reputation.</w:t>
      </w:r>
    </w:p>
    <w:p>
      <w:pPr>
        <w:spacing w:after="0" w:line="223" w:lineRule="exact"/>
        <w:rPr>
          <w:sz w:val="20"/>
          <w:szCs w:val="20"/>
          <w:color w:val="auto"/>
        </w:rPr>
      </w:pPr>
    </w:p>
    <w:p>
      <w:pPr>
        <w:jc w:val="both"/>
        <w:ind w:firstLine="444"/>
        <w:spacing w:after="0" w:line="249" w:lineRule="auto"/>
        <w:rPr>
          <w:sz w:val="20"/>
          <w:szCs w:val="20"/>
          <w:color w:val="auto"/>
        </w:rPr>
      </w:pPr>
      <w:r>
        <w:rPr>
          <w:rFonts w:ascii="Times New Roman" w:cs="Times New Roman" w:eastAsia="Times New Roman" w:hAnsi="Times New Roman"/>
          <w:sz w:val="18"/>
          <w:szCs w:val="18"/>
          <w:color w:val="auto"/>
        </w:rPr>
        <w:t>To meet business objectives, we rely on both internal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third-party providers have the required capabilities and controls to address this risk. We have been, and may continue to be, subject to cybersecurity risks and incidents related to our business. While we have not experienced any material impact to the business or operations resulting from information or cybersecurity incidents, because of the frequently evolving tactics adopted by threat actors, along with the increased volume and sophistication of attacks by such threat actors, there is the potential for us to be materially adversely impacted in the future. This impact could result in reputational, competitive, operational or other business harm as well as financial costs and regulatory action. Additionally, the California Consumer Privacy Act of 2018 (the “CCPA”), which became effective on January 1, 2020, provides private rights of action for data breaches and requires companies that process information on California residents to make new disclosures to consumers about their data collection, use and sharing practices and allow consumers to opt out of certain data sharing with third parties. Compliance with the CCPA and other current and future applicable privacy, cybersecurity and related laws can be costly and time-consuming. Significant capital investments and other expenditures could also be required to remedy cybersecurity problems and prevent future breaches, including costs associated with additional security technologies, personnel, experts and credit monitoring services for those whose data has been breached. These costs, which could be material, could adversely impact our results of operations in the period in which they are incurred and may not meaningfully limit the success of future attempts to breach our information technology systems.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or enter into new leases on favorable terms or at all.</w:t>
      </w:r>
    </w:p>
    <w:p>
      <w:pPr>
        <w:spacing w:after="0" w:line="223" w:lineRule="exact"/>
        <w:rPr>
          <w:sz w:val="20"/>
          <w:szCs w:val="20"/>
          <w:color w:val="auto"/>
        </w:rPr>
      </w:pPr>
    </w:p>
    <w:p>
      <w:pPr>
        <w:jc w:val="both"/>
        <w:ind w:left="20" w:firstLine="444"/>
        <w:spacing w:after="0" w:line="257" w:lineRule="auto"/>
        <w:rPr>
          <w:sz w:val="20"/>
          <w:szCs w:val="20"/>
          <w:color w:val="auto"/>
        </w:rPr>
      </w:pPr>
      <w:r>
        <w:rPr>
          <w:rFonts w:ascii="Times New Roman" w:cs="Times New Roman" w:eastAsia="Times New Roman" w:hAnsi="Times New Roman"/>
          <w:sz w:val="18"/>
          <w:szCs w:val="18"/>
          <w:color w:val="auto"/>
        </w:rPr>
        <w:t>Our facilities are located in leased premises. When such leases expire, we may be unable to renew such leases or enter into new leases on favorable terms or at all. Further, a significant rise in real estate prices or real property taxes could also result in an increase in lease expenses, and thereby negatively impact the Company’s results of operations and cash flow. As a result, we may incur additional costs including increased rent and other costs related to our renegotiation of lease terms for our facilities or for a new lease in a desirable location.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restructuring costs or not realize the expected benefits of our initiatives to reduce operating expenses in the future.</w:t>
      </w:r>
    </w:p>
    <w:p>
      <w:pPr>
        <w:spacing w:after="0" w:line="223" w:lineRule="exact"/>
        <w:rPr>
          <w:sz w:val="20"/>
          <w:szCs w:val="20"/>
          <w:color w:val="auto"/>
        </w:rPr>
      </w:pPr>
    </w:p>
    <w:p>
      <w:pPr>
        <w:jc w:val="both"/>
        <w:ind w:left="20" w:firstLine="444"/>
        <w:spacing w:after="0" w:line="254" w:lineRule="auto"/>
        <w:rPr>
          <w:sz w:val="20"/>
          <w:szCs w:val="20"/>
          <w:color w:val="auto"/>
        </w:rPr>
      </w:pPr>
      <w:r>
        <w:rPr>
          <w:rFonts w:ascii="Times New Roman" w:cs="Times New Roman" w:eastAsia="Times New Roman" w:hAnsi="Times New Roman"/>
          <w:sz w:val="18"/>
          <w:szCs w:val="18"/>
          <w:color w:val="auto"/>
        </w:rPr>
        <w:t>We may not realize the expected benefits from our recent realignment and restructuring initiatives or similar restructuring initiatives that we may undertake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manage our growth, our operating profits may be adversely impacted.</w:t>
      </w:r>
    </w:p>
    <w:p>
      <w:pPr>
        <w:spacing w:after="0" w:line="223" w:lineRule="exact"/>
        <w:rPr>
          <w:sz w:val="20"/>
          <w:szCs w:val="20"/>
          <w:color w:val="auto"/>
        </w:rPr>
      </w:pPr>
    </w:p>
    <w:p>
      <w:pPr>
        <w:jc w:val="both"/>
        <w:ind w:left="20" w:firstLine="444"/>
        <w:spacing w:after="0" w:line="252" w:lineRule="auto"/>
        <w:rPr>
          <w:sz w:val="20"/>
          <w:szCs w:val="20"/>
          <w:color w:val="auto"/>
        </w:rPr>
      </w:pPr>
      <w:r>
        <w:rPr>
          <w:rFonts w:ascii="Times New Roman" w:cs="Times New Roman" w:eastAsia="Times New Roman" w:hAnsi="Times New Roman"/>
          <w:sz w:val="18"/>
          <w:szCs w:val="18"/>
          <w:color w:val="auto"/>
        </w:rPr>
        <w:t>Our success will depend on the expansion of our operations through organic growth, and we may execute acquisitions in the future to augment this growth. Effective growth management will place increased demands on our management team, operational and financial resources and expertise. To manage growth, we must optimize our operational, financial and management processes and systems, and information technology infrastructure and hire and train additional qualified personnel. While we continue to evaluate potential improvements to and consolidation of many of our processes and systems, we may not be able to implement these changes in an efficient or timely manner. Failure to manage our growth effectively, including failure to improve our systems and processes timely or efficiently, could impair our ability to generate revenues or could cause our expenses to increase more rapidly than revenues, resulting in operating losses or reduced profitability.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361"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incur a variety of costs in connection with acquisitions we may seek to consummate in the future, and we may never realize the anticipated benefits of our acquisitions due in part to difficulties integrating the businesses, operations and product lines.</w:t>
      </w:r>
    </w:p>
    <w:p>
      <w:pPr>
        <w:spacing w:after="0" w:line="159"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Our business strategy has historically included the acquisition of businesses, technologies, services or products that we believe are a strategic fit with our business. If we were to undertake future acquisitions, the process of integrating the acquired business, technology, service and/or product(s) may result in unforeseen operating difficulties and expenditures and potentially absorb significant management attention that would otherwise be available for ongoing development of our business. Moreover, we may fail to realize the anticipated benefits of an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85"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Our ability to achieve the benefits of acquisitions depends in part on the integration and leveraging of technology, operations, sales and marketing channels and personnel. Integration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other acquired companies, respectively, operating as separate companies in the past.</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59" w:lineRule="exact"/>
        <w:rPr>
          <w:sz w:val="20"/>
          <w:szCs w:val="20"/>
          <w:color w:val="auto"/>
        </w:rPr>
      </w:pPr>
    </w:p>
    <w:p>
      <w:pPr>
        <w:jc w:val="both"/>
        <w:ind w:left="20" w:firstLine="444"/>
        <w:spacing w:after="0" w:line="250" w:lineRule="auto"/>
        <w:rPr>
          <w:sz w:val="20"/>
          <w:szCs w:val="20"/>
          <w:color w:val="auto"/>
        </w:rPr>
      </w:pPr>
      <w:r>
        <w:rPr>
          <w:rFonts w:ascii="Times New Roman" w:cs="Times New Roman" w:eastAsia="Times New Roman" w:hAnsi="Times New Roman"/>
          <w:sz w:val="18"/>
          <w:szCs w:val="18"/>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or Chief Financial Officer or any of our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and Minneapolis, Minnesota metropolitan areas, England, and Germany where demand for personnel with these skills is extremely high and is likely to remain high.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partly on our ability to operate without infringing on or misappropriating the intellectual property rights of others.</w:t>
      </w:r>
    </w:p>
    <w:p>
      <w:pPr>
        <w:spacing w:after="0" w:line="223" w:lineRule="exact"/>
        <w:rPr>
          <w:sz w:val="20"/>
          <w:szCs w:val="20"/>
          <w:color w:val="auto"/>
        </w:rPr>
      </w:pPr>
    </w:p>
    <w:p>
      <w:pPr>
        <w:jc w:val="both"/>
        <w:ind w:left="20" w:firstLine="444"/>
        <w:spacing w:after="0" w:line="254" w:lineRule="auto"/>
        <w:rPr>
          <w:sz w:val="20"/>
          <w:szCs w:val="20"/>
          <w:color w:val="auto"/>
        </w:rPr>
      </w:pPr>
      <w:r>
        <w:rPr>
          <w:rFonts w:ascii="Times New Roman" w:cs="Times New Roman" w:eastAsia="Times New Roman" w:hAnsi="Times New Roman"/>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third-party patent, we may be unable to sell some of our products and services, which could result in reduced revenue.</w:t>
      </w:r>
    </w:p>
    <w:p>
      <w:pPr>
        <w:spacing w:after="0" w:line="180"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seek to hold us responsible for Harvard Apparatus Regenerative Technologies,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HRGN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(formerly known as Biostage, Inc.) liabilities, including liabilities that HRGN has assumed </w:t>
      </w:r>
      <w:r>
        <w:rPr>
          <w:rFonts w:ascii="Times New Roman" w:cs="Times New Roman" w:eastAsia="Times New Roman" w:hAnsi="Times New Roman"/>
          <w:sz w:val="18"/>
          <w:szCs w:val="18"/>
          <w:color w:val="auto"/>
        </w:rPr>
        <w:t>from</w:t>
      </w:r>
      <w:r>
        <w:rPr>
          <w:rFonts w:ascii="Times New Roman" w:cs="Times New Roman" w:eastAsia="Times New Roman" w:hAnsi="Times New Roman"/>
          <w:sz w:val="18"/>
          <w:szCs w:val="18"/>
          <w:b w:val="1"/>
          <w:bCs w:val="1"/>
          <w:i w:val="1"/>
          <w:iCs w:val="1"/>
          <w:color w:val="auto"/>
        </w:rPr>
        <w:t xml:space="preserve"> us.</w:t>
      </w:r>
    </w:p>
    <w:p>
      <w:pPr>
        <w:spacing w:after="0" w:line="159" w:lineRule="exact"/>
        <w:rPr>
          <w:sz w:val="20"/>
          <w:szCs w:val="20"/>
          <w:color w:val="auto"/>
        </w:rPr>
      </w:pPr>
    </w:p>
    <w:p>
      <w:pPr>
        <w:jc w:val="both"/>
        <w:ind w:left="20" w:firstLine="444"/>
        <w:spacing w:after="0" w:line="257" w:lineRule="auto"/>
        <w:rPr>
          <w:sz w:val="20"/>
          <w:szCs w:val="20"/>
          <w:color w:val="auto"/>
        </w:rPr>
      </w:pPr>
      <w:r>
        <w:rPr>
          <w:rFonts w:ascii="Times New Roman" w:cs="Times New Roman" w:eastAsia="Times New Roman" w:hAnsi="Times New Roman"/>
          <w:sz w:val="18"/>
          <w:szCs w:val="18"/>
          <w:color w:val="auto"/>
        </w:rPr>
        <w:t>Third parties may continue to seek to hold us responsible for HRGN’s liabilities, including any of the liabilities that HRGN agreed to retain or assume in connection with the separation of the HRGN business from our businesses, and related spin-off distribution. For example, in April 2022, we and HRGN entered into a settlement of a litigation relating to injuries allegedly caused by products produced by us and HRGN and utilized in connection with surgeries performed by third parties (the “HRGN Settlement”). The HRGN Settlement resolved and dismissed all claims by and between the parties.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36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fluctuated in the past and could experience substantial additional declines in the future.</w:t>
      </w:r>
    </w:p>
    <w:p>
      <w:pPr>
        <w:spacing w:after="0" w:line="223" w:lineRule="exact"/>
        <w:rPr>
          <w:sz w:val="20"/>
          <w:szCs w:val="20"/>
          <w:color w:val="auto"/>
        </w:rPr>
      </w:pPr>
    </w:p>
    <w:p>
      <w:pPr>
        <w:ind w:right="520" w:firstLine="480"/>
        <w:spacing w:after="0" w:line="276"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become volatile and could decline further in the future, perhaps substantially, in response to various factors including, but not limited to:</w:t>
      </w:r>
    </w:p>
    <w:p>
      <w:pPr>
        <w:spacing w:after="0" w:line="164" w:lineRule="exact"/>
        <w:rPr>
          <w:sz w:val="20"/>
          <w:szCs w:val="20"/>
          <w:color w:val="auto"/>
        </w:rPr>
      </w:pPr>
    </w:p>
    <w:p>
      <w:pPr>
        <w:ind w:left="560" w:hanging="234"/>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doubt with regard to our ability to continue as a going concern;</w:t>
      </w:r>
    </w:p>
    <w:p>
      <w:pPr>
        <w:spacing w:after="0" w:line="21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performance;</w:t>
      </w:r>
    </w:p>
    <w:p>
      <w:pPr>
        <w:spacing w:after="0" w:line="21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financial markets;</w:t>
      </w:r>
    </w:p>
    <w:p>
      <w:pPr>
        <w:spacing w:after="0" w:line="21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prospects of the domestic and foreign economies; and</w:t>
      </w:r>
    </w:p>
    <w:p>
      <w:pPr>
        <w:spacing w:after="0" w:line="219" w:lineRule="exact"/>
        <w:rPr>
          <w:rFonts w:ascii="Times New Roman" w:cs="Times New Roman" w:eastAsia="Times New Roman" w:hAnsi="Times New Roman"/>
          <w:sz w:val="18"/>
          <w:szCs w:val="18"/>
          <w:color w:val="auto"/>
        </w:rPr>
      </w:pPr>
    </w:p>
    <w:p>
      <w:pPr>
        <w:ind w:left="560" w:hanging="234"/>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competitors or in competing technologies.</w:t>
      </w:r>
    </w:p>
    <w:p>
      <w:pPr>
        <w:spacing w:after="0" w:line="219"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In addition, public stock markets have experienced extreme price and trading volatility. The stock market and the Nasdaq Global Market in general, and the biotechnology and life science tools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7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funds through the sale of equity or convertible debt or other equity-linked securities, investors may experience significant dilution of their ownership interest.</w:t>
      </w:r>
    </w:p>
    <w:p>
      <w:pPr>
        <w:spacing w:after="0" w:line="159"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We may raise additional funds through the sale of equity or convertible debt or other equity-linked securities to repay our existing indebtedness, implement our acquisition strategy, expand our operations or invest in the development of new products. If we raise additional funds through such sales, investors may experience significant dilution of their ownership interest. We may issue securities that have rights, preferences and privileges senior to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military conflicts. Our business, financial condition and results of operations may be materially adversely affected by any negative impact on the global economy and capital markets resulting from the conflict in Ukraine, the Middle East or any other geopolitical tensions.</w:t>
      </w:r>
    </w:p>
    <w:p>
      <w:pPr>
        <w:spacing w:after="0" w:line="174"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globally, including military conflicts (such as the conflict between Russia and Ukraine and the conflicts in Israel and the Middle East). Although the length and impact of these conflicts are highly unpredictable, these conflicts could lead to market disruptions, including significant volatility in commodity prices, credit and capital markets, supply chain interruptions, and additional economic and financial sanctions.</w:t>
      </w:r>
    </w:p>
    <w:p>
      <w:pPr>
        <w:spacing w:after="0" w:line="180"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10-K.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Epidemics and pandemics have had, and in the future may have, a material adverse impact on our business.</w:t>
      </w:r>
    </w:p>
    <w:p>
      <w:pPr>
        <w:spacing w:after="0" w:line="223"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Our operations and financial performance have been, and in the future may be, negatively impacted by public health crises, epidemics and pandemics. Such events have caused, and may in the future cause, impacts such as reductions in economic activity (including volatility in demand for our products, services, and solutions, disruptions in global supply chains, and volatility in financial markets). Additionally, we have in the past experienced, and may in the future experience, operational challenges such as workplace disruptions, restrictions on the movement of people, raw materials, and goods (both at our own facilities and at those of our customers and suppliers), global supply chain disruptions, delays or disruptions in orders and order fulfillment, and price inflation.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incur higher costs as a result of trade policies, treaties, government regulations or tariffs, we may become less profitable.</w:t>
      </w:r>
    </w:p>
    <w:p>
      <w:pPr>
        <w:spacing w:after="0" w:line="223"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There continues to be uncertainty about the relationship between the United States and foreign countries, including with respect to trade policies, treaties, government regulations and tariffs.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materially and adversely affect our business.</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lawsuits from counterparties to acquisitions and divestitures, including an acquiring company or its stockholders, an acquired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previous stockholders, a divested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 or our current stockholders.</w:t>
      </w:r>
    </w:p>
    <w:p>
      <w:pPr>
        <w:spacing w:after="0" w:line="159"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Rising commodity and precious metals costs could adversely impact our profitability.</w:t>
      </w:r>
    </w:p>
    <w:p>
      <w:pPr>
        <w:spacing w:after="0" w:line="223" w:lineRule="exact"/>
        <w:rPr>
          <w:sz w:val="20"/>
          <w:szCs w:val="20"/>
          <w:color w:val="auto"/>
        </w:rPr>
      </w:pPr>
    </w:p>
    <w:p>
      <w:pPr>
        <w:jc w:val="both"/>
        <w:ind w:left="20" w:firstLine="444"/>
        <w:spacing w:after="0" w:line="261" w:lineRule="auto"/>
        <w:rPr>
          <w:sz w:val="20"/>
          <w:szCs w:val="20"/>
          <w:color w:val="auto"/>
        </w:rPr>
      </w:pPr>
      <w:r>
        <w:rPr>
          <w:rFonts w:ascii="Times New Roman" w:cs="Times New Roman" w:eastAsia="Times New Roman" w:hAnsi="Times New Roman"/>
          <w:sz w:val="18"/>
          <w:szCs w:val="18"/>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Provisions of Delaware law, or of our charter and bylaws may make a takeover more difficult, which could cause our stock price to decline.</w:t>
      </w:r>
    </w:p>
    <w:p>
      <w:pPr>
        <w:spacing w:after="0" w:line="223" w:lineRule="exact"/>
        <w:rPr>
          <w:sz w:val="20"/>
          <w:szCs w:val="20"/>
          <w:color w:val="auto"/>
        </w:rPr>
      </w:pPr>
    </w:p>
    <w:p>
      <w:pPr>
        <w:jc w:val="both"/>
        <w:ind w:left="20" w:firstLine="444"/>
        <w:spacing w:after="0" w:line="253"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1B.</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83185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3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w:t>
      </w:r>
      <w:r>
        <w:rPr>
          <w:rFonts w:ascii="Times New Roman" w:cs="Times New Roman" w:eastAsia="Times New Roman" w:hAnsi="Times New Roman"/>
          <w:sz w:val="18"/>
          <w:szCs w:val="18"/>
          <w:b w:val="1"/>
          <w:bCs w:val="1"/>
          <w:i w:val="1"/>
          <w:iCs w:val="1"/>
          <w:color w:val="auto"/>
        </w:rPr>
        <w:t>Cybersecurity.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1"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We have implemented a cybersecurity risk management program intended to protect the confidentiality, integrity, and availability of our critical systems and information. Our cybersecurity risk management program is an element of and is integrated into our overall enterprise risk management program. Our framework is informed in part by the National Institute of Standards and Technology (NIST) Cybersecurity Framework and International Organization for Standardization 27001 (ISO 27001) Framework, although we have not been audited to, and may not be in compliance with, all technical standards, specifications or requirements under the NIST or ISO 27001 frameworks. Our cybersecurity risk management program includes:</w:t>
      </w:r>
    </w:p>
    <w:p>
      <w:pPr>
        <w:spacing w:after="0" w:line="184" w:lineRule="exact"/>
        <w:rPr>
          <w:sz w:val="20"/>
          <w:szCs w:val="20"/>
          <w:color w:val="auto"/>
        </w:rPr>
      </w:pPr>
    </w:p>
    <w:p>
      <w:pPr>
        <w:ind w:left="580" w:right="320" w:hanging="347"/>
        <w:spacing w:after="0" w:line="276"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and services, and our broader enterprise IT environment;</w:t>
      </w:r>
    </w:p>
    <w:p>
      <w:pPr>
        <w:spacing w:after="0" w:line="163" w:lineRule="exact"/>
        <w:rPr>
          <w:rFonts w:ascii="Times New Roman" w:cs="Times New Roman" w:eastAsia="Times New Roman" w:hAnsi="Times New Roman"/>
          <w:sz w:val="18"/>
          <w:szCs w:val="18"/>
          <w:color w:val="auto"/>
        </w:rPr>
      </w:pPr>
    </w:p>
    <w:p>
      <w:pPr>
        <w:ind w:left="580" w:right="360" w:hanging="347"/>
        <w:spacing w:after="0" w:line="276"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that is principally responsible for managing (1) our cybersecurity risk assessment processes, (2) our security controls, and (3) our response to cybersecurity incidents;</w:t>
      </w:r>
    </w:p>
    <w:p>
      <w:pPr>
        <w:spacing w:after="0" w:line="163"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19"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our employees, incident response personnel, and senior management;</w:t>
      </w:r>
    </w:p>
    <w:p>
      <w:pPr>
        <w:spacing w:after="0" w:line="219" w:lineRule="exact"/>
        <w:rPr>
          <w:rFonts w:ascii="Times New Roman" w:cs="Times New Roman" w:eastAsia="Times New Roman" w:hAnsi="Times New Roman"/>
          <w:sz w:val="18"/>
          <w:szCs w:val="18"/>
          <w:color w:val="auto"/>
        </w:rPr>
      </w:pPr>
    </w:p>
    <w:p>
      <w:pPr>
        <w:ind w:left="580" w:right="220" w:hanging="347"/>
        <w:spacing w:after="0" w:line="276"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material cybersecurity risks posed by third-party service providers, including risks to employee, customer and financial information; and</w:t>
      </w:r>
    </w:p>
    <w:p>
      <w:pPr>
        <w:spacing w:after="0" w:line="163"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protocol that includes procedures for responding to cybersecurity incidents.</w:t>
      </w:r>
    </w:p>
    <w:p>
      <w:pPr>
        <w:spacing w:after="0" w:line="219"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We have been, and expect to continue to be, subject to cybersecurity risks and incidents related to our business. To date, such risks and incidents have not materially affected our business strategy, results of operations or financial condition. For more information about the cybersecurity risks we face, see Item 1A – Risk Factors.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1"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Our Board considers cybersecurity risk as part of its enterprise risk management oversight function. This oversight includes periodic reports from management, including our Vice President of IT, concerning cybersecurity related risks.</w:t>
      </w:r>
    </w:p>
    <w:p>
      <w:pPr>
        <w:spacing w:after="0" w:line="164"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Our management team, including our Vice President of IT, is responsible for assessing and managing risks from cybersecurity threats. Our Vice President of IT has extensive information technology and program management experience, including broad experience in corporate and consulting environments across a range of organizations and industries. Where appropriate, she engages external cybersecurity consultants to assist with cybersecurity related matters. Our management team has primary responsibility for our overall cybersecurity risk management program and, under the leadership of our Vice President of IT, supervises both our internal personnel and external cybersecurity consultants. Our program includes efforts to prevent, detect, mitigate, and remediate cybersecurity risks. These efforts employ information from various sources, such as security tools deployed in our IT environment, internal personnel, external security consultants, and governmental sources.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Our facilities incorporate manufacturing, research and development, sales and marketing, and administration functions. As of December 31, 2024, we leased the following principal facilities: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0"/>
                <w:szCs w:val="20"/>
                <w:color w:val="auto"/>
              </w:rPr>
            </w:pPr>
          </w:p>
        </w:tc>
        <w:tc>
          <w:tcPr>
            <w:tcW w:w="32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Description of Facility</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80" w:type="dxa"/>
            <w:vAlign w:val="bottom"/>
          </w:tcPr>
          <w:p>
            <w:pPr>
              <w:spacing w:after="0"/>
              <w:rPr>
                <w:sz w:val="20"/>
                <w:szCs w:val="20"/>
                <w:color w:val="auto"/>
              </w:rPr>
            </w:pPr>
          </w:p>
        </w:tc>
        <w:tc>
          <w:tcPr>
            <w:tcW w:w="1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Brighton, Minnesota</w:t>
            </w:r>
          </w:p>
        </w:tc>
        <w:tc>
          <w:tcPr>
            <w:tcW w:w="1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7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75,000</w:t>
            </w:r>
          </w:p>
        </w:tc>
        <w:tc>
          <w:tcPr>
            <w:tcW w:w="16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4"/>
              </w:rPr>
              <w:t>2030</w:t>
            </w:r>
          </w:p>
        </w:tc>
      </w:tr>
      <w:tr>
        <w:trPr>
          <w:trHeight w:val="195"/>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Manufacturing facility and corporate</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Holliston, Massachusetts</w:t>
            </w: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headquarters</w:t>
            </w:r>
          </w:p>
        </w:tc>
        <w:tc>
          <w:tcPr>
            <w:tcW w:w="1720" w:type="dxa"/>
            <w:vAlign w:val="bottom"/>
            <w:gridSpan w:val="2"/>
          </w:tcPr>
          <w:p>
            <w:pPr>
              <w:jc w:val="right"/>
              <w:ind w:right="471"/>
              <w:spacing w:after="0"/>
              <w:rPr>
                <w:sz w:val="20"/>
                <w:szCs w:val="20"/>
                <w:color w:val="auto"/>
              </w:rPr>
            </w:pPr>
            <w:r>
              <w:rPr>
                <w:rFonts w:ascii="Times New Roman" w:cs="Times New Roman" w:eastAsia="Times New Roman" w:hAnsi="Times New Roman"/>
                <w:sz w:val="18"/>
                <w:szCs w:val="18"/>
                <w:color w:val="auto"/>
              </w:rPr>
              <w:t>52,000</w:t>
            </w:r>
          </w:p>
        </w:tc>
        <w:tc>
          <w:tcPr>
            <w:tcW w:w="1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4"/>
              </w:rPr>
              <w:t>2029</w:t>
            </w:r>
          </w:p>
        </w:tc>
      </w:tr>
      <w:tr>
        <w:trPr>
          <w:trHeight w:val="21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Reutlingen, Germany</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7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23,000</w:t>
            </w:r>
          </w:p>
        </w:tc>
        <w:tc>
          <w:tcPr>
            <w:tcW w:w="16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2025*</w:t>
            </w: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Barcelona, Spain</w:t>
            </w: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720" w:type="dxa"/>
            <w:vAlign w:val="bottom"/>
            <w:gridSpan w:val="2"/>
          </w:tcPr>
          <w:p>
            <w:pPr>
              <w:jc w:val="right"/>
              <w:ind w:right="471"/>
              <w:spacing w:after="0"/>
              <w:rPr>
                <w:sz w:val="20"/>
                <w:szCs w:val="20"/>
                <w:color w:val="auto"/>
              </w:rPr>
            </w:pPr>
            <w:r>
              <w:rPr>
                <w:rFonts w:ascii="Times New Roman" w:cs="Times New Roman" w:eastAsia="Times New Roman" w:hAnsi="Times New Roman"/>
                <w:sz w:val="18"/>
                <w:szCs w:val="18"/>
                <w:color w:val="auto"/>
              </w:rPr>
              <w:t>16,000</w:t>
            </w:r>
          </w:p>
        </w:tc>
        <w:tc>
          <w:tcPr>
            <w:tcW w:w="1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March-Hugstetten, Germany</w:t>
            </w: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17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11,000</w:t>
            </w:r>
          </w:p>
        </w:tc>
        <w:tc>
          <w:tcPr>
            <w:tcW w:w="16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4"/>
              </w:rPr>
              <w:t>2025</w:t>
            </w:r>
          </w:p>
        </w:tc>
      </w:tr>
    </w:tbl>
    <w:p>
      <w:pPr>
        <w:spacing w:after="0" w:line="195" w:lineRule="exact"/>
        <w:rPr>
          <w:sz w:val="20"/>
          <w:szCs w:val="20"/>
          <w:color w:val="auto"/>
        </w:rPr>
      </w:pPr>
    </w:p>
    <w:p>
      <w:pPr>
        <w:ind w:left="600" w:right="5260" w:hanging="7"/>
        <w:spacing w:after="0" w:line="276" w:lineRule="auto"/>
        <w:tabs>
          <w:tab w:leader="none" w:pos="7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December 31, 2024, this lease was extended through January 2030. + This lease is renewed on a month-to-month basis.</w:t>
      </w:r>
    </w:p>
    <w:p>
      <w:pPr>
        <w:spacing w:after="0" w:line="164" w:lineRule="exact"/>
        <w:rPr>
          <w:sz w:val="20"/>
          <w:szCs w:val="20"/>
          <w:color w:val="auto"/>
        </w:rPr>
      </w:pPr>
    </w:p>
    <w:p>
      <w:pPr>
        <w:jc w:val="both"/>
        <w:ind w:right="20" w:firstLine="444"/>
        <w:spacing w:after="0" w:line="276" w:lineRule="auto"/>
        <w:rPr>
          <w:sz w:val="20"/>
          <w:szCs w:val="20"/>
          <w:color w:val="auto"/>
        </w:rPr>
      </w:pPr>
      <w:r>
        <w:rPr>
          <w:rFonts w:ascii="Times New Roman" w:cs="Times New Roman" w:eastAsia="Times New Roman" w:hAnsi="Times New Roman"/>
          <w:sz w:val="18"/>
          <w:szCs w:val="18"/>
          <w:color w:val="auto"/>
        </w:rPr>
        <w:t>We also lease facilities in Cambridge, England; Kista, Sweden; Beijing, China; and Shanghai, China. We believe our current facilities are adequate for our needs for the foreseeable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related to legal proceedings, see the discussion in Note 16 to the Consolidated Financial Statements included in “Part IV, Item 15.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Financial Statement Schedules” of this report, which information is incorporated by reference into this Item 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Equity, Related Stockholder Matters and Issuer Purchases of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symbol “HBIO.”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There were 86 holders of record of our common stock as of March 5, 2025.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b w:val="1"/>
          <w:bCs w:val="1"/>
          <w:i w:val="1"/>
          <w:iCs w:val="1"/>
          <w:color w:val="auto"/>
        </w:rPr>
        <w:t>. [Reserved]</w:t>
      </w:r>
    </w:p>
    <w:p>
      <w:pPr>
        <w:spacing w:after="0" w:line="2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1"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The following section of this Annual Report on Form 10-K contains statements that are not statements of historical fact and are forward-looking statements within the meaning of federal securities laws. These statements involve known and unknown risks, uncertainties and other factors that may cause our actual results, financial performance or achievements to be materially different from any future results, financial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in this Annual Report on Form 10-K. You should carefully review all of these factors, as well as the comprehensive discussion of forward-looking statements on page 1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1"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Harvard Bioscience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CROs. With operations in the United States, Europe and China, we sell through a combination of direct and distribution channels to customers around the world.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Activities</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initiated a restructuring and incurred $0.4 million in inventory charges, severance and other expenses related to the restructuring program. During the year ended December 31, 2024, the Company continued and completed additional restructurings and incurred expenses of $0.8 million, primarily consisting of severance recorded in connection with headcount reductions in Europe and North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1"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In the table below, we provide an overview of selected operating metrics for the year ended December 31, 2024, compared to the year ended December 31, 2023.</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0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94,135</w:t>
            </w:r>
          </w:p>
        </w:tc>
        <w:tc>
          <w:tcPr>
            <w:tcW w:w="1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112,250</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54,766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66,071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1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22,212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24,060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21,493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10,406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11,764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1" w:lineRule="exact"/>
        <w:rPr>
          <w:sz w:val="20"/>
          <w:szCs w:val="20"/>
          <w:color w:val="auto"/>
        </w:rPr>
      </w:pPr>
    </w:p>
    <w:p>
      <w:pPr>
        <w:jc w:val="both"/>
        <w:ind w:firstLine="391"/>
        <w:spacing w:after="0" w:line="284" w:lineRule="auto"/>
        <w:rPr>
          <w:sz w:val="20"/>
          <w:szCs w:val="20"/>
          <w:color w:val="auto"/>
        </w:rPr>
      </w:pPr>
      <w:r>
        <w:rPr>
          <w:rFonts w:ascii="Times New Roman" w:cs="Times New Roman" w:eastAsia="Times New Roman" w:hAnsi="Times New Roman"/>
          <w:sz w:val="17"/>
          <w:szCs w:val="17"/>
          <w:color w:val="auto"/>
        </w:rPr>
        <w:t>Revenues decreased $18.2 million, or 16.1%, to $94.1 million for the year ended December 31, 2024, compared to $112.3 million for the year ended December 31, 2023. The decrease in revenues was primarily due to softening of worldwide demand from distributors, CRO’s and academic medical research institutions. Changes in foreign currency exchange rates had a $0.2 million favorable effect on revenues during the year ended December 31, 2024.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1"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Gross profit decreased $11.3 million, or 17.1%, to $54.8 million for the year ended December 31, 2024, compared with $66.1 million for the year ended December 31, 2023, primarily due to the decreases in revenues. Gross margin decreased to 58.2% for the year ended December 31, 2024, compared with 58.9% for the year ended December 31, 2023. Gross margin was unfavorably impacted by the under-absorption of fixed manufacturing overhead costs due to the decrease in revenues which was partially offset by a better mix of high margin products and lower labor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$1.9 million, or 7.7%, to $22.2 million for the year ended December 31, 2024, compared to $24.1 million for the year ended December 31, 2023. The decrease was primarily due to a decrease in compensation costs of $1.3 million, a decrease in consulting costs of $0.2 million and a decrease in travel costs of $0.2 million, in each case as compared to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by $1.3 million, or 5.6%, to $21.5 million for the year ended December 31, 2024, compared with $22.8 million for the year ended December 31, 2023. The decrease was primarily due to a decrease in compensation costs of $1.3 million, a decrease of $0.5 million due to the capitalization of labor and consulting expenses associated with our U.S. ERP consolidation project and a decrease in travel and entertainment costs of $0.2 million, partially offset by an increase in professional fees of $0.4 million and an increase in depreciation expense of $0.2 million, in each case as compared to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$1.4 million, or 11.5%, to $10.4 million for the year ended December 31, 2024, compared with $11.8 million for the year ended December 31, 2023. The decrease was primarily due to a decrease in compensation costs of $0.9 million and a decrease of $0.3 million due the capitalization of software development costs, as compared to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21"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Amortization of intangible assets decreased $0.2 million, or 4.9%, to $5.3 million for the year ended December 31, 2024, compared with $5.5 million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1"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2024, were $1.6 million and included restructuring costs of $0.8 million in connection with headcount reductions, a fee of $0.5 million in connection with the receipt of employee retention tax credits, and $0.3 million related to settlement of an unclaimed property audit. Other operating expenses for the year ended December 31, 2023, were $0.1 million and included restructuring costs in connection with headcount reductions.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1"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Interest expense decreased $0.4 million, or 10.6%, to $3.2 million for the year ended December 31, 2024, compared with $3.6 million for the year ended December 31, 2023. The decrease was primarily due to lower average borrowings during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equity securities</w:t>
      </w:r>
    </w:p>
    <w:p>
      <w:pPr>
        <w:spacing w:after="0" w:line="221"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As of December 31, 2023, we held shares of common stock of HRGN with an estimated fair value of $3.5 million. These shares were received in connection with the settlement of indemnification obligations related to litigation which was resolved during the year ended December 31, 2022. During the year ended December 31, 2024, we sold all of our HRGN shares for $1.9 million and recorded a loss on sale of $1.6 million. During the year ended December 31, 2023, we recorded unrealized losses of $0.6 million related to these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1" w:lineRule="exact"/>
        <w:rPr>
          <w:sz w:val="20"/>
          <w:szCs w:val="20"/>
          <w:color w:val="auto"/>
        </w:rPr>
      </w:pPr>
    </w:p>
    <w:p>
      <w:pPr>
        <w:jc w:val="both"/>
        <w:ind w:firstLine="444"/>
        <w:spacing w:after="0" w:line="251" w:lineRule="auto"/>
        <w:rPr>
          <w:sz w:val="20"/>
          <w:szCs w:val="20"/>
          <w:color w:val="auto"/>
        </w:rPr>
      </w:pPr>
      <w:r>
        <w:rPr>
          <w:rFonts w:ascii="Times New Roman" w:cs="Times New Roman" w:eastAsia="Times New Roman" w:hAnsi="Times New Roman"/>
          <w:sz w:val="18"/>
          <w:szCs w:val="18"/>
          <w:color w:val="auto"/>
        </w:rPr>
        <w:t>Income tax expense for the year ended December 31, 2024, was $0.7 million compared to $0.9 million for the year ended December 31, 2023. The effective tax rates for the years ended December 31, 2024 and 2023, were (6.3)% and (33.5)%, respectively. The lower effective tax rate during the year ended December 31, 2024, compared to the year ended December 31, 2023, was primarily related to changes to tax attribute carryforwards, a decrease in the Company’s Global Intangible Low-Taxed Income (“GILTI”) inclusion, and a difference in the company’s excess tax benefits related to stock compensation. Our effective tax rate for the year ended December 31, 2024, was different than the U.S. statutory rate primarily due to changes in valuation allowances associated with our assessment of the likelihood of the recoverability of deferred tax assets and the impact of changes to prior year tax accruals. Our effective tax rate for the year ended December 31, 2023, was different than the U.S. statutory rate primarily due to the mix of forecasted income or losses in the U.S. and foreign tax jurisdictions, a GILTI inclusion to taxable income and the impact of changes to tax attribute carryforwards.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shelf registration statement that provides for the issuance of common stock, preferred stock, warrants and units up to an amount equal to $100 million (the “2024 Shelf Registration Statement”). Our expected cash outlays relate primarily to cash payments due under our Credit Agreement described below as well as salaries, inventory, and capital expenditures. We held cash and cash equivalents of $4.1 million and $4.3 million as of December 31, 2024 and December 31, 2023, respectively. Borrowings outstanding were $37.4 million and $37.1 million as of December 31, 2024 and December 31, 2023, respectively.</w:t>
      </w:r>
    </w:p>
    <w:p>
      <w:pPr>
        <w:spacing w:after="0" w:line="184"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The Coronavirus Aid, Relief, and Economic Security Act of 2020 (“CARES Act”) provided an employee retention tax credit (“ERTC”) that was a refundable tax credit against certain employer taxes. The Company received ERTC refunds of $3.2 million during the year ended December 31, 2024. In January 2025, the Company received an additional $1.0 million of ERTC refunds. The Company’s compliance with the program’s qualifications may be subject to audit until May 2028, which is when the statute of limitation expires.</w:t>
      </w:r>
    </w:p>
    <w:p>
      <w:pPr>
        <w:spacing w:after="0" w:line="180" w:lineRule="exact"/>
        <w:rPr>
          <w:sz w:val="20"/>
          <w:szCs w:val="20"/>
          <w:color w:val="auto"/>
        </w:rPr>
      </w:pPr>
    </w:p>
    <w:p>
      <w:pPr>
        <w:jc w:val="both"/>
        <w:ind w:firstLine="444"/>
        <w:spacing w:after="0" w:line="233" w:lineRule="auto"/>
        <w:rPr>
          <w:sz w:val="20"/>
          <w:szCs w:val="20"/>
          <w:color w:val="auto"/>
        </w:rPr>
      </w:pPr>
      <w:r>
        <w:rPr>
          <w:rFonts w:ascii="Times New Roman" w:cs="Times New Roman" w:eastAsia="Times New Roman" w:hAnsi="Times New Roman"/>
          <w:sz w:val="18"/>
          <w:szCs w:val="18"/>
          <w:color w:val="auto"/>
        </w:rPr>
        <w:t>We maintain a Credit Agreement that provides for a term loan of $40.0 million and a $25.0 million revolving credit facility both maturing on December 22, 2025. On March 28, 2024, we entered into an amendment to the Credit Agreement pursuant to which the Lenders and administrative agent modified the definition of Consolidated EBITDA used in the calculation of certain financial covenants to adjust for charges related to an abandoned property audit and commission fees in connection with our employee retention tax credit filings. On August 6, 2024, we entered into an amendment to the Credit Agreement that, among other things, modified the financial covenants relating to the consolidated net leverage ratio and consolidated fixed charge coverage ratio through the period ended December 31, 2024. The amendment also added a net leverage ratio requirement with respect to additional borrowing under our revolving credit facility and restrictions on certain additional indebtedness and investments. In addition, the applicable interest rate margin was increased by 50bps during such time as the consolidated net leverage ratio is greater than 3.0. We paid fees of $0.2 million to the Lenders in connection with the August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amendment.</w:t>
      </w:r>
    </w:p>
    <w:p>
      <w:pPr>
        <w:spacing w:after="0" w:line="201" w:lineRule="exact"/>
        <w:rPr>
          <w:sz w:val="20"/>
          <w:szCs w:val="20"/>
          <w:color w:val="auto"/>
        </w:rPr>
      </w:pPr>
    </w:p>
    <w:p>
      <w:pPr>
        <w:jc w:val="both"/>
        <w:ind w:firstLine="444"/>
        <w:spacing w:after="0" w:line="263" w:lineRule="auto"/>
        <w:rPr>
          <w:sz w:val="20"/>
          <w:szCs w:val="20"/>
          <w:color w:val="auto"/>
        </w:rPr>
      </w:pPr>
      <w:r>
        <w:rPr>
          <w:rFonts w:ascii="Times New Roman" w:cs="Times New Roman" w:eastAsia="Times New Roman" w:hAnsi="Times New Roman"/>
          <w:sz w:val="17"/>
          <w:szCs w:val="17"/>
          <w:color w:val="auto"/>
        </w:rPr>
        <w:t>We were not in compliance with the consolidated net leverage ratio covenant contained in the Credit Agreement as of the December 31, 2024 test date. On March 10, 2025, we entered into an amendment to the Credit Agreement (the “March 2025 Amendment”) pursuant to which the lenders and administrative agent agreed to waive such non-compliance, subject to the terms contained in the March 2025 Amendment. The March 2025 Amendment provides, among other things, that the lender’s commitment under our revolving credit facility is capped at the amount outstanding thereunder as of the date thereof and thus we are unable to make additional borrowings under our revolving credit facility. The March 2025 Amendment also establishes certain milestones with respect to the refinancing of the debt underlying the Credit Agreement (the “Refinancing”) and dates by which such milestones must be met. These milestones include: (1) continuing to retain an investment banker for the purpose of assisting with the consummation of the Refinancing; (2) by March 14, 2025, the engagement of a financial advisor acceptable to the administrative agent; (3) by April 30, 2025, the delivery to the administrative agent of an executed bona fide indication of interest from one or more potential lenders with respect to the Refinancing on terms and conditions acceptable to the administrative agent; (4) by May 23, 2025, the delivery to the administrative agent of a term sheet or commitment letter from one or more potential lenders that provides for the Refinancing on terms and conditions acceptable to the administrative agent; (5) by June 13, 2025, delivery to the administrative agent of:</w:t>
      </w:r>
    </w:p>
    <w:p>
      <w:pPr>
        <w:spacing w:after="0" w:line="8" w:lineRule="exact"/>
        <w:rPr>
          <w:sz w:val="20"/>
          <w:szCs w:val="20"/>
          <w:color w:val="auto"/>
        </w:rPr>
      </w:pPr>
    </w:p>
    <w:p>
      <w:pPr>
        <w:jc w:val="both"/>
        <w:ind w:firstLine="7"/>
        <w:spacing w:after="0" w:line="261" w:lineRule="auto"/>
        <w:tabs>
          <w:tab w:leader="none" w:pos="2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of sources and uses of transaction proceeds; and (ii) evidence that the potential lender’s conditions to closing (other than customary closing deliveries) of the Refinancing, such as business commitments, are satisfied; and (6) by June 30, 2025, the closing of the Refinancing. The lenders also agreed not to assert the financial covenants included in the Credit Agreement for the first quarter of fiscal year 2025 provided that we continue to comply with our payment obligations, achieve the refinancing milestones, maintain minimum liquidity (defined as the sum of (a) unrestricted cash and cash equivalents and</w:t>
      </w:r>
    </w:p>
    <w:p>
      <w:pPr>
        <w:spacing w:after="0" w:line="2" w:lineRule="exact"/>
        <w:rPr>
          <w:rFonts w:ascii="Times New Roman" w:cs="Times New Roman" w:eastAsia="Times New Roman" w:hAnsi="Times New Roman"/>
          <w:sz w:val="17"/>
          <w:szCs w:val="17"/>
          <w:color w:val="auto"/>
        </w:rPr>
      </w:pPr>
    </w:p>
    <w:p>
      <w:pPr>
        <w:jc w:val="both"/>
        <w:ind w:firstLine="7"/>
        <w:spacing w:after="0" w:line="269" w:lineRule="auto"/>
        <w:tabs>
          <w:tab w:leader="none" w:pos="26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by which the aggregate amount committed under the Company’s revolving credit facility exceeds the total amount drawn under the credit facility) of $3.5 million and provide the administrative agent with certain financial reports. In addition, pursuant to the terms of the March 2025 Amendment the applicable interest rate margin is increased such that interest rate is equal to a rate per annum based on the Secured Overnight Financing Rate (“SOFR”) plus 400 bps and amortization payments were revised so that a proportionate payment must be made on a monthly rather than a quarterly basis.</w:t>
      </w:r>
    </w:p>
    <w:p>
      <w:pPr>
        <w:spacing w:after="0" w:line="171"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If we are not able to comply with the terms and conditions of the March 2025 Amendment, or if we are otherwise unable to regain and maintain compliance with the covenants under the Credit Agreement, as amended, or are unsuccessful in obtaining waivers or amendments for any covenant in the future, in addition to other actions our lenders may require, the amounts outstanding under the Credit Agreement may become immediately due and payable. We paid fees of $0.1 million to the Lenders in connection with the March 2025 Amendment.</w:t>
      </w:r>
    </w:p>
    <w:p>
      <w:pPr>
        <w:spacing w:after="0" w:line="180"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We continue to take actions intended to improve liquidity, including actions related to cost containment and inventory reduction. Based on its current operating plans, the Company expects that its available cash and cash generated from operations will be sufficient to finance operations and capital expenditures while the Company works to refinance the Credit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Cash Flow Statements</w:t>
      </w: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21069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06930" cy="8255"/>
                    </a:xfrm>
                    <a:prstGeom prst="rect">
                      <a:avLst/>
                    </a:prstGeom>
                    <a:noFill/>
                  </pic:spPr>
                </pic:pic>
              </a:graphicData>
            </a:graphic>
          </wp:anchor>
        </w:drawing>
      </w:r>
    </w:p>
    <w:p>
      <w:pPr>
        <w:spacing w:after="0" w:line="7" w:lineRule="exact"/>
        <w:rPr>
          <w:sz w:val="20"/>
          <w:szCs w:val="20"/>
          <w:color w:val="auto"/>
        </w:rPr>
      </w:pPr>
    </w:p>
    <w:p>
      <w:pPr>
        <w:ind w:left="600"/>
        <w:spacing w:after="0"/>
        <w:tabs>
          <w:tab w:leader="none" w:pos="22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20320</wp:posOffset>
            </wp:positionV>
            <wp:extent cx="6414770"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4770" cy="135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600" w:type="dxa"/>
            <w:vAlign w:val="bottom"/>
            <w:tcBorders>
              <w:top w:val="single" w:sz="8" w:color="auto"/>
            </w:tcBorders>
          </w:tcPr>
          <w:p>
            <w:pPr>
              <w:jc w:val="right"/>
              <w:ind w:right="41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6"/>
                <w:szCs w:val="16"/>
                <w:color w:val="auto"/>
              </w:rPr>
            </w:pPr>
          </w:p>
        </w:tc>
        <w:tc>
          <w:tcPr>
            <w:tcW w:w="540" w:type="dxa"/>
            <w:vAlign w:val="bottom"/>
            <w:tcBorders>
              <w:top w:val="single" w:sz="8" w:color="auto"/>
            </w:tcBorders>
          </w:tcPr>
          <w:p>
            <w:pPr>
              <w:jc w:val="right"/>
              <w:ind w:right="35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14,028</w:t>
            </w:r>
          </w:p>
        </w:tc>
      </w:tr>
      <w:tr>
        <w:trPr>
          <w:trHeight w:val="213"/>
        </w:trPr>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3"/>
        </w:trPr>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(12,134)</w:t>
            </w:r>
          </w:p>
        </w:tc>
      </w:tr>
      <w:tr>
        <w:trPr>
          <w:trHeight w:val="232"/>
        </w:trPr>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07"/>
        </w:trPr>
        <w:tc>
          <w:tcPr>
            <w:tcW w:w="6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-439420</wp:posOffset>
            </wp:positionV>
            <wp:extent cx="6414770" cy="135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-160020</wp:posOffset>
            </wp:positionV>
            <wp:extent cx="6414770" cy="160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4770" cy="1606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6620" w:space="720"/>
            <w:col w:w="3900"/>
          </w:cols>
          <w:pgMar w:left="320" w:top="361" w:right="339" w:bottom="1440" w:gutter="0" w:footer="0" w:header="0"/>
        </w:sect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Cash provided by operations was $1.4 million and $14.0 million for the years ended December 31, 2024 and 2023, respectively. Cash flow from operations for the year ended December 31, 2024 was negatively impacted by $8.1 million as a result of a larger net loss for the period adjusted for non-cash items, along with a $7.7 million decrease due to changes in operating assets and liabilities, which was offset by the receipt of $3.2 million of employee retention tax credits.</w:t>
      </w:r>
    </w:p>
    <w:p>
      <w:pPr>
        <w:spacing w:after="0" w:line="180"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was $1.3 million for the year ended December 31, 2024, and consisted of $3.2 million of capital expenditures for manufacturing and information technology infrastructure and software development, offset by $1.9 million in proceeds from the sale of marketable equity securities. Cash used in investing activities was $1.8 million for the year ended December 31, 2023, and primarily consisted of $2.3 million of capital expenditures in manufacturing, information technology infrastructure, and capitalized software costs, offset by $0.5 million from proceeds from the sale our Hoefer product line.</w:t>
      </w:r>
    </w:p>
    <w:p>
      <w:pPr>
        <w:spacing w:after="0" w:line="184"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Cash used by financing activities was $0.1 million for the year ended December 31, 2024. During this period, debt outstanding under our credit facility increased by $0.2 million, due to net borrowings under our revolver of $6.2 million and payments of $6.0 million against the term loan. Additionally, we paid debt issuance costs of $0.2 million. We also received proceeds of $0.4 million from the exercise of stock options and employee stock purchase plan purchases and paid $0.6 million for taxes related to net share settlement of equity awards.</w:t>
      </w:r>
    </w:p>
    <w:p>
      <w:pPr>
        <w:spacing w:after="0" w:line="180" w:lineRule="exact"/>
        <w:rPr>
          <w:sz w:val="20"/>
          <w:szCs w:val="20"/>
          <w:color w:val="auto"/>
        </w:rPr>
      </w:pPr>
    </w:p>
    <w:p>
      <w:pPr>
        <w:jc w:val="both"/>
        <w:ind w:firstLine="444"/>
        <w:spacing w:after="0" w:line="257" w:lineRule="auto"/>
        <w:rPr>
          <w:sz w:val="20"/>
          <w:szCs w:val="20"/>
          <w:color w:val="auto"/>
        </w:rPr>
      </w:pPr>
      <w:r>
        <w:rPr>
          <w:rFonts w:ascii="Times New Roman" w:cs="Times New Roman" w:eastAsia="Times New Roman" w:hAnsi="Times New Roman"/>
          <w:sz w:val="18"/>
          <w:szCs w:val="18"/>
          <w:color w:val="auto"/>
        </w:rPr>
        <w:t>Cash used in financing activities was $12.1 million for the year ended December 31, 2023. During this period, we made term loan installments payments under the Credit Agreement of $4.1 million, with net payments of $6.4 million under the revolving credit facility. We also received proceeds of $0.9 million from the exercise of stock options and the employee stock purchase plan and paid $2.5 million for taxes related to net share settlement of equity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1"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Our international operations in some instances operate as a natural hedge as we sell our products in many countries and a substantial portion of our revenues, costs and expenses are denominated in foreign currencies, primarily the euro and the British pound. During the year ended December 31, 2024, changes in foreign currency exchange rates resulted in a favorable effect on revenues of $0.2 million and an unfavorable effect on expenses of $0.3 million.</w:t>
      </w:r>
    </w:p>
    <w:p>
      <w:pPr>
        <w:spacing w:after="0" w:line="178" w:lineRule="exact"/>
        <w:rPr>
          <w:sz w:val="20"/>
          <w:szCs w:val="20"/>
          <w:color w:val="auto"/>
        </w:rPr>
      </w:pPr>
    </w:p>
    <w:p>
      <w:pPr>
        <w:jc w:val="both"/>
        <w:ind w:firstLine="44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translation of foreign currency into U.S. dollars included as a component of comprehensive loss resulted in a (loss) gain of $(1.4) million and $1.5 million, respectively. In addition, the currency exchange rate fluctuations included as a component of net loss resulted in currency losses of $(0.2) million during both years ended December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Management Plans</w:t>
      </w:r>
    </w:p>
    <w:p>
      <w:pPr>
        <w:spacing w:after="0" w:line="221"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As of December 31, 2024, there was indebtedness of $37.4 million outstanding under our term loan and senior revolving credit facility (collectively, the “Credit Agreement”). We were not in compliance with the consolidated net leverage ratio covenant contained in the Credit Agreement as of the December 31, 2024 test date. On March 10, 2025, we entered into an amendment to the Credit Agreement (the “March 2025 Amendment”) pursuant to which the lenders and administrative agent agreed to waive such non-compliance, subject to the terms contained in the March 2025 Amendment. The March 2025 Amendment provides, among other things, that our failure to achieve certain refinancing milestones, including receipt of a term sheet or commitment letter from one or more potential lenders, by the dates provided in the March 2025 Amendment or our failure to consummate a refinancing of the Credit Agreement by June 30, 2025, would, in either case, constitute an event of default under the Credit Agreement. In such event, in addition to other actions our lenders may require, the amounts outstanding under the Credit Agreement may become immediately due and payable.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We are exploring alternative sources of capital that would allow us to refinance our outstanding indebtedness by June 30, 2025, in order to avoid default under the Credit Agreement, but our ability to access such other sources of capital is uncertain. There is no assurance that such capital will be available to us, be obtainable on commercially acceptable terms, or provide us with sufficient funds to meet our objectives. Based on our anticipated cash flows from operations, unless we are able to access other sources of capital or extend the date for repayment under the Credit Agreement, we will be unable to pay our debt obligations and fund our operations for at least twelve months from the date of issuance of the consolidated financial statements contained in this Annual Report on Form 10-K. As a result, there is substantial doubt about our ability to continue as a going concern.</w:t>
      </w:r>
    </w:p>
    <w:p>
      <w:pPr>
        <w:spacing w:after="0" w:line="183"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included in “Part IV, Item 15. Exhibits, Financial Statement Schedules” of this report, our consolidated financial statements include an explanatory paragraph that such financial statements were prepared assuming that we will continue as a going concern, continue our operations for the foreseeable future and realize assets and settle liabilities in the normal course of business. The financial statements do not give effect to any adjustments to the amounts and classification of assets and liabilities that may be necessary should we be unable to continue as a going concern. Such adjustments could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1" w:lineRule="exact"/>
        <w:rPr>
          <w:sz w:val="20"/>
          <w:szCs w:val="20"/>
          <w:color w:val="auto"/>
        </w:rPr>
      </w:pPr>
    </w:p>
    <w:p>
      <w:pPr>
        <w:jc w:val="both"/>
        <w:ind w:right="20" w:firstLine="444"/>
        <w:spacing w:after="0" w:line="276"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 Accounting Pronouncements” included in Note 2 to the Consolidated Financial Statements included in “Part IV, Item 15. Exhibits, Financial Statement Schedules”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1"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income taxes, litigation and other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following is one of the more significant judgments and estimates used in the preparation of our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Other Long-Lived Assets</w:t>
      </w:r>
    </w:p>
    <w:p>
      <w:pPr>
        <w:spacing w:after="0" w:line="223" w:lineRule="exact"/>
        <w:rPr>
          <w:sz w:val="20"/>
          <w:szCs w:val="20"/>
          <w:color w:val="auto"/>
        </w:rPr>
      </w:pPr>
    </w:p>
    <w:p>
      <w:pPr>
        <w:jc w:val="both"/>
        <w:ind w:firstLine="444"/>
        <w:spacing w:after="0" w:line="270" w:lineRule="auto"/>
        <w:rPr>
          <w:sz w:val="20"/>
          <w:szCs w:val="20"/>
          <w:color w:val="auto"/>
        </w:rPr>
      </w:pPr>
      <w:r>
        <w:rPr>
          <w:rFonts w:ascii="Times New Roman" w:cs="Times New Roman" w:eastAsia="Times New Roman" w:hAnsi="Times New Roman"/>
          <w:sz w:val="17"/>
          <w:szCs w:val="17"/>
          <w:color w:val="auto"/>
        </w:rPr>
        <w:t>Goodwill is tested for impairment annually or more frequently if events or changes in circumstances indicate that the asset might be impaired. The impairment analysis for goodwill consists of an qualitative assessment potentially followed by a quantitative analysis. If we determine that the carrying value of our reporting unit exceeds its fair value, an impairment charge to goodwill is recorded for the excess. The critical judgments involved in our annual qualitative test of goodwill include an assessment of unfavorable events and a judgment of whether those events put our goodwill at risk of impairment, which if determined to be at risk would require us to perform a quantitative test. The critical judgments and estimates in our quantitative tests for goodwill and long-lived assets include selection and weighting of available valuation methods and the selection of assumptions that may be used in those methods.</w:t>
      </w:r>
    </w:p>
    <w:p>
      <w:pPr>
        <w:spacing w:after="0" w:line="173"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determined that indicators of impairment were present for our goodwill and certain assets included in a long-lived asset group, including liquidity risk associated with inability to borrow under our Credit Agreement and reduced operating profits. Based on the quantitative analysis, we concluded that our goodwill and certain assets included in a long-lived asset group were not impaired due to the excess of fair value over the carrying value of these assets at December 31, 2024. Based on declines in our stock price subsequent to December 31, 2024, the carrying value of our stockholders’ equity currently exceeds its fair value, which could lead to future impairment.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w:t>
      </w:r>
    </w:p>
    <w:p>
      <w:pPr>
        <w:spacing w:after="0" w:line="223"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Our annual tax rate is based on income, statutory tax rates, tax reserve changes and tax planning opportunities available to us in the various jurisdictions in which we operate. We regularly assess the likelihood of tax adjustments in each of the tax jurisdictions in which we have operations and account for the related financial statement implications. We have established tax reserves that we believe are appropriate given the possibility of tax adjustments. Determining the appropriate level of tax reserves requires significant judgment regarding the uncertain application of tax laws. Reserves are adjusted when information becomes available or when an event occurs indicating a change in the reserve is appropriate. Changes in tax reserves could have a material impact on our financial condition or results of operations.</w:t>
      </w:r>
    </w:p>
    <w:p>
      <w:pPr>
        <w:spacing w:after="0" w:line="183"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Significant judgment is also required in determining the amount of deferred tax assets that will ultimately be realized and any corresponding deferred tax asset valuation allowance. When estimating the necessary valuation allowance, we consider all available evidence for each jurisdiction including historical operating results, estimates of future taxable income and the feasibility of ongoing tax planning strategies. If new information becomes available that would alter our estimate of the amount of deferred tax assets that will ultimately be realized, we adjust the valuation allowance through income tax expense. Changes in the deferred tax asset valuation allowance could have a material impact on our financial condition or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3"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financial statements referenced in “Part IV, Item 15. Exhibits, Financial Statement Schedules” of this report, which financial statements are appended to this report. An index of those financial statements is found on page F-1.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b w:val="1"/>
          <w:bCs w:val="1"/>
          <w:i w:val="1"/>
          <w:iCs w:val="1"/>
          <w:color w:val="auto"/>
        </w:rPr>
        <w:t>Controls and Procedures.</w:t>
      </w:r>
    </w:p>
    <w:p>
      <w:pPr>
        <w:spacing w:after="0" w:line="22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76" w:lineRule="exact"/>
        <w:rPr>
          <w:sz w:val="20"/>
          <w:szCs w:val="20"/>
          <w:color w:val="auto"/>
        </w:rPr>
      </w:pPr>
    </w:p>
    <w:p>
      <w:pPr>
        <w:ind w:left="480" w:hanging="473"/>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1"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Chief Financial Officer have concluded as a result of the material weaknesses described below that they believe that our disclosure controls and procedures were not effective, as of December 31, 2024, in providing reasonable assurance that information required to disclosed by us in the reports that we file or submit under the Exchange Act is accumulated and communicated to our management, including our Chief Executive Officer and Chief Financial Officer, to allow timely decisions regarding required disclosures, and is recorded, processed, summarized and reported within the time periods specified in the Securities and Exchange Commission’s rules and forms.</w:t>
      </w:r>
    </w:p>
    <w:p>
      <w:pPr>
        <w:spacing w:after="0" w:line="185" w:lineRule="exact"/>
        <w:rPr>
          <w:sz w:val="20"/>
          <w:szCs w:val="20"/>
          <w:color w:val="auto"/>
        </w:rPr>
      </w:pPr>
    </w:p>
    <w:p>
      <w:pPr>
        <w:ind w:left="480" w:hanging="473"/>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1"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 (3) provide reasonable assurance that receipts and expenditures are being made only in accordance with authorizations of management and directors, and (4) provide reasonable assurance regarding prevention or timely detection of unauthorized acquisition, use or disposition of assets that could have a material effect on the consolidated financial statements.</w:t>
      </w:r>
    </w:p>
    <w:p>
      <w:pPr>
        <w:spacing w:after="0" w:line="189"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78"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as of December 31, 2024, based on the framework in Internal Control — Integrated Framework issued by the Committee of Sponsoring Organizations of the Treadway Commission. Based on our evaluation under the framework in Internal Control — Integrated Framework, management concluded that our internal control over financial reporting was not effective, as of December 31, 2024, as a result of the material weaknesses described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w:t>
      </w:r>
    </w:p>
    <w:p>
      <w:pPr>
        <w:spacing w:after="0" w:line="221"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4"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Based on management’s assessment of our internal control over financial reporting, management determined that we did not design and maintain effective controls over (i) our order to cash cycle and (ii) our physical count of inventories. Specifically, we did not design and maintain effective manual controls over the processing and review of a substantial portion of our revenue transactions. Additionally, we did not design and maintain an effective cycle count program to verify quantities of inventories held at Company locations that account for a substantial portion of inventories. The timeliness, level of precision, and appropriate segregation of duties in our review processes over revenue transactions and our physical counts of inventories were not sufficient to prevent, detect, and correct potential misstatements in a timely manner. These material weaknesses did not result in any identified material misstatement in any of our previously filed interim or annual financial statements.</w:t>
      </w:r>
    </w:p>
    <w:p>
      <w:pPr>
        <w:spacing w:after="0" w:line="185"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Because of these material weaknesses, management concluded that the Company did not maintain effective internal controls over financial reporting as of December 31, 2024.</w:t>
      </w:r>
    </w:p>
    <w:p>
      <w:pPr>
        <w:spacing w:after="0" w:line="164"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also been audited by Grant Thornton LLP, our independent registered public accounting firm, as stated in their report, which is included below in Item 9A(e).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Activities</w:t>
      </w:r>
    </w:p>
    <w:p>
      <w:pPr>
        <w:spacing w:after="0" w:line="221"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In response to the material weaknesses, we implemented, and are continuing to implement, measures designed to improve our internal control over financial reporting. These efforts include:</w:t>
      </w:r>
    </w:p>
    <w:p>
      <w:pPr>
        <w:spacing w:after="0" w:line="164" w:lineRule="exact"/>
        <w:rPr>
          <w:sz w:val="20"/>
          <w:szCs w:val="20"/>
          <w:color w:val="auto"/>
        </w:rPr>
      </w:pPr>
    </w:p>
    <w:p>
      <w:pPr>
        <w:ind w:left="580" w:hanging="227"/>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and maintaining effective controls over the completeness and accuracy of inputs that are used in the order to cash cycle;</w:t>
      </w:r>
    </w:p>
    <w:p>
      <w:pPr>
        <w:spacing w:after="0" w:line="219" w:lineRule="exact"/>
        <w:rPr>
          <w:rFonts w:ascii="Times New Roman" w:cs="Times New Roman" w:eastAsia="Times New Roman" w:hAnsi="Times New Roman"/>
          <w:sz w:val="18"/>
          <w:szCs w:val="18"/>
          <w:color w:val="auto"/>
        </w:rPr>
      </w:pPr>
    </w:p>
    <w:p>
      <w:pPr>
        <w:ind w:left="580" w:hanging="227"/>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precision and frequency of the performance of the identified controls;</w:t>
      </w:r>
    </w:p>
    <w:p>
      <w:pPr>
        <w:spacing w:after="0" w:line="219" w:lineRule="exact"/>
        <w:rPr>
          <w:rFonts w:ascii="Times New Roman" w:cs="Times New Roman" w:eastAsia="Times New Roman" w:hAnsi="Times New Roman"/>
          <w:sz w:val="18"/>
          <w:szCs w:val="18"/>
          <w:color w:val="auto"/>
        </w:rPr>
      </w:pPr>
    </w:p>
    <w:p>
      <w:pPr>
        <w:ind w:left="580" w:hanging="227"/>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Retraining staff involved in the process to ensure controls are adequately performed on a timely basis;</w:t>
      </w:r>
    </w:p>
    <w:p>
      <w:pPr>
        <w:spacing w:after="0" w:line="219" w:lineRule="exact"/>
        <w:rPr>
          <w:rFonts w:ascii="Times New Roman" w:cs="Times New Roman" w:eastAsia="Times New Roman" w:hAnsi="Times New Roman"/>
          <w:sz w:val="18"/>
          <w:szCs w:val="18"/>
          <w:color w:val="auto"/>
        </w:rPr>
      </w:pPr>
    </w:p>
    <w:p>
      <w:pPr>
        <w:ind w:left="580" w:right="600" w:hanging="227"/>
        <w:spacing w:after="0" w:line="276"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formalizing, documenting and testing accounting processes and internal controls in the order to cash cycle and identify system controls that could supplement the manual reviews; and</w:t>
      </w:r>
    </w:p>
    <w:p>
      <w:pPr>
        <w:spacing w:after="0" w:line="163" w:lineRule="exact"/>
        <w:rPr>
          <w:rFonts w:ascii="Times New Roman" w:cs="Times New Roman" w:eastAsia="Times New Roman" w:hAnsi="Times New Roman"/>
          <w:sz w:val="18"/>
          <w:szCs w:val="18"/>
          <w:color w:val="auto"/>
        </w:rPr>
      </w:pPr>
    </w:p>
    <w:p>
      <w:pPr>
        <w:ind w:left="580" w:right="480" w:hanging="227"/>
        <w:spacing w:after="0" w:line="276"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the effectiveness of our cycle count program and controls while providing training on standard operating procedures and internal controls to employees responsible for the supply chain, logistics and inventory processes.</w:t>
      </w:r>
    </w:p>
    <w:p>
      <w:pPr>
        <w:spacing w:after="0" w:line="164"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and the controls operate for a sufficient period of time such that the effectiveness of those changes is demonstrated with an appropriate amount of consistency and management has concluded, through testing, that these controls are effective. We also may conclude that additional measures may be required to remediate the material weaknesses or determine to modify the remediation plans described above. Management believes that the remediation measures described above will be implemented in a manner such that the controls can be tested, and the identified material weaknesses can be determined to be remediated, however, no assurance can be made that such remediation will occur or that additional material weaknesses will not be identified.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Grant Thornton LLP has independently assessed the effectiveness of our internal control over financial reporting and its report is included below.</w:t>
      </w:r>
    </w:p>
    <w:p>
      <w:pPr>
        <w:spacing w:after="0" w:line="217" w:lineRule="exact"/>
        <w:rPr>
          <w:sz w:val="20"/>
          <w:szCs w:val="20"/>
          <w:color w:val="auto"/>
        </w:rPr>
      </w:pPr>
    </w:p>
    <w:p>
      <w:pPr>
        <w:ind w:left="480" w:hanging="473"/>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1"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Except for the remediation measures in connection with the material weaknesses described above, there has been no change in the Company's internal control over financial reporting as of December 31, 2024, that has materially affected, or is reasonably likely to materially affect, the Company's internal control over financial reporting.</w:t>
      </w:r>
    </w:p>
    <w:p>
      <w:pPr>
        <w:spacing w:after="0" w:line="176" w:lineRule="exact"/>
        <w:rPr>
          <w:sz w:val="20"/>
          <w:szCs w:val="20"/>
          <w:color w:val="auto"/>
        </w:rPr>
      </w:pPr>
    </w:p>
    <w:p>
      <w:pPr>
        <w:ind w:left="480" w:hanging="473"/>
        <w:spacing w:after="0"/>
        <w:tabs>
          <w:tab w:leader="none" w:pos="4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1"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left="480" w:hanging="473"/>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Harvard Bioscience,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weaknesses described in the following paragraphs on the achievement of the objectives of the control criteria, the Company has not maintained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COSO.</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did not design and maintain effective manual controls over the processing and review of a substantial portion of its revenue transactions. Additionally, the Company did not design and maintain an effective cycle count program to verify quantities of a substantial portion of its inventory. The timeliness, level of precision, and appropriate segregation of duties in review processes over revenue transactions and physical counts of inventory were not sufficient to prevent, detect, and correct potential misstatements in the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The material weaknesses identified above were considered in determining the nature, timing, and extent of audit tests applied in our audit of the 2024 consolidated financial statements, and this report does not affect our report dated March 13, 2025 which expressed an unqualified opinion on those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express an opinion or any other form of assurance on the remediation activities described in Management’s Report.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992"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Other Information.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2025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Executive Compensation.</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2025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2025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2025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Principal Accounting Fees and Services.</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2025 Annual Meeting of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Exhibits, Financial Statement Schedules.</w:t>
      </w:r>
    </w:p>
    <w:p>
      <w:pPr>
        <w:spacing w:after="0" w:line="223" w:lineRule="exact"/>
        <w:rPr>
          <w:sz w:val="20"/>
          <w:szCs w:val="20"/>
          <w:color w:val="auto"/>
        </w:rPr>
      </w:pPr>
    </w:p>
    <w:p>
      <w:pPr>
        <w:ind w:left="920" w:hanging="340"/>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 or incorporated by reference as indicated:</w:t>
      </w:r>
    </w:p>
    <w:p>
      <w:pPr>
        <w:spacing w:after="0" w:line="217" w:lineRule="exact"/>
        <w:rPr>
          <w:rFonts w:ascii="Times New Roman" w:cs="Times New Roman" w:eastAsia="Times New Roman" w:hAnsi="Times New Roman"/>
          <w:sz w:val="18"/>
          <w:szCs w:val="18"/>
          <w:color w:val="auto"/>
        </w:rPr>
      </w:pPr>
    </w:p>
    <w:p>
      <w:pPr>
        <w:ind w:left="1240" w:hanging="327"/>
        <w:spacing w:after="0" w:line="278"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Schedules, and Exhibits. </w:t>
      </w:r>
      <w:r>
        <w:rPr>
          <w:rFonts w:ascii="Times New Roman" w:cs="Times New Roman" w:eastAsia="Times New Roman" w:hAnsi="Times New Roman"/>
          <w:sz w:val="18"/>
          <w:szCs w:val="18"/>
          <w:color w:val="auto"/>
        </w:rPr>
        <w:t>We have listed our consolidated financial statements filed as part of this annual report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index to consolidated financial statements on page F-1.</w:t>
      </w:r>
    </w:p>
    <w:p>
      <w:pPr>
        <w:spacing w:after="0" w:line="160" w:lineRule="exact"/>
        <w:rPr>
          <w:rFonts w:ascii="Times New Roman" w:cs="Times New Roman" w:eastAsia="Times New Roman" w:hAnsi="Times New Roman"/>
          <w:sz w:val="18"/>
          <w:szCs w:val="18"/>
          <w:color w:val="auto"/>
        </w:rPr>
      </w:pPr>
    </w:p>
    <w:p>
      <w:pPr>
        <w:ind w:left="1240" w:hanging="327"/>
        <w:spacing w:after="0" w:line="278"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We have omitted all financial statement schedules because they are not applicable or not required or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included the necessary information in our consolidated financial statements or related notes.</w:t>
      </w:r>
    </w:p>
    <w:p>
      <w:pPr>
        <w:spacing w:after="0" w:line="160" w:lineRule="exact"/>
        <w:rPr>
          <w:rFonts w:ascii="Times New Roman" w:cs="Times New Roman" w:eastAsia="Times New Roman" w:hAnsi="Times New Roman"/>
          <w:sz w:val="18"/>
          <w:szCs w:val="18"/>
          <w:color w:val="auto"/>
        </w:rPr>
      </w:pPr>
    </w:p>
    <w:p>
      <w:pPr>
        <w:ind w:left="1240" w:hanging="327"/>
        <w:spacing w:after="0" w:line="278"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We have listed the exhibits filed as part of this annual report in the accompanying exhibit index, which follows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filed as part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Form 10-K Summary.</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66"/>
        </w:trPr>
        <w:tc>
          <w:tcPr>
            <w:tcW w:w="12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gridSpan w:val="3"/>
          </w:tcPr>
          <w:p>
            <w:pPr>
              <w:jc w:val="center"/>
              <w:ind w:right="1111"/>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80" w:type="dxa"/>
            <w:vAlign w:val="bottom"/>
          </w:tcPr>
          <w:p>
            <w:pPr>
              <w:jc w:val="center"/>
              <w:ind w:right="215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6"/>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760" w:type="dxa"/>
            <w:vAlign w:val="bottom"/>
            <w:gridSpan w:val="3"/>
          </w:tcPr>
          <w:p>
            <w:pPr>
              <w:jc w:val="center"/>
              <w:ind w:left="1311"/>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86"/>
        </w:trPr>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460" w:type="dxa"/>
            <w:vAlign w:val="bottom"/>
          </w:tcPr>
          <w:p>
            <w:pPr>
              <w:spacing w:after="0"/>
              <w:rPr>
                <w:sz w:val="24"/>
                <w:szCs w:val="24"/>
                <w:color w:val="auto"/>
              </w:rPr>
            </w:pPr>
          </w:p>
        </w:tc>
        <w:tc>
          <w:tcPr>
            <w:tcW w:w="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5"/>
              </w:rPr>
              <w:t>F-2</w:t>
            </w:r>
          </w:p>
        </w:tc>
      </w:tr>
      <w:tr>
        <w:trPr>
          <w:trHeight w:val="406"/>
        </w:trPr>
        <w:tc>
          <w:tcPr>
            <w:tcW w:w="41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F-3</w:t>
            </w:r>
          </w:p>
        </w:tc>
        <w:tc>
          <w:tcPr>
            <w:tcW w:w="60" w:type="dxa"/>
            <w:vAlign w:val="bottom"/>
          </w:tcPr>
          <w:p>
            <w:pPr>
              <w:spacing w:after="0"/>
              <w:rPr>
                <w:sz w:val="24"/>
                <w:szCs w:val="24"/>
                <w:color w:val="auto"/>
              </w:rPr>
            </w:pPr>
          </w:p>
        </w:tc>
      </w:tr>
      <w:tr>
        <w:trPr>
          <w:trHeight w:val="20"/>
        </w:trPr>
        <w:tc>
          <w:tcPr>
            <w:tcW w:w="20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6"/>
        </w:trPr>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1460" w:type="dxa"/>
            <w:vAlign w:val="bottom"/>
          </w:tcPr>
          <w:p>
            <w:pPr>
              <w:spacing w:after="0"/>
              <w:rPr>
                <w:sz w:val="24"/>
                <w:szCs w:val="24"/>
                <w:color w:val="auto"/>
              </w:rPr>
            </w:pPr>
          </w:p>
        </w:tc>
        <w:tc>
          <w:tcPr>
            <w:tcW w:w="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5"/>
              </w:rPr>
              <w:t>F-4</w:t>
            </w:r>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6"/>
        </w:trPr>
        <w:tc>
          <w:tcPr>
            <w:tcW w:w="3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Consolidated Statements of Comprehensive Loss</w:t>
            </w:r>
          </w:p>
        </w:tc>
        <w:tc>
          <w:tcPr>
            <w:tcW w:w="5840" w:type="dxa"/>
            <w:vAlign w:val="bottom"/>
            <w:gridSpan w:val="2"/>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F-5</w:t>
            </w:r>
          </w:p>
        </w:tc>
        <w:tc>
          <w:tcPr>
            <w:tcW w:w="60" w:type="dxa"/>
            <w:vAlign w:val="bottom"/>
          </w:tcPr>
          <w:p>
            <w:pPr>
              <w:spacing w:after="0"/>
              <w:rPr>
                <w:sz w:val="24"/>
                <w:szCs w:val="24"/>
                <w:color w:val="auto"/>
              </w:rPr>
            </w:pPr>
          </w:p>
        </w:tc>
      </w:tr>
      <w:tr>
        <w:trPr>
          <w:trHeight w:val="406"/>
        </w:trPr>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460" w:type="dxa"/>
            <w:vAlign w:val="bottom"/>
          </w:tcPr>
          <w:p>
            <w:pPr>
              <w:spacing w:after="0"/>
              <w:rPr>
                <w:sz w:val="24"/>
                <w:szCs w:val="24"/>
                <w:color w:val="auto"/>
              </w:rPr>
            </w:pPr>
          </w:p>
        </w:tc>
        <w:tc>
          <w:tcPr>
            <w:tcW w:w="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95"/>
              </w:rPr>
              <w:t>F-6</w:t>
            </w:r>
          </w:p>
        </w:tc>
      </w:tr>
      <w:tr>
        <w:trPr>
          <w:trHeight w:val="406"/>
        </w:trPr>
        <w:tc>
          <w:tcPr>
            <w:tcW w:w="28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660" w:type="dxa"/>
            <w:vAlign w:val="bottom"/>
            <w:tcBorders>
              <w:top w:val="single" w:sz="8" w:color="0000EE"/>
            </w:tcBorders>
            <w:gridSpan w:val="2"/>
          </w:tcPr>
          <w:p>
            <w:pPr>
              <w:spacing w:after="0"/>
              <w:rPr>
                <w:sz w:val="24"/>
                <w:szCs w:val="24"/>
                <w:color w:val="auto"/>
              </w:rPr>
            </w:pPr>
          </w:p>
        </w:tc>
        <w:tc>
          <w:tcPr>
            <w:tcW w:w="5840" w:type="dxa"/>
            <w:vAlign w:val="bottom"/>
            <w:gridSpan w:val="2"/>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F-7</w:t>
            </w:r>
          </w:p>
        </w:tc>
        <w:tc>
          <w:tcPr>
            <w:tcW w:w="60" w:type="dxa"/>
            <w:vAlign w:val="bottom"/>
          </w:tcPr>
          <w:p>
            <w:pPr>
              <w:spacing w:after="0"/>
              <w:rPr>
                <w:sz w:val="24"/>
                <w:szCs w:val="24"/>
                <w:color w:val="auto"/>
              </w:rPr>
            </w:pPr>
          </w:p>
        </w:tc>
      </w:tr>
      <w:tr>
        <w:trPr>
          <w:trHeight w:val="406"/>
        </w:trPr>
        <w:tc>
          <w:tcPr>
            <w:tcW w:w="31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Notes to Consolidated Financial Statements</w:t>
            </w:r>
          </w:p>
        </w:tc>
        <w:tc>
          <w:tcPr>
            <w:tcW w:w="622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F-8</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586"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Harvard Bioscience, Inc. (a Delaware corporation) and subsidiaries (the “Company”) as of December 31, 2024 and 2023, the related consolidated statements of operations,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Integrated Framework</w:t>
      </w:r>
      <w:r>
        <w:rPr>
          <w:rFonts w:ascii="Times New Roman" w:cs="Times New Roman" w:eastAsia="Times New Roman" w:hAnsi="Times New Roman"/>
          <w:sz w:val="17"/>
          <w:szCs w:val="17"/>
          <w:color w:val="auto"/>
        </w:rPr>
        <w:t xml:space="preserve"> issued by the Committee of Sponsoring Organizations of the Treadway Commission (“COSO”), and our report dated March 13, 2025, expressed an adverse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Matter - Going concern</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as of December 31, 2024, the Company was in default of certain debt covenants under its existing credit agreement, in which the Company had outstanding indebtedness of $37.4 million. On March 10, 2025, the Company entered into an amendment to its credit agreement pursuant to which the lenders and administrative agent agreed to waive such non-compliance provided that, among other things, the Company’s failure to achieve certain refinancing milestones and consummate a refinancing of its credit agreement by June 30, 2025, would constitute an event of default which would render the amounts outstanding under the credit agreement as immediately due and payable. The Company’s business plan, which is also described in Note 2, contemplates exploring alternatives to refinance its outstanding debt by June 30, 2025. However, the Company’s ability to refinance its debt by June 30, 2025, is uncertain and raises substantial doubt about its ability to continue as a going concern. The financial statements do not include any adjustments that might result from the outcome of this uncertainty.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48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HARVARD BIOSCIENCE, INC.</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4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20" w:type="dxa"/>
            <w:vAlign w:val="bottom"/>
            <w:gridSpan w:val="3"/>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7"/>
        </w:trPr>
        <w:tc>
          <w:tcPr>
            <w:tcW w:w="20" w:type="dxa"/>
            <w:vAlign w:val="bottom"/>
          </w:tcPr>
          <w:p>
            <w:pPr>
              <w:spacing w:after="0"/>
              <w:rPr>
                <w:sz w:val="16"/>
                <w:szCs w:val="16"/>
                <w:color w:val="auto"/>
              </w:rPr>
            </w:pPr>
          </w:p>
        </w:tc>
        <w:tc>
          <w:tcPr>
            <w:tcW w:w="46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w w:val="93"/>
              </w:rPr>
              <w:t>Assets</w:t>
            </w:r>
          </w:p>
        </w:tc>
        <w:tc>
          <w:tcPr>
            <w:tcW w:w="690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4,108</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4,283</w:t>
            </w:r>
          </w:p>
        </w:tc>
      </w:tr>
      <w:tr>
        <w:trPr>
          <w:trHeight w:val="213"/>
        </w:trPr>
        <w:tc>
          <w:tcPr>
            <w:tcW w:w="20" w:type="dxa"/>
            <w:vAlign w:val="bottom"/>
          </w:tcPr>
          <w:p>
            <w:pPr>
              <w:spacing w:after="0"/>
              <w:rPr>
                <w:sz w:val="18"/>
                <w:szCs w:val="18"/>
                <w:color w:val="auto"/>
              </w:rPr>
            </w:pPr>
          </w:p>
        </w:tc>
        <w:tc>
          <w:tcPr>
            <w:tcW w:w="73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14,866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16,099</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24,716</w:t>
            </w:r>
          </w:p>
        </w:tc>
      </w:tr>
      <w:tr>
        <w:trPr>
          <w:trHeight w:val="213"/>
        </w:trPr>
        <w:tc>
          <w:tcPr>
            <w:tcW w:w="20" w:type="dxa"/>
            <w:vAlign w:val="bottom"/>
          </w:tcPr>
          <w:p>
            <w:pPr>
              <w:spacing w:after="0"/>
              <w:rPr>
                <w:sz w:val="18"/>
                <w:szCs w:val="18"/>
                <w:color w:val="auto"/>
              </w:rPr>
            </w:pPr>
          </w:p>
        </w:tc>
        <w:tc>
          <w:tcPr>
            <w:tcW w:w="73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3,940</w:t>
            </w:r>
          </w:p>
        </w:tc>
      </w:tr>
      <w:tr>
        <w:trPr>
          <w:trHeight w:val="207"/>
        </w:trPr>
        <w:tc>
          <w:tcPr>
            <w:tcW w:w="20" w:type="dxa"/>
            <w:vAlign w:val="bottom"/>
          </w:tcPr>
          <w:p>
            <w:pPr>
              <w:spacing w:after="0"/>
              <w:rPr>
                <w:sz w:val="17"/>
                <w:szCs w:val="17"/>
                <w:color w:val="auto"/>
              </w:rPr>
            </w:pPr>
          </w:p>
        </w:tc>
        <w:tc>
          <w:tcPr>
            <w:tcW w:w="73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45,117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49,038</w:t>
            </w:r>
          </w:p>
        </w:tc>
      </w:tr>
      <w:tr>
        <w:trPr>
          <w:trHeight w:val="213"/>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3,981</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4,773</w:t>
            </w:r>
          </w:p>
        </w:tc>
      </w:tr>
      <w:tr>
        <w:trPr>
          <w:trHeight w:val="213"/>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57,065</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16,036</w:t>
            </w:r>
          </w:p>
        </w:tc>
      </w:tr>
      <w:tr>
        <w:trPr>
          <w:trHeight w:val="213"/>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6,473</w:t>
            </w:r>
          </w:p>
        </w:tc>
      </w:tr>
      <w:tr>
        <w:trPr>
          <w:trHeight w:val="247"/>
        </w:trPr>
        <w:tc>
          <w:tcPr>
            <w:tcW w:w="20" w:type="dxa"/>
            <w:vAlign w:val="bottom"/>
          </w:tcPr>
          <w:p>
            <w:pPr>
              <w:spacing w:after="0"/>
              <w:rPr>
                <w:sz w:val="21"/>
                <w:szCs w:val="21"/>
                <w:color w:val="auto"/>
              </w:rPr>
            </w:pPr>
          </w:p>
        </w:tc>
        <w:tc>
          <w:tcPr>
            <w:tcW w:w="73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2"/>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126,644</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137,366</w:t>
            </w:r>
          </w:p>
        </w:tc>
      </w:tr>
      <w:tr>
        <w:trPr>
          <w:trHeight w:val="153"/>
        </w:trPr>
        <w:tc>
          <w:tcPr>
            <w:tcW w:w="20" w:type="dxa"/>
            <w:vAlign w:val="bottom"/>
          </w:tcPr>
          <w:p>
            <w:pPr>
              <w:spacing w:after="0"/>
              <w:rPr>
                <w:sz w:val="13"/>
                <w:szCs w:val="13"/>
                <w:color w:val="auto"/>
              </w:rPr>
            </w:pPr>
          </w:p>
        </w:tc>
        <w:tc>
          <w:tcPr>
            <w:tcW w:w="7360" w:type="dxa"/>
            <w:vAlign w:val="bottom"/>
            <w:tcBorders>
              <w:top w:val="single" w:sz="8" w:color="CCEEFF"/>
            </w:tcBorders>
            <w:gridSpan w:val="4"/>
          </w:tcPr>
          <w:p>
            <w:pPr>
              <w:spacing w:after="0" w:line="154"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0" w:type="dxa"/>
            <w:vAlign w:val="bottom"/>
            <w:tcBorders>
              <w:top w:val="single" w:sz="8" w:color="CCEEFF"/>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73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80" w:type="dxa"/>
            <w:vAlign w:val="bottom"/>
            <w:gridSpan w:val="2"/>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36,956</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5,859</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5,554</w:t>
            </w:r>
          </w:p>
        </w:tc>
      </w:tr>
      <w:tr>
        <w:trPr>
          <w:trHeight w:val="213"/>
        </w:trPr>
        <w:tc>
          <w:tcPr>
            <w:tcW w:w="20" w:type="dxa"/>
            <w:vAlign w:val="bottom"/>
          </w:tcPr>
          <w:p>
            <w:pPr>
              <w:spacing w:after="0"/>
              <w:rPr>
                <w:sz w:val="18"/>
                <w:szCs w:val="18"/>
                <w:color w:val="auto"/>
              </w:rPr>
            </w:pPr>
          </w:p>
        </w:tc>
        <w:tc>
          <w:tcPr>
            <w:tcW w:w="73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4,508</w:t>
            </w:r>
          </w:p>
        </w:tc>
      </w:tr>
      <w:tr>
        <w:trPr>
          <w:trHeight w:val="213"/>
        </w:trPr>
        <w:tc>
          <w:tcPr>
            <w:tcW w:w="20" w:type="dxa"/>
            <w:vAlign w:val="bottom"/>
          </w:tcPr>
          <w:p>
            <w:pPr>
              <w:spacing w:after="0"/>
              <w:rPr>
                <w:sz w:val="18"/>
                <w:szCs w:val="18"/>
                <w:color w:val="auto"/>
              </w:rPr>
            </w:pPr>
          </w:p>
        </w:tc>
        <w:tc>
          <w:tcPr>
            <w:tcW w:w="73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10,621</w:t>
            </w:r>
          </w:p>
        </w:tc>
      </w:tr>
      <w:tr>
        <w:trPr>
          <w:trHeight w:val="207"/>
        </w:trPr>
        <w:tc>
          <w:tcPr>
            <w:tcW w:w="20" w:type="dxa"/>
            <w:vAlign w:val="bottom"/>
          </w:tcPr>
          <w:p>
            <w:pPr>
              <w:spacing w:after="0"/>
              <w:rPr>
                <w:sz w:val="17"/>
                <w:szCs w:val="17"/>
                <w:color w:val="auto"/>
              </w:rPr>
            </w:pPr>
          </w:p>
        </w:tc>
        <w:tc>
          <w:tcPr>
            <w:tcW w:w="73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54,958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26,542</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30,704</w:t>
            </w:r>
          </w:p>
        </w:tc>
      </w:tr>
      <w:tr>
        <w:trPr>
          <w:trHeight w:val="213"/>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776</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4,794</w:t>
            </w:r>
          </w:p>
        </w:tc>
      </w:tr>
      <w:tr>
        <w:trPr>
          <w:trHeight w:val="213"/>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1,476</w:t>
            </w:r>
          </w:p>
        </w:tc>
      </w:tr>
      <w:tr>
        <w:trPr>
          <w:trHeight w:val="207"/>
        </w:trPr>
        <w:tc>
          <w:tcPr>
            <w:tcW w:w="20" w:type="dxa"/>
            <w:vAlign w:val="bottom"/>
          </w:tcPr>
          <w:p>
            <w:pPr>
              <w:spacing w:after="0"/>
              <w:rPr>
                <w:sz w:val="17"/>
                <w:szCs w:val="17"/>
                <w:color w:val="auto"/>
              </w:rPr>
            </w:pPr>
          </w:p>
        </w:tc>
        <w:tc>
          <w:tcPr>
            <w:tcW w:w="736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63,304</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64,292</w:t>
            </w:r>
          </w:p>
        </w:tc>
      </w:tr>
      <w:tr>
        <w:trPr>
          <w:trHeight w:val="207"/>
        </w:trPr>
        <w:tc>
          <w:tcPr>
            <w:tcW w:w="2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 and contingencies - Note 16</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3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par value $0.01 per share,80,000,000 shares authorized:</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3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44,074,475 shares issued and outstanding at December 31, 2024;</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43,394,509 shares issued and outstanding at December 31, 2023</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w:t>
            </w:r>
          </w:p>
        </w:tc>
      </w:tr>
      <w:tr>
        <w:trPr>
          <w:trHeight w:val="213"/>
        </w:trPr>
        <w:tc>
          <w:tcPr>
            <w:tcW w:w="20" w:type="dxa"/>
            <w:vAlign w:val="bottom"/>
          </w:tcPr>
          <w:p>
            <w:pPr>
              <w:spacing w:after="0"/>
              <w:rPr>
                <w:sz w:val="18"/>
                <w:szCs w:val="18"/>
                <w:color w:val="auto"/>
              </w:rPr>
            </w:pPr>
          </w:p>
        </w:tc>
        <w:tc>
          <w:tcPr>
            <w:tcW w:w="73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236,579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232,435</w:t>
            </w:r>
          </w:p>
        </w:tc>
      </w:tr>
      <w:tr>
        <w:trPr>
          <w:trHeight w:val="213"/>
        </w:trPr>
        <w:tc>
          <w:tcPr>
            <w:tcW w:w="20" w:type="dxa"/>
            <w:vAlign w:val="bottom"/>
          </w:tcPr>
          <w:p>
            <w:pPr>
              <w:spacing w:after="0"/>
              <w:rPr>
                <w:sz w:val="18"/>
                <w:szCs w:val="18"/>
                <w:color w:val="auto"/>
              </w:rPr>
            </w:pPr>
          </w:p>
        </w:tc>
        <w:tc>
          <w:tcPr>
            <w:tcW w:w="73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r>
      <w:tr>
        <w:trPr>
          <w:trHeight w:val="213"/>
        </w:trPr>
        <w:tc>
          <w:tcPr>
            <w:tcW w:w="20" w:type="dxa"/>
            <w:vAlign w:val="bottom"/>
          </w:tcPr>
          <w:p>
            <w:pPr>
              <w:spacing w:after="0"/>
              <w:rPr>
                <w:sz w:val="18"/>
                <w:szCs w:val="18"/>
                <w:color w:val="auto"/>
              </w:rPr>
            </w:pPr>
          </w:p>
        </w:tc>
        <w:tc>
          <w:tcPr>
            <w:tcW w:w="73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(14,190)</w:t>
            </w:r>
          </w:p>
        </w:tc>
      </w:tr>
      <w:tr>
        <w:trPr>
          <w:trHeight w:val="207"/>
        </w:trPr>
        <w:tc>
          <w:tcPr>
            <w:tcW w:w="20" w:type="dxa"/>
            <w:vAlign w:val="bottom"/>
          </w:tcPr>
          <w:p>
            <w:pPr>
              <w:spacing w:after="0"/>
              <w:rPr>
                <w:sz w:val="17"/>
                <w:szCs w:val="17"/>
                <w:color w:val="auto"/>
              </w:rPr>
            </w:pPr>
          </w:p>
        </w:tc>
        <w:tc>
          <w:tcPr>
            <w:tcW w:w="73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63,340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73,074</w:t>
            </w:r>
          </w:p>
        </w:tc>
      </w:tr>
      <w:tr>
        <w:trPr>
          <w:trHeight w:val="207"/>
        </w:trPr>
        <w:tc>
          <w:tcPr>
            <w:tcW w:w="20" w:type="dxa"/>
            <w:vAlign w:val="bottom"/>
          </w:tcPr>
          <w:p>
            <w:pPr>
              <w:spacing w:after="0"/>
              <w:rPr>
                <w:sz w:val="17"/>
                <w:szCs w:val="17"/>
                <w:color w:val="auto"/>
              </w:rPr>
            </w:pPr>
          </w:p>
        </w:tc>
        <w:tc>
          <w:tcPr>
            <w:tcW w:w="73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80" w:type="dxa"/>
            <w:vAlign w:val="bottom"/>
            <w:gridSpan w:val="2"/>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126,644</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137,366</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5160" w:type="dxa"/>
            <w:vAlign w:val="bottom"/>
            <w:gridSpan w:val="2"/>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160" w:type="dxa"/>
            <w:vAlign w:val="bottom"/>
            <w:gridSpan w:val="2"/>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gridSpan w:val="2"/>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data)</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160" w:type="dxa"/>
            <w:vAlign w:val="bottom"/>
            <w:gridSpan w:val="2"/>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94,135</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0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39,369</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46,179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4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54,766</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66,071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21,493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 - Note 2</w:t>
            </w:r>
          </w:p>
        </w:tc>
        <w:tc>
          <w:tcPr>
            <w:tcW w:w="40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60,977</w:t>
            </w: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64,177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0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equity securities - Note 12</w:t>
            </w:r>
          </w:p>
        </w:tc>
        <w:tc>
          <w:tcPr>
            <w:tcW w:w="4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40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5160" w:type="dxa"/>
            <w:vAlign w:val="bottom"/>
            <w:gridSpan w:val="2"/>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5160" w:type="dxa"/>
            <w:vAlign w:val="bottom"/>
            <w:gridSpan w:val="2"/>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40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4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Basic and diluted</w:t>
            </w:r>
          </w:p>
        </w:tc>
        <w:tc>
          <w:tcPr>
            <w:tcW w:w="40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43,538</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(12,405)</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pension plans, net of tax benefit of $58 and $137, respectively</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 qualifying as cash flow hedges, net of tax of $-0-</w:t>
            </w:r>
          </w:p>
        </w:tc>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(13,885)</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22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42,082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229,008</w:t>
            </w:r>
          </w:p>
        </w:tc>
        <w:tc>
          <w:tcPr>
            <w:tcW w:w="3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3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3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72,220</w:t>
            </w: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 exercises</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506</w:t>
            </w:r>
          </w:p>
        </w:tc>
      </w:tr>
      <w:tr>
        <w:trPr>
          <w:trHeight w:val="213"/>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r>
      <w:tr>
        <w:trPr>
          <w:trHeight w:val="213"/>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862</w:t>
            </w:r>
          </w:p>
        </w:tc>
      </w:tr>
      <w:tr>
        <w:trPr>
          <w:trHeight w:val="213"/>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232,435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73,074</w:t>
            </w:r>
          </w:p>
        </w:tc>
      </w:tr>
      <w:tr>
        <w:trPr>
          <w:trHeight w:val="213"/>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 exercises</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r>
      <w:tr>
        <w:trPr>
          <w:trHeight w:val="213"/>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13"/>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w:t>
            </w:r>
          </w:p>
        </w:tc>
      </w:tr>
      <w:tr>
        <w:trPr>
          <w:trHeight w:val="213"/>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w:t>
            </w:r>
          </w:p>
        </w:tc>
      </w:tr>
      <w:tr>
        <w:trPr>
          <w:trHeight w:val="213"/>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236,579</w:t>
            </w:r>
          </w:p>
        </w:tc>
        <w:tc>
          <w:tcPr>
            <w:tcW w:w="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(158,010)</w:t>
            </w:r>
          </w:p>
        </w:tc>
        <w:tc>
          <w:tcPr>
            <w:tcW w:w="3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63,340</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1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1,473</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5,525</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280</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5,000</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10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336</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equity securities - Note 12</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632</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product line - Note 17</w:t>
            </w:r>
          </w:p>
        </w:tc>
        <w:tc>
          <w:tcPr>
            <w:tcW w:w="10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810</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1,524</w:t>
            </w:r>
          </w:p>
        </w:tc>
      </w:tr>
      <w:tr>
        <w:trPr>
          <w:trHeight w:val="213"/>
        </w:trPr>
        <w:tc>
          <w:tcPr>
            <w:tcW w:w="20" w:type="dxa"/>
            <w:vAlign w:val="bottom"/>
          </w:tcPr>
          <w:p>
            <w:pPr>
              <w:spacing w:after="0"/>
              <w:rPr>
                <w:sz w:val="18"/>
                <w:szCs w:val="18"/>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1,651</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3"/>
        </w:trPr>
        <w:tc>
          <w:tcPr>
            <w:tcW w:w="20" w:type="dxa"/>
            <w:vAlign w:val="bottom"/>
          </w:tcPr>
          <w:p>
            <w:pPr>
              <w:spacing w:after="0"/>
              <w:rPr>
                <w:sz w:val="18"/>
                <w:szCs w:val="18"/>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1,138</w:t>
            </w:r>
          </w:p>
        </w:tc>
      </w:tr>
      <w:tr>
        <w:trPr>
          <w:trHeight w:val="207"/>
        </w:trPr>
        <w:tc>
          <w:tcPr>
            <w:tcW w:w="20" w:type="dxa"/>
            <w:vAlign w:val="bottom"/>
          </w:tcPr>
          <w:p>
            <w:pPr>
              <w:spacing w:after="0"/>
              <w:rPr>
                <w:sz w:val="17"/>
                <w:szCs w:val="17"/>
                <w:color w:val="auto"/>
              </w:rPr>
            </w:pPr>
          </w:p>
        </w:tc>
        <w:tc>
          <w:tcPr>
            <w:tcW w:w="756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14,028</w:t>
            </w:r>
          </w:p>
        </w:tc>
      </w:tr>
      <w:tr>
        <w:trPr>
          <w:trHeight w:val="207"/>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product line</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512</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20" w:type="dxa"/>
            <w:vAlign w:val="bottom"/>
          </w:tcPr>
          <w:p>
            <w:pPr>
              <w:spacing w:after="0"/>
              <w:rPr>
                <w:sz w:val="17"/>
                <w:szCs w:val="17"/>
                <w:color w:val="auto"/>
              </w:rPr>
            </w:pPr>
          </w:p>
        </w:tc>
        <w:tc>
          <w:tcPr>
            <w:tcW w:w="756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07"/>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 from revolving line of credit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4,500</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term debt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930</w:t>
            </w:r>
          </w:p>
        </w:tc>
      </w:tr>
      <w:tr>
        <w:trPr>
          <w:trHeight w:val="213"/>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07"/>
        </w:trPr>
        <w:tc>
          <w:tcPr>
            <w:tcW w:w="20" w:type="dxa"/>
            <w:vAlign w:val="bottom"/>
          </w:tcPr>
          <w:p>
            <w:pPr>
              <w:spacing w:after="0"/>
              <w:rPr>
                <w:sz w:val="17"/>
                <w:szCs w:val="17"/>
                <w:color w:val="auto"/>
              </w:rPr>
            </w:pPr>
          </w:p>
        </w:tc>
        <w:tc>
          <w:tcPr>
            <w:tcW w:w="756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r>
      <w:tr>
        <w:trPr>
          <w:trHeight w:val="207"/>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07"/>
        </w:trPr>
        <w:tc>
          <w:tcPr>
            <w:tcW w:w="20" w:type="dxa"/>
            <w:vAlign w:val="bottom"/>
          </w:tcPr>
          <w:p>
            <w:pPr>
              <w:spacing w:after="0"/>
              <w:rPr>
                <w:sz w:val="17"/>
                <w:szCs w:val="17"/>
                <w:color w:val="auto"/>
              </w:rPr>
            </w:pPr>
          </w:p>
        </w:tc>
        <w:tc>
          <w:tcPr>
            <w:tcW w:w="7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3"/>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4,508</w:t>
            </w:r>
          </w:p>
        </w:tc>
      </w:tr>
      <w:tr>
        <w:trPr>
          <w:trHeight w:val="247"/>
        </w:trPr>
        <w:tc>
          <w:tcPr>
            <w:tcW w:w="20" w:type="dxa"/>
            <w:vAlign w:val="bottom"/>
          </w:tcPr>
          <w:p>
            <w:pPr>
              <w:spacing w:after="0"/>
              <w:rPr>
                <w:sz w:val="21"/>
                <w:szCs w:val="21"/>
                <w:color w:val="auto"/>
              </w:rPr>
            </w:pPr>
          </w:p>
        </w:tc>
        <w:tc>
          <w:tcPr>
            <w:tcW w:w="7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4,108</w:t>
            </w:r>
          </w:p>
        </w:tc>
        <w:tc>
          <w:tcPr>
            <w:tcW w:w="11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4,283</w:t>
            </w:r>
          </w:p>
        </w:tc>
      </w:tr>
      <w:tr>
        <w:trPr>
          <w:trHeight w:val="193"/>
        </w:trPr>
        <w:tc>
          <w:tcPr>
            <w:tcW w:w="20" w:type="dxa"/>
            <w:vAlign w:val="bottom"/>
          </w:tcPr>
          <w:p>
            <w:pPr>
              <w:spacing w:after="0"/>
              <w:rPr>
                <w:sz w:val="16"/>
                <w:szCs w:val="16"/>
                <w:color w:val="auto"/>
              </w:rPr>
            </w:pPr>
          </w:p>
        </w:tc>
        <w:tc>
          <w:tcPr>
            <w:tcW w:w="756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7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3,235</w:t>
            </w:r>
          </w:p>
        </w:tc>
        <w:tc>
          <w:tcPr>
            <w:tcW w:w="11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3,795</w:t>
            </w: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5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40" w:type="dxa"/>
            <w:vAlign w:val="bottom"/>
          </w:tcPr>
          <w:p>
            <w:pPr>
              <w:jc w:val="right"/>
              <w:ind w:right="875"/>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(159)</w:t>
            </w:r>
          </w:p>
        </w:tc>
        <w:tc>
          <w:tcPr>
            <w:tcW w:w="1180" w:type="dxa"/>
            <w:vAlign w:val="bottom"/>
            <w:gridSpan w:val="2"/>
          </w:tcPr>
          <w:p>
            <w:pPr>
              <w:jc w:val="right"/>
              <w:ind w:right="9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1"/>
              <w:spacing w:after="0" w:line="194" w:lineRule="exact"/>
              <w:rPr>
                <w:sz w:val="20"/>
                <w:szCs w:val="20"/>
                <w:color w:val="auto"/>
              </w:rPr>
            </w:pPr>
            <w:r>
              <w:rPr>
                <w:rFonts w:ascii="Times New Roman" w:cs="Times New Roman" w:eastAsia="Times New Roman" w:hAnsi="Times New Roman"/>
                <w:sz w:val="18"/>
                <w:szCs w:val="18"/>
                <w:color w:val="auto"/>
              </w:rPr>
              <w:t>207</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480" w:hanging="473"/>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1"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Harvard Bioscience, Inc., a Delaware corporation (the “Company”),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The Company’s products and services are sold globally to customers ranging from renowned academic institutions and government laboratories to the world’s leading pharmaceutical, biotechnology and contract research organizations (“CROs”). With operations in the United States, Europe and China, the Company sells through a combination of direct and distribution channels to customers around the world.</w:t>
      </w:r>
    </w:p>
    <w:p>
      <w:pPr>
        <w:spacing w:after="0" w:line="208" w:lineRule="exact"/>
        <w:rPr>
          <w:sz w:val="20"/>
          <w:szCs w:val="20"/>
          <w:color w:val="auto"/>
        </w:rPr>
      </w:pPr>
    </w:p>
    <w:p>
      <w:pPr>
        <w:ind w:left="480" w:right="7420" w:hanging="473"/>
        <w:spacing w:after="0" w:line="495" w:lineRule="auto"/>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Principles of Consolidation</w:t>
      </w:r>
    </w:p>
    <w:p>
      <w:pPr>
        <w:spacing w:after="0" w:line="1"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Harvard Bioscience, Inc. and its wholly owned subsidiaries. All intercompany balances and transactions have been eliminated in consolidation.</w:t>
      </w:r>
    </w:p>
    <w:p>
      <w:pPr>
        <w:spacing w:after="0" w:line="164"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for the fiscal year ended December 31, 2024, have been prepared assuming that the Company will continue as a going concern. A going-concern basis assumes that the Company will continue its operations for the foreseeable future and contemplates the realization of assets and the settlement of liabilities in the normal course of business. As noted below, there is substantial doubt about the Company’s ability to continue as a going concern.</w:t>
      </w:r>
    </w:p>
    <w:p>
      <w:pPr>
        <w:spacing w:after="0" w:line="180"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As of December 31, 2024, there was indebtedness of $37.4 million outstanding under the Company's term loan and senior revolving credit facility (collectively, the “Credit Agreement”). The Company was not in compliance with the consolidated net leverage ratio covenant contained in the Credit Agreement as of the December 31, 2024 test date. On March 10, 2025, the Company entered into an amendment to the Credit Agreement (the “March 2025 Amendment”) pursuant to which the lenders and administrative agent agreed to waive such non-compliance, subject to the terms contained in the March 2025 Amendment. The March 2025 Amendment provides, among other things, that the Company's failure to achieve certain refinancing milestones, including receipt of a term sheet or commitment letter from one or more potential lenders, by the dates provided in the March 2025 Amendment or the Company's failure to consummate a refinancing of the Credit Agreement by June 30, 2025, would, in either case, constitute an event of default under the Credit Agreement. In such event, in addition to other actions the lenders may require, the amounts outstanding under the Credit Agreement may become immediately due and payable.</w:t>
      </w:r>
    </w:p>
    <w:p>
      <w:pPr>
        <w:spacing w:after="0" w:line="192" w:lineRule="exact"/>
        <w:rPr>
          <w:sz w:val="20"/>
          <w:szCs w:val="20"/>
          <w:color w:val="auto"/>
        </w:rPr>
      </w:pPr>
    </w:p>
    <w:p>
      <w:pPr>
        <w:jc w:val="both"/>
        <w:ind w:firstLine="480"/>
        <w:spacing w:after="0" w:line="270" w:lineRule="auto"/>
        <w:rPr>
          <w:sz w:val="20"/>
          <w:szCs w:val="20"/>
          <w:color w:val="auto"/>
        </w:rPr>
      </w:pPr>
      <w:r>
        <w:rPr>
          <w:rFonts w:ascii="Times New Roman" w:cs="Times New Roman" w:eastAsia="Times New Roman" w:hAnsi="Times New Roman"/>
          <w:sz w:val="17"/>
          <w:szCs w:val="17"/>
          <w:color w:val="auto"/>
        </w:rPr>
        <w:t>The Company is exploring alternative sources of capital that would allow it to refinance the outstanding indebtedness by June 30, 2025, in order to avoid default under the Credit Agreement, but its ability to access such other sources of capital is uncertain. There is no assurance that such capital will be available, be obtainable on commercially acceptable terms, or provide the Company with sufficient funds to meet its objectives. Based on its anticipated cash flows from operations, unless the Company is able to access other sources of capital or extend the date for repayment under the Credit Agreement, the Company will be unable to pay its debt obligations and fund its operations for at least twelve months from the date of issuance of the consolidated financial statements contained in this Annual Report on Form 10-K. As a result, there is substantial doubt about the Company's ability to continue as a going concern.</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3"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lower of cost or net realizable value, stock-based compensation expense, and the recoverability of long-lived and intangible assets, including goodwill. On an ongoing basis, the Company assesses its previous estimates based upon currently available information. Actual results could differ materially from those estimates.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Nature of contracts and customers</w:t>
      </w:r>
    </w:p>
    <w:p>
      <w:pPr>
        <w:spacing w:after="0" w:line="221"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Company’s customers are primarily research scientists at pharmaceutical and biotechnology companies, universities, hospitals, government laboratories and contract research organizations. The Company also has global and regional distribution partners, and original equipment manufacturer customers who incorporate its products into their products under their own brands.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1"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The Company’s performance obligations under its revenue contracts consist of its instruments, equipment, accessories, consumables, services, software licenses and enhancements,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relative standalone selling price, which does not materially differ from the stated price in the contract. In general, the Company’s list prices are indicative of standalone selling price, and the majority of the Company's contracts have a term of less than one year.</w:t>
      </w:r>
    </w:p>
    <w:p>
      <w:pPr>
        <w:spacing w:after="0" w:line="185"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the right to payment and the customer has legal title to the asset and the customer or their selected carrier has possession, which is typically upon shipment. Sales of these items are therefore generally recognized at a point in time.</w:t>
      </w:r>
    </w:p>
    <w:p>
      <w:pPr>
        <w:spacing w:after="0" w:line="180"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The Company’s consumables revenue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 as the discounted price represents the standalone selling price of the reprocessed implantable monitor.</w:t>
      </w:r>
    </w:p>
    <w:p>
      <w:pPr>
        <w:spacing w:after="0" w:line="189"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Service revenue consists of installation, training, data analysis and surgeries performed on research animals. Service revenue is recognized when the service is performed. Maintenance revenue consists of post-contract support provided in relation to software that is embedded within the equipment that is sold to the customer. The Company provides standard warranties that promise the customer that the product will work as promised and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maintenance and warranty contracts are recognized over time. The Company uses the input method to recognize revenue over time, which is generally on a straight-line basis over the service period.</w:t>
      </w:r>
    </w:p>
    <w:p>
      <w:pPr>
        <w:spacing w:after="0" w:line="185"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1"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The Company’s payment terms are generally from zero to sixty days from the time of invoicing, which occurs at the time of shipment or prior to services being performed. Payment terms vary by the type of customers and the products or services offered.</w:t>
      </w:r>
    </w:p>
    <w:p>
      <w:pPr>
        <w:spacing w:after="0" w:line="164"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164"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In certain subsidiaries the Company provides sales commissions to sales representatives based on annual sales volume. The Company has determined that the incentive portion of its sales commissions qualify as contract costs. The Company has elected the practical expedient in ASC 340-40-25-4 to expense sales commissions when incurred as the amortization period of the asset that would otherwise have been recognized is one year or less.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1"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Company records contract liabilities when cash is collected from customers prior to satisfaction of the Company’s performance obligation to the customer. Contract liabilities consist of amounts deferred related to service contracts and revenue deferred as a result of payments received in advance from customers. Contract liabilities are generally expected to be recognized within one year.</w:t>
      </w:r>
    </w:p>
    <w:p>
      <w:pPr>
        <w:spacing w:after="0" w:line="178"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amounts included in contract liabilities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for which they have made a prepayment.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3 for revenue disaggregated by type and by geographic location as well as further information about contract liabilities.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The Company has cash holdings in financial institutions that exceed insured limits for such financial institutions. The Company mitigates this risk by utilizing financial institutions of high credit quality.</w:t>
      </w:r>
    </w:p>
    <w:p>
      <w:pPr>
        <w:spacing w:after="0" w:line="178"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Approximately 66% of the Company’s cash and cash equivalents at December 31, 2024, was held by the Company’s foreign subsidiaries and subject to repatriation tax considerations. These foreign funds were held primarily by subsidiaries in the United Kingdom, Germany and Spain.</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Equity securities traded in active markets are marked to market at each balance sheet date based on prices as quoted on the relevant stock exchange. Fair value mark-to-market adjustments are recorded as non-operating gains (losses) in the consolidated statement of operations. The Company’s investments in marketable equity securities are classified in the consolidated balance sheet based on the nature of the securities and their availability for use in current operations.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 on Receivables</w:t>
      </w:r>
    </w:p>
    <w:p>
      <w:pPr>
        <w:spacing w:after="0" w:line="223"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The allowance for expected credit losses on receivables is used to present accounts receivable, net, at an amount that represents the Company’s estimate of the receivables expected to be collected from customers. The allowance represents an estimate of expected credit losses over the lifetime of the receivables, even if the loss is considered remote, and reflects expected recoveries of amounts previously written off. The Company estimates the allowance on the basis of specifically identified receivables that are evaluated individually for impairment and an analysis of the remaining receivables determined by reference to past default experience. The Company considers the need to adjust historical information to reflect the extent to which current conditions and reasonable forecasts are expected to differ from the conditions that existed for the historical period considered. Losses on receivables have not historically been significant.</w:t>
      </w:r>
    </w:p>
    <w:p>
      <w:pPr>
        <w:spacing w:after="0" w:line="185"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Management judgments are used to determine when to charge off uncollectible trade accounts receivable. The Company bases these judgments on the age of the receivable, credit quality of the customer, current economic conditions, and other factors that may affect a customer’s ability and intent to pay. Customers are generally not required to provide collateral for purchases.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Company values inventories at the lower of cost (determined on a first-in, first-out method) or net realizable value. The Company regularly reviews inventory quantities on hand and writes down excess and obsolete inventories to estimated net realizable value if less than cost, based primarily on historical inventory usage and estimated forecast of product demand.</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plant and equipment are stated at cost and depreciated using the straight-line method over the estimated useful lives of the assets as follows:</w:t>
      </w:r>
    </w:p>
    <w:p>
      <w:pPr>
        <w:spacing w:after="0" w:line="249"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and automobiles (years)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(years)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 (years)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 lease term or estimated useful life of the asset.</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w:t>
      </w:r>
    </w:p>
    <w:p>
      <w:pPr>
        <w:spacing w:after="0" w:line="22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Software development costs for software products to be sold, leased or otherwise marketed that are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w:t>
      </w:r>
    </w:p>
    <w:p>
      <w:pPr>
        <w:spacing w:after="0" w:line="178"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3"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Goodwill acquired in a business combination and determined to have an indefinite useful life is not amortized, but instead is tested for impairment annually or more frequently if events or changes in circumstances indicate that the asset might be impaired.</w:t>
      </w:r>
    </w:p>
    <w:p>
      <w:pPr>
        <w:spacing w:after="0" w:line="164"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For the purpose of its goodwill analysis, the Company has one reporting unit. The Company conducts its annual impairment analysis in the fourth quarter of the fiscal year and more frequently if there is an indicator of impairment. The Company assesses qualitative factors of the reporting unit to determine whether it is more likely than not that the fair value of the reporting unit is less than its carrying value. If the qualitative assessment indicates a potential impairment, a quantitative analysis is performed. The Company compares the fair value of the reporting unit with its carrying amount. The Company typically estimates fair value using market approaches but will also consider the income approach when appropriate. If the carrying amount of a reporting unit exceeds its fair value, goodwill is impaired, and the Company would recognize a loss equal to the excess.</w:t>
      </w:r>
    </w:p>
    <w:p>
      <w:pPr>
        <w:spacing w:after="0" w:line="183"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as a result of the Company’s underperformance of recent operating results and liquidity risk and the current macroeconomic conditions impacting the life sciences industries, the Company assessed the current and future economic outlook and identified indicators for impairment of goodwill. Based on the quantitative analysis, the Company concluded that goodwill was not impaired due to the excess of fair value over the carrying value of the reporting unit. Based on declines in the Company’s stock price subsequent to December 31, 2024, the carrying value of stockholders’ equity currently exceeds its fair value, which could lead to future impairment.</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Intangible assets are comprised of existing technology, customer contracts and contractual relationships, and other definite-lived intangible assets. Identifiable intangible assets resulting from the acquisitions of entities accounted for using the purchase method of accounting are estimated by the Company based on the fair value of assets received. Identifiable definite-lived intangible assets are being amortized over the period of estimated benefit using the straight-line method and estimated useful lives ranging from four to fifteen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Company assesses recoverability of its long-lived assets that are held for use, such as property, plant and equipment and amortizable intangible assets when events or changes in circumstances indicate that the carrying amount of an asset or asset group may not be recoverable. Factors which could trigger an impairment review include significant negative industry or economic trends, significant loss of clients, and significant changes in the manner of the Company’s use of the assets or the strategy for its overall business.</w:t>
      </w:r>
    </w:p>
    <w:p>
      <w:pPr>
        <w:spacing w:after="0" w:line="180"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The Company’s estimate of future cash flows requires significant judgment based on historical and anticipated results and are subject to many factors.</w:t>
      </w:r>
    </w:p>
    <w:p>
      <w:pPr>
        <w:spacing w:after="0" w:line="180"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7"/>
          <w:szCs w:val="17"/>
          <w:color w:val="auto"/>
        </w:rPr>
        <w:t>When the Company determines that the carrying value of the assets may not be recoverable based upon the existence of one or more of the above indicators of impairment, the Company measures the potential impairment based on a projected discounted cash flow method using a discount rate determined by management to be commensurate with the risk inherent in its current business model. An impairment loss is recognized only if the carrying amount of the asset is not recoverable and exceeds its fair value. Different assumptions and judgments could materially affect the calculation of the fair value of the Company's assets. For the year ended December 31, 2024, the Company concluded that there were triggering events requiring the Company to assess the recoverability of its long-lived assets. Based on its recoverability assessment, the Company determined that there was no impairment. If future operating performance of the reporting units is not consistent with these assumptions, the Company could be required to record non-cash impairment charges.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3"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If a loss is probable and the loss or range of loss cannot be reasonably estimated, the Company discloses or states that such an estimate cannot be made. Refer to Note 16 Commitments and Contingencies for additional information. The Company accrues and expenses legal costs associated with contingencies when incurred.</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Company uses interest-rate-related derivative instruments to manage its exposure related to changes in interest rates on its variable-rate debt instruments. The Company only enters into derivative contracts that it intends to designate as a hedge of a forecasted transaction or the variability of cash flows to be received or paid related to a recognized asset or liability (cash flow hedge) and does not use derivative financial instruments for trading or speculative purposes. The Company recognizes all derivative instruments as either assets or liabilities in the balance sheet at their respective fair values.</w:t>
      </w:r>
    </w:p>
    <w:p>
      <w:pPr>
        <w:spacing w:after="0" w:line="180"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For derivative instruments that are designated and qualify as part of a cash flow hedging relationship, the effective portion of the gain or loss on the derivative is reported as a component of other comprehensive income (loss) (“OCI”)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5"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By using derivative financial instruments to hedge exposure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major financial institutions based upon their credit profile. Market risk has an adverse effect on the value of a derivative instrument that results from a change in interest rates. The market risk associated with interest-rate contracts is managed by establishing and monitoring parameters that limit the types and degree of market risk that may be undertaken. 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for the Company to control the use of the identified property, plant or equipment for a period of time in exchange for consideration. Leases with an initial term of 12 months or less are not recorded on the balance sheet. The Company recognizes these lease expenses on a straight-line basis over the lease term.</w:t>
      </w:r>
    </w:p>
    <w:p>
      <w:pPr>
        <w:spacing w:after="0" w:line="180"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64"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the leases’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terms in our leases may include options to extend or terminate the lease. We recognize ROU assets and liabilities when it is reasonably certain that we will exercise those options. Judgement is required in our assessment as to whether renewal or termination options are reasonably certain to be exercised and factors such as contractual terms compared to current market rates and the importance of the facility and location to our operations, among others, are considered. The Company has lease agreements with lease and non-lease components, which are generally accounted for separately.</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from stockholders. As of December 31, 2024, and 2023, the Company had no preferred stock issued or outstanding.</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3"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The Company recognizes compensation expense for all stock-based payment awards made to employees and directors including stock options, restricted stock units, and restricted stock units with a market or performance condition. The Company issues awards under the 2021 Incentive Plan (the “2021 Incentive Plan”) and the Fourth Amended and Restated 2000 Stock Option and Incentive Plan (the “2000 Incentive Plan,” together with the 2021 Incentive Plan, together referred to as the “Incentive Plans”), as well as issues shares for employee stock purchases related to its Employee Stock Purchase Plan (as amended, the “ESPP”). The Company issues new shares from its registered but unissued stock pool to satisfy stock option exercises and vesting of the restricted stock units. Stock-based compensation expense is recorded on a straight-line basis over the applicable service period, which ranges from one to four years. The Company has elected as an accounting policy to account for forfeitures for service-based awards as they occur, with no adjustment for estimated forfeitures.</w:t>
      </w:r>
    </w:p>
    <w:p>
      <w:pPr>
        <w:spacing w:after="0" w:line="187"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The fair value of restricted stock units is based on the market price of the Company’s stock on the date of grant. The Company values restricted stock units with a market condition using a Monte-Carlo valuation simulation. The determination of fair value of stock-based payment awards on the date of grant using a Monte-Carlo valuation simulation is affected by the Company’s stock price as well as assumptions regarding certain variables including, but are not limited to, the Company’s expected stock price volatility over the term of the awards, interest rate assumptions, and discounts to adjust for any holding period post-vest restrictions.</w:t>
      </w:r>
    </w:p>
    <w:p>
      <w:pPr>
        <w:spacing w:after="0" w:line="184"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3"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 The Company uses the flow-through method to account for investment tax credits. Under this method, the investment tax credits are recognized as a reduction of income tax expense.</w:t>
      </w:r>
    </w:p>
    <w:p>
      <w:pPr>
        <w:spacing w:after="0" w:line="18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 The Company’s policy is to account for Global Intangible Low-Taxed income (“GILTI”) as a period cost.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3"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Comprehensive income (loss) represents the change in equity resulting from items other than shareholder investments and distributions. The Company’s foreign currency translation adjustments, interest rate swap - cash flow hedge and minimum pension liability adjustments are included in accumulated other comprehensive income (“AOCI”). The components of other comprehensive income are reclassified as net income, net of tax, when the underlying component impacts earnings. Comprehensive income (loss) and the components of AOCI are presented in the accompanying consolidated statements of comprehensive loss and consolidated statements of equity.</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Financial reporting standards define a fair value hierarchy that consists of three levels:</w:t>
      </w:r>
    </w:p>
    <w:p>
      <w:pPr>
        <w:spacing w:after="0" w:line="219" w:lineRule="exact"/>
        <w:rPr>
          <w:sz w:val="20"/>
          <w:szCs w:val="20"/>
          <w:color w:val="auto"/>
        </w:rPr>
      </w:pPr>
    </w:p>
    <w:p>
      <w:pPr>
        <w:ind w:left="960" w:hanging="474"/>
        <w:spacing w:after="0" w:line="27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includes instruments for which quoted prices in active markets for identical assets or liabilities accessible to the Company at the measurement date.</w:t>
      </w:r>
    </w:p>
    <w:p>
      <w:pPr>
        <w:spacing w:after="0" w:line="163" w:lineRule="exact"/>
        <w:rPr>
          <w:rFonts w:ascii="Times New Roman" w:cs="Times New Roman" w:eastAsia="Times New Roman" w:hAnsi="Times New Roman"/>
          <w:sz w:val="18"/>
          <w:szCs w:val="18"/>
          <w:color w:val="auto"/>
        </w:rPr>
      </w:pPr>
    </w:p>
    <w:p>
      <w:pPr>
        <w:jc w:val="both"/>
        <w:ind w:left="960" w:hanging="474"/>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7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valuations based on inputs that are unobservable and significant to the overall fair value measurement.</w:t>
      </w:r>
    </w:p>
    <w:p>
      <w:pPr>
        <w:spacing w:after="0" w:line="246" w:lineRule="exact"/>
        <w:rPr>
          <w:sz w:val="20"/>
          <w:szCs w:val="20"/>
          <w:color w:val="auto"/>
        </w:rPr>
      </w:pPr>
    </w:p>
    <w:p>
      <w:pPr>
        <w:jc w:val="both"/>
        <w:ind w:firstLine="480"/>
        <w:spacing w:after="0" w:line="284" w:lineRule="auto"/>
        <w:rPr>
          <w:sz w:val="20"/>
          <w:szCs w:val="20"/>
          <w:color w:val="auto"/>
        </w:rPr>
      </w:pPr>
      <w:r>
        <w:rPr>
          <w:rFonts w:ascii="Times New Roman" w:cs="Times New Roman" w:eastAsia="Times New Roman" w:hAnsi="Times New Roman"/>
          <w:sz w:val="17"/>
          <w:szCs w:val="17"/>
          <w:color w:val="auto"/>
        </w:rPr>
        <w:t>The carrying values of the Company’s cash and cash equivalents, trade accounts receivable, trade accounts payable and short-term debt approximate their fair values because of the short maturities of those instruments. The fair value of the Company’s debt approximates its carrying value and is based on the amount of future cash flow associated with the debt discounted using current borrowing rates for similar debt instruments of comparable maturity (Level 2).</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their local currency. All assets and liabilities of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AOCI in the consolidated balance sheets. Gains and losses resulting from foreign currency transactions are included in other income (expense), net, in the Company’s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by the weighted average number of shares of common stock outstanding during the periods presented. The computation of diluted earnings (loss) per share is similar to the computation of basic earnings per share, except that the denominator is increased for the assumed exercise of dilutive options and other potentially dilutive securities using the treasury stock method unless the effect is antidilutive. The following table sets forth the computation of basic and diluted loss per share:</w:t>
      </w:r>
    </w:p>
    <w:p>
      <w:pPr>
        <w:spacing w:after="0" w:line="178"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193"/>
        </w:trPr>
        <w:tc>
          <w:tcPr>
            <w:tcW w:w="606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43,538</w:t>
            </w: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42,420</w:t>
            </w:r>
          </w:p>
        </w:tc>
      </w:tr>
      <w:tr>
        <w:trPr>
          <w:trHeight w:val="213"/>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43,538</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42,420</w:t>
            </w:r>
          </w:p>
        </w:tc>
      </w:tr>
      <w:tr>
        <w:trPr>
          <w:trHeight w:val="20"/>
        </w:trPr>
        <w:tc>
          <w:tcPr>
            <w:tcW w:w="6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3"/>
        </w:trPr>
        <w:tc>
          <w:tcPr>
            <w:tcW w:w="606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loss per share</w:t>
            </w:r>
          </w:p>
        </w:tc>
        <w:tc>
          <w:tcPr>
            <w:tcW w:w="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(0.08)</w:t>
            </w:r>
          </w:p>
        </w:tc>
      </w:tr>
      <w:tr>
        <w:trPr>
          <w:trHeight w:val="193"/>
        </w:trPr>
        <w:tc>
          <w:tcPr>
            <w:tcW w:w="6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Diluted loss per share</w:t>
            </w:r>
          </w:p>
        </w:tc>
        <w:tc>
          <w:tcPr>
            <w:tcW w:w="1060" w:type="dxa"/>
            <w:vAlign w:val="bottom"/>
            <w:gridSpan w:val="2"/>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(0.28)</w:t>
            </w:r>
          </w:p>
        </w:tc>
        <w:tc>
          <w:tcPr>
            <w:tcW w:w="420" w:type="dxa"/>
            <w:vAlign w:val="bottom"/>
            <w:gridSpan w:val="2"/>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(0.08)</w:t>
            </w:r>
          </w:p>
        </w:tc>
      </w:tr>
      <w:tr>
        <w:trPr>
          <w:trHeight w:val="20"/>
        </w:trPr>
        <w:tc>
          <w:tcPr>
            <w:tcW w:w="6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33"/>
        </w:trPr>
        <w:tc>
          <w:tcPr>
            <w:tcW w:w="606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Shares excluded from diluted loss per share due to their anti-dilutive effect</w:t>
            </w:r>
          </w:p>
        </w:tc>
        <w:tc>
          <w:tcPr>
            <w:tcW w:w="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3,577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3,868</w:t>
            </w:r>
          </w:p>
        </w:tc>
      </w:tr>
    </w:tbl>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3"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The Company operates in one segment which involves the design, development, production and distribution of products and services that enable fundamental advances in life science applications, including research, pharmaceutical and therapy discovery, bioproduction and preclinical testing for pharmaceutical and therapy development. The Company has a single, company-wide management team that administers all properties as a whole rather than discrete operating segments. The chief operating decision maker (“CODM”), who is the Company's chief executive officer, measures financial performance as a single enterprise and allocates resources across the Company to maximize profitability, and not on geography, legal entity, or end market basis. The Company operates in a number of countries throughout the world in a variety of product lines. Information regarding product lines and geographic financial information is provided in Note 3, “Revenues” and Note 6, "Balance Sheet Information."</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other operating expenses for the year ended December 31, 2024 and 2023, were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 (see Note 7)</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Unclaimed property audits expense (see Note 16)</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retention tax credit fees (see Note 18)</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Adopted</w:t>
      </w:r>
    </w:p>
    <w:p>
      <w:pPr>
        <w:spacing w:after="0" w:line="221"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on an annual and interim basis. Entities with a single reportable segment must provide all the disclosures required by this ASU and all existing segment disclosures in Topic 280. ASU 2023-07 was effective for fiscal years beginning after December 15, 2023, and interim periods within fiscal years beginning after December 15, 2024. The adoption of this standard impacted footnote disclosures and did not have a material impact on the Company's consolidated financial statements.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Yet to be Adopted</w:t>
      </w:r>
    </w:p>
    <w:p>
      <w:pPr>
        <w:spacing w:after="0" w:line="221"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which enhances disclosures related to the effective tax rate reconciliation, income taxes paid, as well as other disclosures. The new standard impacts footnote disclosures and is effective for the Company’s annual financial statements for the year ended December 31, 2025. The Company is currently evaluating the impact that adopting ASU No. 2023-09 will have on the footnote disclosures in its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(Subtopic 220-40): 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which requires enhanced disclosure of income statement expense categories to improve transparency and provide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users with more detailed information about the nature, amount and timing of expenses impacting financial performance. This new guidance is effective for annual reporting periods beginning after December 15, 2026, and interim reporting periods beginning after December 15, 2027, with early adoption permitted. The Company is currently evaluating the impact that adopting ASU No. 2024-03 will have on the footnote disclosures in its consolidated financial statements.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Correction of Unaudited Interim Financial Statements</w:t>
      </w:r>
    </w:p>
    <w:p>
      <w:pPr>
        <w:spacing w:after="0" w:line="223"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August 2024, the Company initiated the process of terminating one of its defined benefit plans by purchasing from plan assets a non-participating bulk annuity from an insurance company (a “buy-in” arrangement”). This bulk annuity will be used to purchase individual annuity contracts for each participant (a “buy-out” arrangement), which is expected to occur in 2025. During the three months ended September 30, 2024, the Company recorded a non-cash loss on pension settlement of $1.2 million, including the immediate recognition of the portion of the AOCI balances related to this plan.</w:t>
      </w:r>
    </w:p>
    <w:p>
      <w:pPr>
        <w:spacing w:after="0" w:line="180"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determined that the buy-in transaction does not result in settlement accounting as the Company has not been relieved of primary responsibility for the benefit obligation. As a result, the Company identified an immaterial error associated with recording a loss on pension settlement in other income (expense), net, in its interim financial statements for the three and nine months ended September 30, 2024. This immaterial error overstated the loss before income taxes by $1.2 million and the net loss by $0.9 million for the three and nine months ended September 30, 2024, and overstated the loss per share loss by $0.02 and $0.03 for the three and nine months ended September 30, 2024, respectively. This error had no impact on the operating loss or cash flows from operations for the three and nine months ended September 30, 2024. The correction of this immaterial error is included in these unaudited consolidated financial statements.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Prior Period Financial Statement Reclassifications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immaterial reclassifications have been made to the prior year financial statements to conform to the current presentation.</w:t>
      </w:r>
    </w:p>
    <w:p>
      <w:pPr>
        <w:spacing w:after="0" w:line="244" w:lineRule="exact"/>
        <w:rPr>
          <w:sz w:val="20"/>
          <w:szCs w:val="20"/>
          <w:color w:val="auto"/>
        </w:rPr>
      </w:pPr>
    </w:p>
    <w:p>
      <w:pPr>
        <w:ind w:left="480" w:hanging="473"/>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1" w:lineRule="exact"/>
        <w:rPr>
          <w:rFonts w:ascii="Times New Roman" w:cs="Times New Roman" w:eastAsia="Times New Roman" w:hAnsi="Times New Roman"/>
          <w:sz w:val="18"/>
          <w:szCs w:val="18"/>
          <w:b w:val="1"/>
          <w:bCs w:val="1"/>
          <w:color w:val="auto"/>
        </w:rPr>
      </w:pPr>
    </w:p>
    <w:p>
      <w:pPr>
        <w:ind w:left="480" w:right="740"/>
        <w:spacing w:after="0" w:line="49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2024, and 2023: Revenues by type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0"/>
                <w:szCs w:val="20"/>
                <w:color w:val="auto"/>
              </w:rPr>
            </w:pPr>
          </w:p>
        </w:tc>
      </w:tr>
      <w:tr>
        <w:trPr>
          <w:trHeight w:val="207"/>
        </w:trPr>
        <w:tc>
          <w:tcPr>
            <w:tcW w:w="48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28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86,964</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105,716</w:t>
            </w:r>
          </w:p>
        </w:tc>
        <w:tc>
          <w:tcPr>
            <w:tcW w:w="66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7,171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660" w:type="dxa"/>
            <w:vAlign w:val="bottom"/>
          </w:tcPr>
          <w:p>
            <w:pPr>
              <w:spacing w:after="0"/>
              <w:rPr>
                <w:sz w:val="18"/>
                <w:szCs w:val="18"/>
                <w:color w:val="auto"/>
              </w:rPr>
            </w:pPr>
          </w:p>
        </w:tc>
      </w:tr>
      <w:tr>
        <w:trPr>
          <w:trHeight w:val="247"/>
        </w:trPr>
        <w:tc>
          <w:tcPr>
            <w:tcW w:w="48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94,135</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112,250</w:t>
            </w:r>
          </w:p>
        </w:tc>
        <w:tc>
          <w:tcPr>
            <w:tcW w:w="660" w:type="dxa"/>
            <w:vAlign w:val="bottom"/>
          </w:tcPr>
          <w:p>
            <w:pPr>
              <w:spacing w:after="0"/>
              <w:rPr>
                <w:sz w:val="21"/>
                <w:szCs w:val="21"/>
                <w:color w:val="auto"/>
              </w:rPr>
            </w:pPr>
          </w:p>
        </w:tc>
      </w:tr>
      <w:tr>
        <w:trPr>
          <w:trHeight w:val="407"/>
        </w:trPr>
        <w:tc>
          <w:tcPr>
            <w:tcW w:w="480" w:type="dxa"/>
            <w:vAlign w:val="bottom"/>
          </w:tcPr>
          <w:p>
            <w:pPr>
              <w:spacing w:after="0"/>
              <w:rPr>
                <w:sz w:val="24"/>
                <w:szCs w:val="24"/>
                <w:color w:val="auto"/>
              </w:rPr>
            </w:pPr>
          </w:p>
        </w:tc>
        <w:tc>
          <w:tcPr>
            <w:tcW w:w="4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by timing of recognition were as follows:</w:t>
            </w:r>
          </w:p>
        </w:tc>
        <w:tc>
          <w:tcPr>
            <w:tcW w:w="24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426"/>
        </w:trPr>
        <w:tc>
          <w:tcPr>
            <w:tcW w:w="4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28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90,420</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108,558</w:t>
            </w:r>
          </w:p>
        </w:tc>
        <w:tc>
          <w:tcPr>
            <w:tcW w:w="66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2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3,715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660" w:type="dxa"/>
            <w:vAlign w:val="bottom"/>
          </w:tcPr>
          <w:p>
            <w:pPr>
              <w:spacing w:after="0"/>
              <w:rPr>
                <w:sz w:val="18"/>
                <w:szCs w:val="18"/>
                <w:color w:val="auto"/>
              </w:rPr>
            </w:pPr>
          </w:p>
        </w:tc>
      </w:tr>
      <w:tr>
        <w:trPr>
          <w:trHeight w:val="247"/>
        </w:trPr>
        <w:tc>
          <w:tcPr>
            <w:tcW w:w="48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112,250</w:t>
            </w:r>
          </w:p>
        </w:tc>
        <w:tc>
          <w:tcPr>
            <w:tcW w:w="660" w:type="dxa"/>
            <w:vAlign w:val="bottom"/>
          </w:tcPr>
          <w:p>
            <w:pPr>
              <w:spacing w:after="0"/>
              <w:rPr>
                <w:sz w:val="21"/>
                <w:szCs w:val="21"/>
                <w:color w:val="auto"/>
              </w:rPr>
            </w:pPr>
          </w:p>
        </w:tc>
      </w:tr>
      <w:tr>
        <w:trPr>
          <w:trHeight w:val="407"/>
        </w:trPr>
        <w:tc>
          <w:tcPr>
            <w:tcW w:w="4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0" w:type="dxa"/>
            <w:vAlign w:val="bottom"/>
            <w:gridSpan w:val="2"/>
          </w:tcPr>
          <w:p>
            <w:pPr>
              <w:jc w:val="right"/>
              <w:ind w:right="1711"/>
              <w:spacing w:after="0"/>
              <w:rPr>
                <w:sz w:val="20"/>
                <w:szCs w:val="20"/>
                <w:color w:val="auto"/>
              </w:rPr>
            </w:pPr>
            <w:r>
              <w:rPr>
                <w:rFonts w:ascii="Times New Roman" w:cs="Times New Roman" w:eastAsia="Times New Roman" w:hAnsi="Times New Roman"/>
                <w:sz w:val="18"/>
                <w:szCs w:val="18"/>
                <w:color w:val="auto"/>
              </w:rPr>
              <w:t>F-16</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3"/>
        </w:trPr>
        <w:tc>
          <w:tcPr>
            <w:tcW w:w="48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61"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47"/>
        </w:trPr>
        <w:tc>
          <w:tcPr>
            <w:tcW w:w="48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by geographic destination were as follows: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6"/>
        </w:trPr>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48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80" w:type="dxa"/>
            <w:vAlign w:val="bottom"/>
          </w:tcPr>
          <w:p>
            <w:pPr>
              <w:spacing w:after="0"/>
              <w:rPr>
                <w:sz w:val="17"/>
                <w:szCs w:val="17"/>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41,738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w:t>
            </w:r>
          </w:p>
        </w:tc>
      </w:tr>
      <w:tr>
        <w:trPr>
          <w:trHeight w:val="213"/>
        </w:trPr>
        <w:tc>
          <w:tcPr>
            <w:tcW w:w="48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Americas - Other</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13"/>
        </w:trPr>
        <w:tc>
          <w:tcPr>
            <w:tcW w:w="48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r>
      <w:tr>
        <w:trPr>
          <w:trHeight w:val="213"/>
        </w:trPr>
        <w:tc>
          <w:tcPr>
            <w:tcW w:w="48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Greater China</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18,488</w:t>
            </w:r>
          </w:p>
        </w:tc>
      </w:tr>
      <w:tr>
        <w:trPr>
          <w:trHeight w:val="213"/>
        </w:trPr>
        <w:tc>
          <w:tcPr>
            <w:tcW w:w="480" w:type="dxa"/>
            <w:vAlign w:val="bottom"/>
          </w:tcPr>
          <w:p>
            <w:pPr>
              <w:spacing w:after="0"/>
              <w:rPr>
                <w:sz w:val="18"/>
                <w:szCs w:val="18"/>
                <w:color w:val="auto"/>
              </w:rPr>
            </w:pPr>
          </w:p>
        </w:tc>
        <w:tc>
          <w:tcPr>
            <w:tcW w:w="6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 - Other</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207"/>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94,135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112,250</w:t>
            </w:r>
          </w:p>
        </w:tc>
      </w:tr>
      <w:tr>
        <w:trPr>
          <w:trHeight w:val="20"/>
        </w:trPr>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contract liabilities as of the periods indicated:</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r>
      <w:tr>
        <w:trPr>
          <w:trHeight w:val="188"/>
        </w:trPr>
        <w:tc>
          <w:tcPr>
            <w:tcW w:w="3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Service, maintenance and warranty</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Changes in the Company’s contract liabilities are primarily due to the timing of receipt of payments under service, maintenance and warranty contracts and lower revenue volumes. During the years ended December 31, 2024, and 2023, the Company recognized revenue of $3.4 million and $2.1 million from contract liabilities existing at December 31, 2023 and 2022, respectively.</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Expected Credit Losses on Receivables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Activity in the provision for expected losses on receivables was as follows:</w:t>
      </w:r>
    </w:p>
    <w:p>
      <w:pPr>
        <w:sectPr>
          <w:pgSz w:w="11900" w:h="16838" w:orient="portrait"/>
          <w:cols w:equalWidth="0" w:num="1">
            <w:col w:w="11240"/>
          </w:cols>
          <w:pgMar w:left="320" w:top="346"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Provision for expected credit losses</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Charge-offs and other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8"/>
        </w:trPr>
        <w:tc>
          <w:tcPr>
            <w:tcW w:w="20" w:type="dxa"/>
            <w:vAlign w:val="bottom"/>
          </w:tcPr>
          <w:p>
            <w:pPr>
              <w:spacing w:after="0"/>
              <w:rPr>
                <w:sz w:val="16"/>
                <w:szCs w:val="16"/>
                <w:color w:val="auto"/>
              </w:rPr>
            </w:pPr>
          </w:p>
        </w:tc>
        <w:tc>
          <w:tcPr>
            <w:tcW w:w="320" w:type="dxa"/>
            <w:vAlign w:val="bottom"/>
          </w:tcPr>
          <w:p>
            <w:pPr>
              <w:jc w:val="right"/>
              <w:ind w:right="1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6"/>
                <w:szCs w:val="16"/>
                <w:color w:val="auto"/>
              </w:rPr>
            </w:pPr>
          </w:p>
        </w:tc>
        <w:tc>
          <w:tcPr>
            <w:tcW w:w="340" w:type="dxa"/>
            <w:vAlign w:val="bottom"/>
          </w:tcPr>
          <w:p>
            <w:pPr>
              <w:jc w:val="right"/>
              <w:ind w:right="15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2"/>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7"/>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-574675</wp:posOffset>
            </wp:positionV>
            <wp:extent cx="6414770" cy="135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-304165</wp:posOffset>
            </wp:positionV>
            <wp:extent cx="6414770" cy="144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4770" cy="144145"/>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540" w:space="720"/>
            <w:col w:w="3980"/>
          </w:cols>
          <w:pgMar w:left="320" w:top="346" w:right="339" w:bottom="1440" w:gutter="0" w:footer="0" w:header="0"/>
          <w:type w:val="continuous"/>
        </w:sectPr>
      </w:pPr>
    </w:p>
    <w:p>
      <w:pPr>
        <w:spacing w:after="0" w:line="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No customer accounted for more than 10% of revenue for the years ended December 31, 2024, and 2023, or for more than 10% of net accounts receivable at December 31,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26"/>
        </w:trPr>
        <w:tc>
          <w:tcPr>
            <w:tcW w:w="4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Warranty activity was as follows:</w:t>
            </w: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26"/>
        </w:trPr>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6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claims</w:t>
            </w:r>
          </w:p>
        </w:tc>
        <w:tc>
          <w:tcPr>
            <w:tcW w:w="3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60" w:type="dxa"/>
            <w:vAlign w:val="bottom"/>
          </w:tcPr>
          <w:p>
            <w:pPr>
              <w:spacing w:after="0"/>
              <w:rPr>
                <w:sz w:val="18"/>
                <w:szCs w:val="18"/>
                <w:color w:val="auto"/>
              </w:rPr>
            </w:pPr>
          </w:p>
        </w:tc>
      </w:tr>
      <w:tr>
        <w:trPr>
          <w:trHeight w:val="207"/>
        </w:trPr>
        <w:tc>
          <w:tcPr>
            <w:tcW w:w="48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12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620"/>
        </w:trPr>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60" w:type="dxa"/>
            <w:vAlign w:val="bottom"/>
            <w:gridSpan w:val="2"/>
          </w:tcPr>
          <w:p>
            <w:pPr>
              <w:jc w:val="right"/>
              <w:ind w:right="1711"/>
              <w:spacing w:after="0"/>
              <w:rPr>
                <w:sz w:val="20"/>
                <w:szCs w:val="20"/>
                <w:color w:val="auto"/>
              </w:rPr>
            </w:pPr>
            <w:r>
              <w:rPr>
                <w:rFonts w:ascii="Times New Roman" w:cs="Times New Roman" w:eastAsia="Times New Roman" w:hAnsi="Times New Roman"/>
                <w:sz w:val="18"/>
                <w:szCs w:val="18"/>
                <w:color w:val="auto"/>
              </w:rPr>
              <w:t>F-17</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3"/>
        </w:trPr>
        <w:tc>
          <w:tcPr>
            <w:tcW w:w="48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46"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7" w:lineRule="exact"/>
        <w:rPr>
          <w:sz w:val="20"/>
          <w:szCs w:val="20"/>
          <w:color w:val="auto"/>
        </w:rPr>
      </w:pPr>
    </w:p>
    <w:p>
      <w:pPr>
        <w:ind w:left="480" w:hanging="473"/>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1"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loss, net of tax, for the years ended December 31, 2024 and 2023, respectively, were as follows: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3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3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00" w:type="dxa"/>
            <w:vAlign w:val="bottom"/>
          </w:tcPr>
          <w:p>
            <w:pPr>
              <w:spacing w:after="0"/>
              <w:rPr>
                <w:sz w:val="18"/>
                <w:szCs w:val="18"/>
                <w:color w:val="auto"/>
              </w:rPr>
            </w:pPr>
          </w:p>
        </w:tc>
        <w:tc>
          <w:tcPr>
            <w:tcW w:w="13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Defined Benefit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5"/>
              </w:rPr>
              <w:t>Pension Plans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as Hedges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r>
      <w:tr>
        <w:trPr>
          <w:trHeight w:val="21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0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r>
      <w:tr>
        <w:trPr>
          <w:trHeight w:val="21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480" w:hanging="473"/>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was as follows: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beginning of period</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57,065</w:t>
            </w:r>
          </w:p>
        </w:tc>
        <w:tc>
          <w:tcPr>
            <w:tcW w:w="580" w:type="dxa"/>
            <w:vAlign w:val="bottom"/>
            <w:gridSpan w:val="3"/>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56,324</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57,065</w:t>
            </w:r>
          </w:p>
        </w:tc>
        <w:tc>
          <w:tcPr>
            <w:tcW w:w="0" w:type="dxa"/>
            <w:vAlign w:val="bottom"/>
          </w:tcPr>
          <w:p>
            <w:pPr>
              <w:spacing w:after="0"/>
              <w:rPr>
                <w:sz w:val="1"/>
                <w:szCs w:val="1"/>
                <w:color w:val="auto"/>
              </w:rPr>
            </w:pPr>
          </w:p>
        </w:tc>
      </w:tr>
      <w:tr>
        <w:trPr>
          <w:trHeight w:val="407"/>
        </w:trPr>
        <w:tc>
          <w:tcPr>
            <w:tcW w:w="580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w w:val="98"/>
              </w:rPr>
              <w:t>Intangible assets, net at December 31, 2024 and 2023 consisted of the following:</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Accumulated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5"/>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Amortizable</w:t>
            </w: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Life*</w:t>
            </w:r>
          </w:p>
        </w:tc>
        <w:tc>
          <w:tcPr>
            <w:tcW w:w="200" w:type="dxa"/>
            <w:vAlign w:val="bottom"/>
          </w:tcPr>
          <w:p>
            <w:pPr>
              <w:spacing w:after="0"/>
              <w:rPr>
                <w:sz w:val="18"/>
                <w:szCs w:val="18"/>
                <w:color w:val="auto"/>
              </w:rPr>
            </w:pPr>
          </w:p>
        </w:tc>
        <w:tc>
          <w:tcPr>
            <w:tcW w:w="94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18"/>
                <w:szCs w:val="18"/>
                <w:color w:val="auto"/>
              </w:rPr>
            </w:pPr>
          </w:p>
        </w:tc>
        <w:tc>
          <w:tcPr>
            <w:tcW w:w="12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Amortization</w:t>
            </w:r>
          </w:p>
        </w:tc>
        <w:tc>
          <w:tcPr>
            <w:tcW w:w="320" w:type="dxa"/>
            <w:vAlign w:val="bottom"/>
          </w:tcPr>
          <w:p>
            <w:pPr>
              <w:spacing w:after="0"/>
              <w:rPr>
                <w:sz w:val="18"/>
                <w:szCs w:val="18"/>
                <w:color w:val="auto"/>
              </w:rPr>
            </w:pPr>
          </w:p>
        </w:tc>
        <w:tc>
          <w:tcPr>
            <w:tcW w:w="78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Gross</w:t>
            </w:r>
          </w:p>
        </w:tc>
        <w:tc>
          <w:tcPr>
            <w:tcW w:w="80" w:type="dxa"/>
            <w:vAlign w:val="bottom"/>
          </w:tcPr>
          <w:p>
            <w:pPr>
              <w:spacing w:after="0"/>
              <w:rPr>
                <w:sz w:val="18"/>
                <w:szCs w:val="18"/>
                <w:color w:val="auto"/>
              </w:rPr>
            </w:pPr>
          </w:p>
        </w:tc>
        <w:tc>
          <w:tcPr>
            <w:tcW w:w="1100" w:type="dxa"/>
            <w:vAlign w:val="bottom"/>
            <w:gridSpan w:val="5"/>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99"/>
              </w:rPr>
              <w:t>Amortization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Customer</w:t>
            </w: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11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15,603</w:t>
            </w:r>
          </w:p>
        </w:tc>
        <w:tc>
          <w:tcPr>
            <w:tcW w:w="38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16,038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(9,706)</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Technology and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w:t>
            </w: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35,007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Trade names and</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4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Total amortizable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58,452</w:t>
            </w:r>
          </w:p>
        </w:tc>
        <w:tc>
          <w:tcPr>
            <w:tcW w:w="38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58,658</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intangible assets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1"/>
              <w:spacing w:after="0" w:line="192" w:lineRule="exact"/>
              <w:rPr>
                <w:sz w:val="20"/>
                <w:szCs w:val="20"/>
                <w:color w:val="auto"/>
              </w:rPr>
            </w:pPr>
            <w:r>
              <w:rPr>
                <w:rFonts w:ascii="Times New Roman" w:cs="Times New Roman" w:eastAsia="Times New Roman" w:hAnsi="Times New Roman"/>
                <w:sz w:val="18"/>
                <w:szCs w:val="18"/>
                <w:color w:val="auto"/>
              </w:rPr>
              <w:t>10,937</w:t>
            </w:r>
          </w:p>
        </w:tc>
        <w:tc>
          <w:tcPr>
            <w:tcW w:w="2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320" w:type="dxa"/>
            <w:vAlign w:val="bottom"/>
            <w:gridSpan w:val="2"/>
          </w:tcPr>
          <w:p>
            <w:pPr>
              <w:jc w:val="right"/>
              <w:ind w:right="1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15,829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Indefinite-lived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Weighted average remaining life in years as of December 31, 2024</w:t>
      </w:r>
    </w:p>
    <w:p>
      <w:pPr>
        <w:spacing w:after="0" w:line="219" w:lineRule="exact"/>
        <w:rPr>
          <w:sz w:val="20"/>
          <w:szCs w:val="20"/>
          <w:color w:val="auto"/>
        </w:rPr>
      </w:pPr>
    </w:p>
    <w:p>
      <w:pPr>
        <w:ind w:right="20" w:firstLine="444"/>
        <w:spacing w:after="0" w:line="276" w:lineRule="auto"/>
        <w:rPr>
          <w:sz w:val="20"/>
          <w:szCs w:val="20"/>
          <w:color w:val="auto"/>
        </w:rPr>
      </w:pPr>
      <w:r>
        <w:rPr>
          <w:rFonts w:ascii="Times New Roman" w:cs="Times New Roman" w:eastAsia="Times New Roman" w:hAnsi="Times New Roman"/>
          <w:sz w:val="18"/>
          <w:szCs w:val="18"/>
          <w:color w:val="auto"/>
        </w:rPr>
        <w:t>The Company capitalized $0.6 million and $0.5 million of software development costs during the year ended December 31, 2024, and 2023, respectively.</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 amortization expense was $5.4 million and $5.5 million for the years ended December 31, 2024 and 2023,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0"/>
                <w:szCs w:val="20"/>
                <w:color w:val="auto"/>
              </w:rPr>
            </w:pPr>
          </w:p>
        </w:tc>
      </w:tr>
      <w:tr>
        <w:trPr>
          <w:trHeight w:val="207"/>
        </w:trPr>
        <w:tc>
          <w:tcPr>
            <w:tcW w:w="48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8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5,255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660" w:type="dxa"/>
            <w:vAlign w:val="bottom"/>
          </w:tcPr>
          <w:p>
            <w:pPr>
              <w:spacing w:after="0"/>
              <w:rPr>
                <w:sz w:val="18"/>
                <w:szCs w:val="18"/>
                <w:color w:val="auto"/>
              </w:rPr>
            </w:pPr>
          </w:p>
        </w:tc>
      </w:tr>
      <w:tr>
        <w:trPr>
          <w:trHeight w:val="247"/>
        </w:trPr>
        <w:tc>
          <w:tcPr>
            <w:tcW w:w="48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2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660" w:type="dxa"/>
            <w:vAlign w:val="bottom"/>
          </w:tcPr>
          <w:p>
            <w:pPr>
              <w:spacing w:after="0"/>
              <w:rPr>
                <w:sz w:val="21"/>
                <w:szCs w:val="21"/>
                <w:color w:val="auto"/>
              </w:rPr>
            </w:pPr>
          </w:p>
        </w:tc>
      </w:tr>
      <w:tr>
        <w:trPr>
          <w:trHeight w:val="407"/>
        </w:trPr>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80" w:type="dxa"/>
            <w:vAlign w:val="bottom"/>
            <w:gridSpan w:val="2"/>
          </w:tcPr>
          <w:p>
            <w:pPr>
              <w:jc w:val="right"/>
              <w:ind w:right="1711"/>
              <w:spacing w:after="0"/>
              <w:rPr>
                <w:sz w:val="20"/>
                <w:szCs w:val="20"/>
                <w:color w:val="auto"/>
              </w:rPr>
            </w:pPr>
            <w:r>
              <w:rPr>
                <w:rFonts w:ascii="Times New Roman" w:cs="Times New Roman" w:eastAsia="Times New Roman" w:hAnsi="Times New Roman"/>
                <w:sz w:val="18"/>
                <w:szCs w:val="18"/>
                <w:color w:val="auto"/>
              </w:rPr>
              <w:t>F-18</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3"/>
        </w:trPr>
        <w:tc>
          <w:tcPr>
            <w:tcW w:w="48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6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Estimated amortization expense of existing amortizable intangible assets for each of the five succeeding years and thereafter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8"/>
                <w:szCs w:val="18"/>
                <w:color w:val="auto"/>
              </w:rPr>
            </w:pPr>
          </w:p>
        </w:tc>
      </w:tr>
      <w:tr>
        <w:trPr>
          <w:trHeight w:val="247"/>
        </w:trPr>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20" w:type="dxa"/>
            <w:vAlign w:val="bottom"/>
          </w:tcPr>
          <w:p>
            <w:pPr>
              <w:spacing w:after="0"/>
              <w:rPr>
                <w:sz w:val="21"/>
                <w:szCs w:val="21"/>
                <w:color w:val="auto"/>
              </w:rPr>
            </w:pPr>
          </w:p>
        </w:tc>
      </w:tr>
      <w:tr>
        <w:trPr>
          <w:trHeight w:val="647"/>
        </w:trPr>
        <w:tc>
          <w:tcPr>
            <w:tcW w:w="30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80" w:type="dxa"/>
            <w:vAlign w:val="bottom"/>
          </w:tcPr>
          <w:p>
            <w:pPr>
              <w:spacing w:after="0"/>
              <w:rPr>
                <w:sz w:val="24"/>
                <w:szCs w:val="24"/>
                <w:color w:val="auto"/>
              </w:rPr>
            </w:pPr>
          </w:p>
        </w:tc>
        <w:tc>
          <w:tcPr>
            <w:tcW w:w="6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34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300" w:type="dxa"/>
            <w:vAlign w:val="bottom"/>
          </w:tcPr>
          <w:p>
            <w:pPr>
              <w:spacing w:after="0"/>
              <w:rPr>
                <w:sz w:val="24"/>
                <w:szCs w:val="24"/>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The following tables provide details of selected balance sheet items as of the periods indicated:</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7"/>
                <w:szCs w:val="17"/>
                <w:color w:val="auto"/>
              </w:rPr>
            </w:pPr>
          </w:p>
        </w:tc>
      </w:tr>
      <w:tr>
        <w:trPr>
          <w:trHeight w:val="207"/>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5,222</w:t>
            </w:r>
          </w:p>
        </w:tc>
        <w:tc>
          <w:tcPr>
            <w:tcW w:w="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0" w:type="dxa"/>
            <w:vAlign w:val="bottom"/>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15,269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20" w:type="dxa"/>
            <w:vAlign w:val="bottom"/>
          </w:tcPr>
          <w:p>
            <w:pPr>
              <w:spacing w:after="0"/>
              <w:rPr>
                <w:sz w:val="18"/>
                <w:szCs w:val="18"/>
                <w:color w:val="auto"/>
              </w:rPr>
            </w:pPr>
          </w:p>
        </w:tc>
      </w:tr>
      <w:tr>
        <w:trPr>
          <w:trHeight w:val="207"/>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23,245</w:t>
            </w:r>
          </w:p>
        </w:tc>
        <w:tc>
          <w:tcPr>
            <w:tcW w:w="80" w:type="dxa"/>
            <w:vAlign w:val="bottom"/>
          </w:tcPr>
          <w:p>
            <w:pPr>
              <w:spacing w:after="0"/>
              <w:rPr>
                <w:sz w:val="17"/>
                <w:szCs w:val="17"/>
                <w:color w:val="auto"/>
              </w:rPr>
            </w:pPr>
          </w:p>
        </w:tc>
        <w:tc>
          <w:tcPr>
            <w:tcW w:w="5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7"/>
                <w:szCs w:val="17"/>
                <w:color w:val="auto"/>
              </w:rPr>
            </w:pPr>
          </w:p>
        </w:tc>
      </w:tr>
      <w:tr>
        <w:trPr>
          <w:trHeight w:val="207"/>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8,139</w:t>
            </w:r>
          </w:p>
        </w:tc>
        <w:tc>
          <w:tcPr>
            <w:tcW w:w="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0" w:type="dxa"/>
            <w:vAlign w:val="bottom"/>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r>
      <w:tr>
        <w:trPr>
          <w:trHeight w:val="207"/>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20" w:type="dxa"/>
            <w:vAlign w:val="bottom"/>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20" w:type="dxa"/>
            <w:vAlign w:val="bottom"/>
          </w:tcPr>
          <w:p>
            <w:pPr>
              <w:spacing w:after="0"/>
              <w:rPr>
                <w:sz w:val="18"/>
                <w:szCs w:val="18"/>
                <w:color w:val="auto"/>
              </w:rPr>
            </w:pPr>
          </w:p>
        </w:tc>
      </w:tr>
      <w:tr>
        <w:trPr>
          <w:trHeight w:val="207"/>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5,106</w:t>
            </w:r>
          </w:p>
        </w:tc>
        <w:tc>
          <w:tcPr>
            <w:tcW w:w="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$1.7 million and $1.5 million for the years ended December 31, 2024 and 2023,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r>
      <w:tr>
        <w:trPr>
          <w:trHeight w:val="207"/>
        </w:trPr>
        <w:tc>
          <w:tcPr>
            <w:tcW w:w="48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7"/>
                <w:szCs w:val="17"/>
                <w:color w:val="auto"/>
              </w:rPr>
            </w:pPr>
          </w:p>
        </w:tc>
      </w:tr>
      <w:tr>
        <w:trPr>
          <w:trHeight w:val="207"/>
        </w:trPr>
        <w:tc>
          <w:tcPr>
            <w:tcW w:w="48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0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1,714</w:t>
            </w:r>
          </w:p>
        </w:tc>
        <w:tc>
          <w:tcPr>
            <w:tcW w:w="58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66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6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6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Employee retention tax credit funds - Note 18</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660" w:type="dxa"/>
            <w:vAlign w:val="bottom"/>
          </w:tcPr>
          <w:p>
            <w:pPr>
              <w:spacing w:after="0"/>
              <w:rPr>
                <w:sz w:val="18"/>
                <w:szCs w:val="18"/>
                <w:color w:val="auto"/>
              </w:rPr>
            </w:pPr>
          </w:p>
        </w:tc>
      </w:tr>
      <w:tr>
        <w:trPr>
          <w:trHeight w:val="207"/>
        </w:trPr>
        <w:tc>
          <w:tcPr>
            <w:tcW w:w="48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9,409</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6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07"/>
        </w:trPr>
        <w:tc>
          <w:tcPr>
            <w:tcW w:w="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0" w:type="dxa"/>
            <w:vAlign w:val="bottom"/>
            <w:gridSpan w:val="2"/>
          </w:tcPr>
          <w:p>
            <w:pPr>
              <w:jc w:val="right"/>
              <w:ind w:right="1711"/>
              <w:spacing w:after="0"/>
              <w:rPr>
                <w:sz w:val="20"/>
                <w:szCs w:val="20"/>
                <w:color w:val="auto"/>
              </w:rPr>
            </w:pPr>
            <w:r>
              <w:rPr>
                <w:rFonts w:ascii="Times New Roman" w:cs="Times New Roman" w:eastAsia="Times New Roman" w:hAnsi="Times New Roman"/>
                <w:sz w:val="18"/>
                <w:szCs w:val="18"/>
                <w:color w:val="auto"/>
              </w:rPr>
              <w:t>F-19</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3"/>
        </w:trPr>
        <w:tc>
          <w:tcPr>
            <w:tcW w:w="48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by Geographic Area:</w:t>
      </w:r>
    </w:p>
    <w:p>
      <w:pPr>
        <w:spacing w:after="0" w:line="223"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Long-lived assets by geographic area, which include operating lease right-of-use assets, property, plant and equipment, and amortizable intangible assets, were as follows: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20,235</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w:t>
            </w:r>
          </w:p>
        </w:tc>
      </w:tr>
      <w:tr>
        <w:trPr>
          <w:trHeight w:val="21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1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22,175</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24,583</w:t>
            </w: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480" w:hanging="473"/>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221"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operational efficiencies and align its cost base and infrastructure with customer needs and its strategic plans. In order to realize these goals, the Company undertakes activities from time to time to optimize its business.</w:t>
      </w:r>
    </w:p>
    <w:p>
      <w:pPr>
        <w:spacing w:after="0" w:line="178"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 completed restructurings and incurred expenses of $0.8 million and $0.4 million, respectively. These costs primarily consisted of severance incurred in connection with headcount reductions in Europe and North America and purchase order cancellation costs.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changes in the accrued liabilities for restructuring and other charges for the years ended December 31, 2024 and 2023 were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636</w:t>
            </w:r>
          </w:p>
        </w:tc>
        <w:tc>
          <w:tcPr>
            <w:tcW w:w="980" w:type="dxa"/>
            <w:vAlign w:val="bottom"/>
            <w:gridSpan w:val="2"/>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0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1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13"/>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980" w:type="dxa"/>
            <w:vAlign w:val="bottom"/>
            <w:gridSpan w:val="2"/>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firstLine="444"/>
        <w:spacing w:after="0" w:line="276" w:lineRule="auto"/>
        <w:rPr>
          <w:sz w:val="20"/>
          <w:szCs w:val="20"/>
          <w:color w:val="auto"/>
        </w:rPr>
      </w:pPr>
      <w:r>
        <w:rPr>
          <w:rFonts w:ascii="Times New Roman" w:cs="Times New Roman" w:eastAsia="Times New Roman" w:hAnsi="Times New Roman"/>
          <w:sz w:val="18"/>
          <w:szCs w:val="18"/>
          <w:color w:val="auto"/>
        </w:rPr>
        <w:t>The severance and other costs detailed above have been included as a component of other operating expenses, and all inventory-related charges are included in cost of revenues.</w:t>
      </w:r>
    </w:p>
    <w:p>
      <w:pPr>
        <w:spacing w:after="0" w:line="200" w:lineRule="exact"/>
        <w:rPr>
          <w:sz w:val="20"/>
          <w:szCs w:val="20"/>
          <w:color w:val="auto"/>
        </w:rPr>
      </w:pPr>
    </w:p>
    <w:p>
      <w:pPr>
        <w:spacing w:after="0" w:line="202" w:lineRule="exact"/>
        <w:rPr>
          <w:sz w:val="20"/>
          <w:szCs w:val="20"/>
          <w:color w:val="auto"/>
        </w:rPr>
      </w:pPr>
    </w:p>
    <w:p>
      <w:pPr>
        <w:ind w:left="480" w:hanging="473"/>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Retirement Savings Plans</w:t>
      </w:r>
    </w:p>
    <w:p>
      <w:pPr>
        <w:spacing w:after="0" w:line="223"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The Company sponsors various qualified employee retirement savings plans and makes contributions to match a certain portion of employee contributions. The Company contributed $1.1 million to these plans for each of the years ended December 31, 2024 and 2023.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Pension Plans</w:t>
      </w:r>
    </w:p>
    <w:p>
      <w:pPr>
        <w:spacing w:after="0" w:line="223"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The Company’s subsidiary in the United Kingdom, Biochrom Ltd., maintains defined benefit pension plans for its employees. In 2014, these defined benefit pension plans were closed to new employees, as well as closed to the future accrual of benefits for existing employees. The Company recognizes the funded status of the pension plans as an asset or liability in the consolidated balance sheets. The funded status equals the difference between the fair value of the plan’s assets and their benefit obligations and has historically been measured each year as of December 31st. The Company records net period benefit expense (credit) as a component of other expense in the Consolidated Statement of Operations.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the Company’s net period benefit expense for the years ending December 31, 2024 and 2023, were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1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loss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plans’ fair value of assets and benefit obligations for the years ended December 31, 2024 and 2023, and a summary of the funded status as of December 31, 2024 and 2023:</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Change in fair value of plan assets:</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Employer contributions</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Benefits paid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 in benefit obligation:</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cost</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Actuarial (gain) loss</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Benefits paid</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1"/>
        </w:trPr>
        <w:tc>
          <w:tcPr>
            <w:tcW w:w="34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16,940</w:t>
            </w:r>
          </w:p>
        </w:tc>
        <w:tc>
          <w:tcPr>
            <w:tcW w:w="42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2"/>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07"/>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15,179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16,940</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-981075</wp:posOffset>
            </wp:positionV>
            <wp:extent cx="6414770"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-709930</wp:posOffset>
            </wp:positionV>
            <wp:extent cx="6414770" cy="13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-439420</wp:posOffset>
            </wp:positionV>
            <wp:extent cx="6414770" cy="135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-160020</wp:posOffset>
            </wp:positionV>
            <wp:extent cx="6414770" cy="160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4770" cy="160655"/>
                    </a:xfrm>
                    <a:prstGeom prst="rect">
                      <a:avLst/>
                    </a:prstGeom>
                    <a:noFill/>
                  </pic:spPr>
                </pic:pic>
              </a:graphicData>
            </a:graphic>
          </wp:anchor>
        </w:drawing>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1"/>
        </w:trPr>
        <w:tc>
          <w:tcPr>
            <w:tcW w:w="34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14,663</w:t>
            </w:r>
          </w:p>
        </w:tc>
        <w:tc>
          <w:tcPr>
            <w:tcW w:w="58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3"/>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2"/>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07"/>
        </w:trPr>
        <w:tc>
          <w:tcPr>
            <w:tcW w:w="20" w:type="dxa"/>
            <w:vAlign w:val="bottom"/>
          </w:tcPr>
          <w:p>
            <w:pPr>
              <w:spacing w:after="0"/>
              <w:rPr>
                <w:sz w:val="17"/>
                <w:szCs w:val="17"/>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12,789</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-1395730</wp:posOffset>
            </wp:positionV>
            <wp:extent cx="6414770" cy="135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-1125220</wp:posOffset>
            </wp:positionV>
            <wp:extent cx="6414770" cy="135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-854075</wp:posOffset>
            </wp:positionV>
            <wp:extent cx="6414770" cy="135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4770" cy="135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-574675</wp:posOffset>
            </wp:positionV>
            <wp:extent cx="6414770" cy="160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4770" cy="1606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540" w:space="720"/>
            <w:col w:w="3980"/>
          </w:cols>
          <w:pgMar w:left="320" w:top="361" w:right="339" w:bottom="1440" w:gutter="0" w:footer="0" w:header="0"/>
          <w:type w:val="continuous"/>
        </w:sectPr>
      </w:pPr>
    </w:p>
    <w:tbl>
      <w:tblPr>
        <w:tblLayout w:type="fixed"/>
        <w:tblInd w:w="48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5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15,179</w:t>
            </w:r>
          </w:p>
        </w:tc>
        <w:tc>
          <w:tcPr>
            <w:tcW w:w="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w:t>
            </w:r>
          </w:p>
        </w:tc>
        <w:tc>
          <w:tcPr>
            <w:tcW w:w="25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12,789</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47"/>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funded status</w:t>
            </w:r>
          </w:p>
        </w:tc>
        <w:tc>
          <w:tcPr>
            <w:tcW w:w="2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r>
    </w:tbl>
    <w:p>
      <w:pPr>
        <w:spacing w:after="0" w:line="195"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Changes in the actuarial (gain) loss disclosed above are primarily the result of changes in the discount rate and inflation assumptions due to underlying market conditions.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47"/>
        </w:trPr>
        <w:tc>
          <w:tcPr>
            <w:tcW w:w="48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recognized in the consolidated balance sheets consist of:</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6"/>
        </w:trPr>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8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8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32"/>
        </w:trPr>
        <w:tc>
          <w:tcPr>
            <w:tcW w:w="48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r>
      <w:tr>
        <w:trPr>
          <w:trHeight w:val="408"/>
        </w:trPr>
        <w:tc>
          <w:tcPr>
            <w:tcW w:w="48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weighted average assumptions used in determining the net pension cost for these plans follows: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6"/>
        </w:trPr>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80" w:type="dxa"/>
            <w:vAlign w:val="bottom"/>
          </w:tcPr>
          <w:p>
            <w:pPr>
              <w:spacing w:after="0"/>
              <w:rPr>
                <w:sz w:val="17"/>
                <w:szCs w:val="17"/>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2"/>
        </w:trPr>
        <w:tc>
          <w:tcPr>
            <w:tcW w:w="48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76" w:lineRule="exact"/>
        <w:rPr>
          <w:sz w:val="20"/>
          <w:szCs w:val="20"/>
          <w:color w:val="auto"/>
        </w:rPr>
      </w:pPr>
    </w:p>
    <w:p>
      <w:pPr>
        <w:jc w:val="both"/>
        <w:ind w:right="20" w:firstLine="480"/>
        <w:spacing w:after="0" w:line="276" w:lineRule="auto"/>
        <w:rPr>
          <w:sz w:val="20"/>
          <w:szCs w:val="20"/>
          <w:color w:val="auto"/>
        </w:rPr>
      </w:pPr>
      <w:r>
        <w:rPr>
          <w:rFonts w:ascii="Times New Roman" w:cs="Times New Roman" w:eastAsia="Times New Roman" w:hAnsi="Times New Roman"/>
          <w:sz w:val="18"/>
          <w:szCs w:val="18"/>
          <w:color w:val="auto"/>
        </w:rPr>
        <w:t>The discount rate assumptions used for pension accounting reflect the prevailing rates available on high-quality, fixed-income debt instruments with terms that match the average expected duration of the Company’s defined benefit pension plan obligations.</w:t>
      </w:r>
    </w:p>
    <w:p>
      <w:pPr>
        <w:spacing w:after="0" w:line="164" w:lineRule="exact"/>
        <w:rPr>
          <w:sz w:val="20"/>
          <w:szCs w:val="20"/>
          <w:color w:val="auto"/>
        </w:rPr>
      </w:pPr>
    </w:p>
    <w:p>
      <w:pPr>
        <w:jc w:val="both"/>
        <w:ind w:firstLine="480"/>
        <w:spacing w:after="0" w:line="284" w:lineRule="auto"/>
        <w:rPr>
          <w:sz w:val="20"/>
          <w:szCs w:val="20"/>
          <w:color w:val="auto"/>
        </w:rPr>
      </w:pPr>
      <w:r>
        <w:rPr>
          <w:rFonts w:ascii="Times New Roman" w:cs="Times New Roman" w:eastAsia="Times New Roman" w:hAnsi="Times New Roman"/>
          <w:sz w:val="17"/>
          <w:szCs w:val="17"/>
          <w:color w:val="auto"/>
        </w:rPr>
        <w:t>The Company’s mix of pension plan investments among asset classes also affects the long-term expected rate of return on plan assets. As of December 31, 2024, the Company’s actual asset mix approximated its target mix. Differences between actual and expected returns are recognized in the calculation of net periodic pension cost over the average remaining expected future working lifetime, which is approximately 12 years for active plan participants.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asset allocations and fair value of the Company’s pension benefits as of December 31, 2024 and 2023, were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0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7"/>
                <w:szCs w:val="17"/>
                <w:color w:val="auto"/>
              </w:rPr>
            </w:pPr>
          </w:p>
        </w:tc>
      </w:tr>
      <w:tr>
        <w:trPr>
          <w:trHeight w:val="20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securities</w:t>
            </w:r>
          </w:p>
        </w:tc>
        <w:tc>
          <w:tcPr>
            <w:tcW w:w="16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11,761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 contracts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3"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(Level 1)</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r>
      <w:tr>
        <w:trPr>
          <w:trHeight w:val="21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other unobservable inputs (Level 3)</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15,179</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16,940</w:t>
            </w: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Level 1 assets consist of cash and cash equivalents held in the pension plans.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78"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The Company expects to contribute approximately $0.3 million to its pension plan during 2025. The benefits expected to be paid from the pension plans are $0.8 million in 2025, $0.7 million in 2026, $0.7 million in 2027, $0.8 million in 2028, and $0.9 million in 2029. The expected benefits to be paid in the five years from 2030 to 2034 are $4.4 million. The expected benefits are based on the same assumptions used to measure the Company’s benefit obligation at 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7" w:lineRule="exact"/>
        <w:rPr>
          <w:sz w:val="20"/>
          <w:szCs w:val="20"/>
          <w:color w:val="auto"/>
        </w:rPr>
      </w:pPr>
    </w:p>
    <w:p>
      <w:pPr>
        <w:ind w:left="480" w:hanging="473"/>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The Company has non-cancelable operating leases for office space, manufacturing facilities, warehouse space, automobiles and equipment expiring at various dates through 2030.</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2024 and 2023, were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2,049</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is as follows: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6,132</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6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7,539</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6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7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is as follows: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2,186</w:t>
            </w:r>
          </w:p>
        </w:tc>
        <w:tc>
          <w:tcPr>
            <w:tcW w:w="560" w:type="dxa"/>
            <w:vAlign w:val="bottom"/>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color w:val="auto"/>
              </w:rPr>
              <w:t>2,945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December 31, 2024, are as follows: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78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78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78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78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78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78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780" w:type="dxa"/>
            <w:vAlign w:val="bottom"/>
          </w:tcPr>
          <w:p>
            <w:pPr>
              <w:spacing w:after="0"/>
              <w:rPr>
                <w:sz w:val="18"/>
                <w:szCs w:val="18"/>
                <w:color w:val="auto"/>
              </w:rPr>
            </w:pPr>
          </w:p>
        </w:tc>
      </w:tr>
      <w:tr>
        <w:trPr>
          <w:trHeight w:val="207"/>
        </w:trPr>
        <w:tc>
          <w:tcPr>
            <w:tcW w:w="48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78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780" w:type="dxa"/>
            <w:vAlign w:val="bottom"/>
          </w:tcPr>
          <w:p>
            <w:pPr>
              <w:spacing w:after="0"/>
              <w:rPr>
                <w:sz w:val="18"/>
                <w:szCs w:val="18"/>
                <w:color w:val="auto"/>
              </w:rPr>
            </w:pPr>
          </w:p>
        </w:tc>
      </w:tr>
      <w:tr>
        <w:trPr>
          <w:trHeight w:val="247"/>
        </w:trPr>
        <w:tc>
          <w:tcPr>
            <w:tcW w:w="48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780" w:type="dxa"/>
            <w:vAlign w:val="bottom"/>
          </w:tcPr>
          <w:p>
            <w:pPr>
              <w:spacing w:after="0"/>
              <w:rPr>
                <w:sz w:val="21"/>
                <w:szCs w:val="21"/>
                <w:color w:val="auto"/>
              </w:rPr>
            </w:pPr>
          </w:p>
        </w:tc>
      </w:tr>
      <w:tr>
        <w:trPr>
          <w:trHeight w:val="212"/>
        </w:trPr>
        <w:tc>
          <w:tcPr>
            <w:tcW w:w="48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ind w:left="1400"/>
              <w:spacing w:after="0"/>
              <w:rPr>
                <w:sz w:val="20"/>
                <w:szCs w:val="20"/>
                <w:color w:val="auto"/>
              </w:rPr>
            </w:pPr>
            <w:r>
              <w:rPr>
                <w:rFonts w:ascii="Times New Roman" w:cs="Times New Roman" w:eastAsia="Times New Roman" w:hAnsi="Times New Roman"/>
                <w:sz w:val="18"/>
                <w:szCs w:val="18"/>
                <w:color w:val="auto"/>
              </w:rPr>
              <w:t>F-23</w:t>
            </w: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r>
      <w:tr>
        <w:trPr>
          <w:trHeight w:val="94"/>
        </w:trPr>
        <w:tc>
          <w:tcPr>
            <w:tcW w:w="48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36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7" w:lineRule="exact"/>
        <w:rPr>
          <w:sz w:val="20"/>
          <w:szCs w:val="20"/>
          <w:color w:val="auto"/>
        </w:rPr>
      </w:pPr>
    </w:p>
    <w:p>
      <w:pPr>
        <w:ind w:left="480" w:hanging="473"/>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1"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and 2023, the Company’s debt was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4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24,700</w:t>
            </w:r>
          </w:p>
        </w:tc>
        <w:tc>
          <w:tcPr>
            <w:tcW w:w="64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w:t>
            </w:r>
          </w:p>
        </w:tc>
      </w:tr>
      <w:tr>
        <w:trPr>
          <w:trHeight w:val="213"/>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Revolving line</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36,956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36,563</w:t>
            </w:r>
          </w:p>
        </w:tc>
      </w:tr>
      <w:tr>
        <w:trPr>
          <w:trHeight w:val="213"/>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13"/>
        </w:trPr>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unamortized deferred financing costs</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30,704</w:t>
            </w:r>
          </w:p>
        </w:tc>
      </w:tr>
      <w:tr>
        <w:trPr>
          <w:trHeight w:val="20"/>
        </w:trPr>
        <w:tc>
          <w:tcPr>
            <w:tcW w:w="6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The Company maintains a Credit Agreement (as amended, the “Credit Agreement”) with Citizens Bank, N.A., Wells Fargo Bank, National Association, and First Citizens Bank &amp; Trust Company (together, the “Lenders”). The Credit Agreement provides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are secured by substantially all of the assets of Harvard Bioscience, Inc., including all or a portion of the equity interests in certain of the Company’s domestic and foreign subsidiaries. The Company’s obligations under the Credit Agreement are guaranteed by certain of the Company’s direct, domestic wholly owned subsidiaries; none of the Company’s direct or indirect foreign subsidiaries has guaranteed the Credit Facility. Issuance costs of $1.6 million are amortized over the contractual term to maturity date on a straight-line basis, which approximates the effective interest method. Total revolver borrowing capacity is limited by the consolidated net leverage ratio as defined under the amended Credit Agreement. As of the date of this report, the Company is unable to make additional borrowings under its revolving credit facility due to net leverage ratio requirements set forth in the August 6, 2024 amendment to the Credit Agreement (the “August 2024 Amendment”) and the terms of the March 10, 2025 amendment to the Credit Agreement (the “March 2025 Amendment”), as described below.</w:t>
      </w:r>
    </w:p>
    <w:p>
      <w:pPr>
        <w:spacing w:after="0" w:line="18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Borrowings under the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 “SOFR Loan”), subject to a floor of 0.50%, or (ii) an alternative base rate plus an applicable interest rate margin, each as determined as provided in the Credit Agreement (an “ABR Loan”). The alternative base rate is based on the Citizens Bank prime rate or the federal funds effective rate of the Federal Reserve Bank of New York and is subject to a floor of 1.0%. Pursuant to the August 2024 Amendment, the applicable interest rate margin varies from 2.0% per annum to 3.75% per annum for SOFR Loans, and from 1.5% per annum to 3.5% per annum for ABR Loans, in each case depending on the Company’s consolidated net leverage ratio and is determined in accordance with a pricing grid set forth in the Credit Agreement, as amended. There are no prepayment penalties in the event the Company elects to prepay and terminate the Credit Facility prior to its scheduled maturity date, subject to SOFR Loan breakage and redeployment costs in certain circumstances.</w:t>
      </w:r>
    </w:p>
    <w:p>
      <w:pPr>
        <w:spacing w:after="0" w:line="192" w:lineRule="exact"/>
        <w:rPr>
          <w:sz w:val="20"/>
          <w:szCs w:val="20"/>
          <w:color w:val="auto"/>
        </w:rPr>
      </w:pPr>
    </w:p>
    <w:p>
      <w:pPr>
        <w:jc w:val="both"/>
        <w:ind w:firstLine="480"/>
        <w:spacing w:after="0" w:line="284" w:lineRule="auto"/>
        <w:rPr>
          <w:sz w:val="20"/>
          <w:szCs w:val="20"/>
          <w:color w:val="auto"/>
        </w:rPr>
      </w:pPr>
      <w:r>
        <w:rPr>
          <w:rFonts w:ascii="Times New Roman" w:cs="Times New Roman" w:eastAsia="Times New Roman" w:hAnsi="Times New Roman"/>
          <w:sz w:val="17"/>
          <w:szCs w:val="17"/>
          <w:color w:val="auto"/>
        </w:rPr>
        <w:t>The effective interest rate on the Company’s borrowings for both of the years ended December 31, 2024 and 2023, was 8.1%. The weighted average interest rate as of December 31, 2024, net of the effect of the Company’s interest rate swap agreement, was 8.4%. The carrying value of the debt approximates fair value because the interest rate under the obligation approximates market rates of interest available to the Company for similar instruments.</w:t>
      </w:r>
    </w:p>
    <w:p>
      <w:pPr>
        <w:spacing w:after="0" w:line="159"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As of December 31, 2024, the term loan requires quarterly installment payments of $1.0 million with a balloon payment at maturity on December 22, 2025. Furthermore, within ninety days after the end of the Company’s fiscal year, the term loan may be permanently reduced pursuant to certain mandatory prepayment events including an annual “excess cash flow sweep”, as defined in the Credit Agreement, provided that, in any fiscal year, any voluntary prepayments of the term loan shall be credited against the Company’s “excess cash flow” prepayment obligations on a dollar-for-dollar basis for such fiscal year. There is no excess cash flow sweep requirement for the year ended December 31, 2024. As of December 31, 2023, the current portion of long-term debt included amounts due under the excess cash flow sweep of $2.0 million which was paid on March 29, 2024. Amounts outstanding under the revolving credit facility can be repaid at any time but are due in full at maturity.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Credit Agreement includes various customary financial covenants and other affirmative and negative covenants binding on the Company. The negative covenants limit the ability of the Company, among other things, to incur debt, permit liens, make investments, sell assets, or pay dividends on its capital stock. The financial covenants include a maximum consolidated net leverage ratio and a minimum consolidated fixed charge coverage ratio. The Credit Agreement also includes customary events of default.</w:t>
      </w:r>
    </w:p>
    <w:p>
      <w:pPr>
        <w:spacing w:after="0" w:line="180"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Credit Agreement pursuant to which the Lenders and administrative agent modified the definition of Consolidated EBITDA used in the calculation of certain financial covenants to adjust for charges related to an abandoned property audit (see Note 13) and commission fees in connection with ERTC filings (see Note 5).</w:t>
      </w:r>
    </w:p>
    <w:p>
      <w:pPr>
        <w:spacing w:after="0" w:line="178"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In August 2024, the Company entered into an amendment to the Credit Agreement that, among other things, modified the financial covenants relating to the consolidated net leverage ratio and consolidated fixed charge coverage ratio through the period ended December 31, 2024. The amendment also added a net leverage ratio requirement with respect to additional borrowing under the Company’s revolving credit facility and restrictions on certain additional indebtedness and investments. In addition, the applicable interest rate margin was increased by 50bps during such time as the Company’s consolidated net leverage ratio is greater than 3.0. The Company paid fees of $0.2 million to the Lenders in connection with the amendment.</w:t>
      </w:r>
    </w:p>
    <w:p>
      <w:pPr>
        <w:spacing w:after="0" w:line="18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18"/>
          <w:szCs w:val="18"/>
          <w:color w:val="auto"/>
        </w:rPr>
        <w:t>The Company was not in compliance with the consolidated net leverage ratio covenant contained in the Credit Agreement as of the December 31, 2024 test date. On March 10, 2025, the Company entered into the March 2025 Amendment pursuant to which the lenders and administrative agent agreed to waive such non-compliance subject to the terms contained in the March 2025 Amendment. The March 2025 Amendment provides, among other things, that the lender’s commitment under the Company’s revolving credit facility is capped at the amount outstanding thereunder as of the date thereof and thus the Company is unable to make additional borrowings under the revolving credit facility. The March 2025 Amendment also provides that the Company’s failure to achieve certain refinancing milestones, including receipt of a term sheet or commitment letter from one or more potential lenders, by the dates provided in the March 2025 Amendment or the Company’s failure to consummate a refinancing of the Credit Agreement by June 30, 2025, would, in either case, constitute an event of default under the Credit Agreement. The lenders also agreed not to assert the financial covenants for the first quarter of fiscal year 2025 provided that the Company continues to comply with its payment obligations, achieves the refinancing milestones, provides the administrative agent with certain financial reports and maintains a minimum level of liquidity as defined by the March 2025 Amendment. If the Company is not able to comply with the terms and conditions of the March 2025 Amendment, or if the Company is otherwise unable to regain and maintain compliance with the covenants under the Credit Agreement, as amended, or are unsuccessful in obtaining waivers or amendments for any covenant in the future, in addition to other actions the Company’s lenders may require, the amounts outstanding under the Credit Agreement may become immediately due and payable. The Company paid fees of $0.1 million to the Lenders in connection with the March 2025 Amendment.</w:t>
      </w:r>
    </w:p>
    <w:p>
      <w:pPr>
        <w:spacing w:after="0" w:line="192"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If the Company is not able to comply with the terms and conditions of the March 2025 Amendment, or if the Company is otherwise unable to regain and maintain compliance with the covenants under the Credit Agreement, as amended, or are unsuccessful in obtaining waivers or amendments for any covenant in the future, in addition to other actions the lenders may require, the amounts outstanding under the Credit Agreement may become immediately due and payable.</w:t>
      </w:r>
    </w:p>
    <w:p>
      <w:pPr>
        <w:spacing w:after="0" w:line="204" w:lineRule="exact"/>
        <w:rPr>
          <w:sz w:val="20"/>
          <w:szCs w:val="20"/>
          <w:color w:val="auto"/>
        </w:rPr>
      </w:pPr>
    </w:p>
    <w:p>
      <w:pPr>
        <w:ind w:left="480" w:hanging="473"/>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1"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contract to improve the predictability of cash flows from interest payments related to its variable, SOFR-based debt. The swap contract had a notional amount of $21.7 million as of December 31, 2024,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10, Debt. The swap contract is considered an effective cash flow hedge, and as a result, net gains or losses are reported as a component of other comprehensive income (“OCI”) in the consolidated financial statements and are reclassified when the underlying hedged interest impacts earnings. An assessment is performed quarterly to evaluate the ongoing hedge effectiveness.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 as of December 31, 2024 and 2023:</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ind w:left="120"/>
              <w:spacing w:after="0" w:line="186"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Derivatives Instruments</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Classification</w:t>
            </w:r>
          </w:p>
        </w:tc>
        <w:tc>
          <w:tcPr>
            <w:tcW w:w="100" w:type="dxa"/>
            <w:vAlign w:val="bottom"/>
          </w:tcPr>
          <w:p>
            <w:pPr>
              <w:spacing w:after="0"/>
              <w:rPr>
                <w:sz w:val="20"/>
                <w:szCs w:val="20"/>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8"/>
              </w:rPr>
              <w:t>Fair Value (a)</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8"/>
              </w:rPr>
              <w:t>Fair Value (a)</w:t>
            </w: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Interest rate swap</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current liabilities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21,658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Interest rate swap</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long-term liabilities</w:t>
            </w:r>
          </w:p>
        </w:tc>
        <w:tc>
          <w:tcPr>
            <w:tcW w:w="4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See Note 13 for the fair value measurements related to this financial instrument.</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derivatives designated as cash flow hedging instruments for the years ended December 31, 2024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Qualifying as Hedges, net of tax </w:t>
            </w:r>
            <w:r>
              <w:rPr>
                <w:rFonts w:ascii="Times New Roman" w:cs="Times New Roman" w:eastAsia="Times New Roman" w:hAnsi="Times New Roman"/>
                <w:sz w:val="18"/>
                <w:szCs w:val="18"/>
                <w:color w:val="auto"/>
              </w:rPr>
              <w:t>(in thousands)</w:t>
            </w:r>
          </w:p>
        </w:tc>
        <w:tc>
          <w:tcPr>
            <w:tcW w:w="276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recognized in OCI on derivatives (effective portion)</w:t>
            </w:r>
          </w:p>
        </w:tc>
        <w:tc>
          <w:tcPr>
            <w:tcW w:w="180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 to interest expense</w:t>
            </w:r>
          </w:p>
        </w:tc>
        <w:tc>
          <w:tcPr>
            <w:tcW w:w="1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0" w:lineRule="exact"/>
        <w:rPr>
          <w:sz w:val="20"/>
          <w:szCs w:val="20"/>
          <w:color w:val="auto"/>
        </w:rPr>
      </w:pPr>
    </w:p>
    <w:p>
      <w:pPr>
        <w:spacing w:after="0" w:line="214" w:lineRule="exact"/>
        <w:rPr>
          <w:sz w:val="20"/>
          <w:szCs w:val="20"/>
          <w:color w:val="auto"/>
        </w:rPr>
      </w:pPr>
    </w:p>
    <w:p>
      <w:pPr>
        <w:ind w:left="480" w:hanging="473"/>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Equity Securities</w:t>
      </w:r>
    </w:p>
    <w:p>
      <w:pPr>
        <w:spacing w:after="0" w:line="221"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In April 2023, the Company received shares of common stock of Harvard Apparatus Regenerative Technology, Inc. (“HRGN”, formerly known as Biostage, Inc.) in connection with settlement of indemnification obligations related to litigation which was resolved during the year ended December 31, 2022. As of December 31, 2023, these shares had an estimated fair value $3.5 million and are included in the consolidated balance sheet as a component of other long-term assets. For the year ended December 31, 2023, the Company recognized a loss on equity securities of $0.6 million. During the year ended December 31, 2024, the Company sold its HRGN shares for $1.9 million and recorded a loss on equity securities of $1.6 million.</w:t>
      </w:r>
    </w:p>
    <w:p>
      <w:pPr>
        <w:spacing w:after="0" w:line="209" w:lineRule="exact"/>
        <w:rPr>
          <w:sz w:val="20"/>
          <w:szCs w:val="20"/>
          <w:color w:val="auto"/>
        </w:rPr>
      </w:pPr>
    </w:p>
    <w:p>
      <w:pPr>
        <w:ind w:left="480" w:hanging="473"/>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1"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the fair value hierarchy for those assets or liabilities measured at fair value on a recurring basis: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Assets (Liabilities) </w:t>
            </w: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26"/>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assets and liabilities. The Company’s financial assets and liabilities carried at fair value include, when applicable, investments in common stock and derivative instruments used to hedge the Company’s interest rate risks. The fair value of the Company’s interest rate swap agreement was based on SOFR-yield curves at the reporting date. The fair value of the Company’s investment in common stock of Harvard Apparatus Regenerative Technologies (“HRGN” formerly known as Biostage, Inc.) was based on the closing price as quoted on the OTCQB Marketplace at the reporting date.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7" w:lineRule="exact"/>
        <w:rPr>
          <w:sz w:val="20"/>
          <w:szCs w:val="20"/>
          <w:color w:val="auto"/>
        </w:rPr>
      </w:pPr>
    </w:p>
    <w:p>
      <w:pPr>
        <w:ind w:left="480" w:hanging="473"/>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1"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Stock-based compensation expense for the years ended December 31, 2024 and 2023, was allocated as follows:</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General and administrative expenses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Research and development expenses</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8"/>
        </w:trPr>
        <w:tc>
          <w:tcPr>
            <w:tcW w:w="2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6"/>
                <w:szCs w:val="16"/>
                <w:color w:val="auto"/>
              </w:rPr>
            </w:pPr>
          </w:p>
        </w:tc>
        <w:tc>
          <w:tcPr>
            <w:tcW w:w="30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308</w:t>
            </w:r>
          </w:p>
        </w:tc>
      </w:tr>
      <w:tr>
        <w:trPr>
          <w:trHeight w:val="213"/>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13"/>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32"/>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07"/>
        </w:trPr>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-709930</wp:posOffset>
            </wp:positionV>
            <wp:extent cx="5703570" cy="135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3570" cy="13525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-439420</wp:posOffset>
            </wp:positionV>
            <wp:extent cx="5703570"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3570" cy="13525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-160020</wp:posOffset>
            </wp:positionV>
            <wp:extent cx="5703570" cy="160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3570" cy="1606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800" w:space="720"/>
            <w:col w:w="4720"/>
          </w:cols>
          <w:pgMar w:left="320" w:top="361" w:right="339" w:bottom="1440" w:gutter="0" w:footer="0" w:header="0"/>
          <w:type w:val="continuous"/>
        </w:sect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As of December 31, 2024, the total compensation costs related to unvested awards not yet recognized is $4.1 million and the weighted average period over which it is expected to be recognized is approximately 1.6 years. During the years ended December 31, 2024 and 2023, the Company did not capitalize any stock-based compensation.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During 2021, the Company’s board of directors and stockholders adopted the 2021 Incentive Plan which authorized additional shares available for grants to officers, employees, non-employee directors and other key persons of the Company and its subsidiaries. As of December 31, 2024, there were approximately 2.4 million shares available for issuance under the 2021 Incentive Plan.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with a Market Condition</w:t>
      </w:r>
    </w:p>
    <w:p>
      <w:pPr>
        <w:spacing w:after="0" w:line="223"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7"/>
          <w:szCs w:val="17"/>
          <w:color w:val="auto"/>
        </w:rPr>
        <w:t>The Company granted deferred awards of market condition restricted stock units (the “Market Condition RSUs”) to certain members of the Company’s management team. The vesting of the Market Condition RSUs is linked to the achievement of a relative total shareholder return (“TSR”) of the Company’s common stock measured from the earlier of (i) the measurement period as set out in the award agreement or (ii) upon a change of control (measured relative to the Nasdaq Biotechnology or Russell 2000 index and based on a 20-day trading average price) and is subject to a one-year holding period after vesting.</w:t>
      </w:r>
    </w:p>
    <w:p>
      <w:pPr>
        <w:spacing w:after="0" w:line="167"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For Market Condition RSUs with a measurement period that concluded during the years ended December 31, 2024 and 2023, the TSR of the Company’s common stock relative to the applicable index resulted in achieving a weighted average vesting of 21% and 100% of the target, respectively. Market Condition RSUs outstanding as of December 31, 2024 remain subject to a TSR measurement which can result in vesting rates ranging from 0% to 150% of the target number.</w:t>
      </w:r>
    </w:p>
    <w:p>
      <w:pPr>
        <w:spacing w:after="0" w:line="180"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The weighted average assumptions used in the valuation of the Market Condition RSUs granted during the year ended December 31, 2023, are as follows:</w:t>
      </w:r>
    </w:p>
    <w:p>
      <w:pPr>
        <w:spacing w:after="0" w:line="164"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Liquidity discount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76"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Company used historical volatility to calculate the expected volatility matching the expected holding period. The risk-free interest rate assumption is based upon observed U.S. Treasury bill interest rates (risk-free) corresponding with the requisite service period. Additionally, the Company assumes a liquidity discount to adjust the fair value for the one-year holding period post-vest restrictions.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with a Performance Condition</w:t>
      </w:r>
    </w:p>
    <w:p>
      <w:pPr>
        <w:spacing w:after="0" w:line="223"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Awards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Restricted stock unit (“RSU”) activity for the years ended December 31, 2024 and 2023, was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3220" w:type="dxa"/>
            <w:vAlign w:val="bottom"/>
          </w:tcPr>
          <w:p>
            <w:pPr>
              <w:spacing w:after="0"/>
              <w:rPr>
                <w:sz w:val="18"/>
                <w:szCs w:val="18"/>
                <w:color w:val="auto"/>
              </w:rPr>
            </w:pPr>
          </w:p>
        </w:tc>
        <w:tc>
          <w:tcPr>
            <w:tcW w:w="12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3220" w:type="dxa"/>
            <w:vAlign w:val="bottom"/>
          </w:tcPr>
          <w:p>
            <w:pPr>
              <w:spacing w:after="0"/>
              <w:rPr>
                <w:sz w:val="18"/>
                <w:szCs w:val="18"/>
                <w:color w:val="auto"/>
              </w:rPr>
            </w:pPr>
          </w:p>
        </w:tc>
        <w:tc>
          <w:tcPr>
            <w:tcW w:w="12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4"/>
        </w:trPr>
        <w:tc>
          <w:tcPr>
            <w:tcW w:w="3220" w:type="dxa"/>
            <w:vAlign w:val="bottom"/>
          </w:tcPr>
          <w:p>
            <w:pPr>
              <w:spacing w:after="0"/>
              <w:rPr>
                <w:sz w:val="20"/>
                <w:szCs w:val="20"/>
                <w:color w:val="auto"/>
              </w:rPr>
            </w:pPr>
          </w:p>
        </w:tc>
        <w:tc>
          <w:tcPr>
            <w:tcW w:w="12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1,093,801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3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646,235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c>
          <w:tcPr>
            <w:tcW w:w="13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7"/>
                <w:szCs w:val="17"/>
                <w:color w:val="auto"/>
              </w:rPr>
            </w:pPr>
          </w:p>
        </w:tc>
      </w:tr>
      <w:tr>
        <w:trPr>
          <w:trHeight w:val="213"/>
        </w:trPr>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1,350,125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3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558,958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1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c>
          <w:tcPr>
            <w:tcW w:w="13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1,164,996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w:t>
            </w:r>
          </w:p>
        </w:tc>
        <w:tc>
          <w:tcPr>
            <w:tcW w:w="13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801,845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3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7"/>
                <w:szCs w:val="17"/>
                <w:color w:val="auto"/>
              </w:rPr>
            </w:pPr>
          </w:p>
        </w:tc>
      </w:tr>
      <w:tr>
        <w:trPr>
          <w:trHeight w:val="213"/>
        </w:trPr>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1,078,213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3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375,895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3"/>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13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7"/>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1,378,995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558,958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375,895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aggregate fair value of RSUs that vested during the years ended December 31, 2024, and 2023 was $1.8 million and $7.5 million,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shares related to market-based and performance-based vesting conditions are reflected at 100% of their target vesting amount in the table above.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vesting could range from zero to 150% of their target amounts.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2024 and 2023, was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Aggregate</w:t>
            </w:r>
          </w:p>
        </w:tc>
      </w:tr>
      <w:tr>
        <w:trPr>
          <w:trHeight w:val="213"/>
        </w:trPr>
        <w:tc>
          <w:tcPr>
            <w:tcW w:w="5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13"/>
        </w:trPr>
        <w:tc>
          <w:tcPr>
            <w:tcW w:w="5860" w:type="dxa"/>
            <w:vAlign w:val="bottom"/>
          </w:tcPr>
          <w:p>
            <w:pPr>
              <w:spacing w:after="0"/>
              <w:rPr>
                <w:sz w:val="18"/>
                <w:szCs w:val="18"/>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4"/>
        </w:trPr>
        <w:tc>
          <w:tcPr>
            <w:tcW w:w="5860" w:type="dxa"/>
            <w:vAlign w:val="bottom"/>
          </w:tcPr>
          <w:p>
            <w:pPr>
              <w:spacing w:after="0"/>
              <w:rPr>
                <w:sz w:val="20"/>
                <w:szCs w:val="20"/>
                <w:color w:val="auto"/>
              </w:rPr>
            </w:pPr>
          </w:p>
        </w:tc>
        <w:tc>
          <w:tcPr>
            <w:tcW w:w="12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1,238,776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2023</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924,067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2024</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827,458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gridSpan w:val="2"/>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both"/>
        <w:ind w:right="100" w:firstLine="480"/>
        <w:spacing w:after="0" w:line="261" w:lineRule="auto"/>
        <w:rPr>
          <w:sz w:val="20"/>
          <w:szCs w:val="20"/>
          <w:color w:val="auto"/>
        </w:rPr>
      </w:pPr>
      <w:r>
        <w:rPr>
          <w:rFonts w:ascii="Times New Roman" w:cs="Times New Roman" w:eastAsia="Times New Roman" w:hAnsi="Times New Roman"/>
          <w:sz w:val="18"/>
          <w:szCs w:val="18"/>
          <w:color w:val="auto"/>
        </w:rPr>
        <w:t>There is no aggregate intrinsic value at December 31, 2024 because the Company’s closing stock price of $2.11 is below the exercise price of the outstanding options. The aggregate intrinsic value of options exercised was nil and $0.6 million for the years ended December 31, 2024 and 2023, respectively.</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3" w:lineRule="exact"/>
        <w:rPr>
          <w:sz w:val="20"/>
          <w:szCs w:val="20"/>
          <w:color w:val="auto"/>
        </w:rPr>
      </w:pPr>
    </w:p>
    <w:p>
      <w:pPr>
        <w:jc w:val="both"/>
        <w:ind w:right="100" w:firstLine="480"/>
        <w:spacing w:after="0" w:line="252" w:lineRule="auto"/>
        <w:rPr>
          <w:sz w:val="20"/>
          <w:szCs w:val="20"/>
          <w:color w:val="auto"/>
        </w:rPr>
      </w:pPr>
      <w:r>
        <w:rPr>
          <w:rFonts w:ascii="Times New Roman" w:cs="Times New Roman" w:eastAsia="Times New Roman" w:hAnsi="Times New Roman"/>
          <w:sz w:val="18"/>
          <w:szCs w:val="18"/>
          <w:color w:val="auto"/>
        </w:rPr>
        <w:t>The Company has an employee stock purchase plan under which eligible employees may purchase a limited number of shares of common stock at a discount of up to 15% of the market value of such stock at pre-determined and plan-defined dates. There were 0.1 million and 0.2 million shares issued under the ESPP during the years ended December 31, 2024 and 2023, respectively. As of December 31, 2024, there were 0.1 million shares available for issuance under the ESPP.</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361"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7" w:lineRule="exact"/>
        <w:rPr>
          <w:sz w:val="20"/>
          <w:szCs w:val="20"/>
          <w:color w:val="auto"/>
        </w:rPr>
      </w:pPr>
    </w:p>
    <w:p>
      <w:pPr>
        <w:ind w:left="480" w:hanging="473"/>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1"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expense for the years ended December 31, 2024 and 2023, consisted of:</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23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7"/>
        </w:trPr>
        <w:tc>
          <w:tcPr>
            <w:tcW w:w="4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7"/>
        </w:trPr>
        <w:tc>
          <w:tcPr>
            <w:tcW w:w="4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7"/>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bl>
    <w:p>
      <w:pPr>
        <w:spacing w:after="0" w:line="195"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effective tax rate for the year ended December 31, 2024 was (6.3)% as compared with (33.5)% for the same period in 2023. The difference between the Company’s effective tax rate year over year was primarily attributable to changes to tax attribute carryforwards, a decrease in the Company’s GILTI inclusion, and a difference in the Company’s excess tax benefits related to stock compensation.</w:t>
      </w:r>
    </w:p>
    <w:p>
      <w:pPr>
        <w:spacing w:after="0" w:line="178"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Income tax expense for the years ended December 31, 2024 and 2023, differed from the amount computed by applying the U.S. federal income tax rate of 21% to pre-tax loss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computed at federal statutory tax rate</w:t>
            </w: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Permanent differences,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 true-ups and expirations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reserve for uncertain tax position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change to prior year tax accruals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valuation allowance allocated to income tax</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7"/>
                <w:szCs w:val="17"/>
                <w:color w:val="auto"/>
              </w:rPr>
            </w:pPr>
          </w:p>
        </w:tc>
        <w:tc>
          <w:tcPr>
            <w:tcW w:w="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was based on the following pre-tax (loss)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8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(10,966)</w:t>
            </w:r>
          </w:p>
        </w:tc>
        <w:tc>
          <w:tcPr>
            <w:tcW w:w="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80" w:type="dxa"/>
            <w:vAlign w:val="bottom"/>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(11,665)</w:t>
            </w:r>
          </w:p>
        </w:tc>
        <w:tc>
          <w:tcPr>
            <w:tcW w:w="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480" w:type="dxa"/>
            <w:vAlign w:val="bottom"/>
          </w:tcPr>
          <w:p>
            <w:pPr>
              <w:spacing w:after="0"/>
              <w:rPr>
                <w:sz w:val="24"/>
                <w:szCs w:val="24"/>
                <w:color w:val="auto"/>
              </w:rPr>
            </w:pPr>
          </w:p>
        </w:tc>
        <w:tc>
          <w:tcPr>
            <w:tcW w:w="6700" w:type="dxa"/>
            <w:vAlign w:val="bottom"/>
            <w:tcBorders>
              <w:top w:val="single" w:sz="8" w:color="CCEEFF"/>
            </w:tcBorders>
          </w:tcPr>
          <w:p>
            <w:pPr>
              <w:ind w:left="4980"/>
              <w:spacing w:after="0"/>
              <w:rPr>
                <w:sz w:val="20"/>
                <w:szCs w:val="20"/>
                <w:color w:val="auto"/>
              </w:rPr>
            </w:pPr>
            <w:r>
              <w:rPr>
                <w:rFonts w:ascii="Times New Roman" w:cs="Times New Roman" w:eastAsia="Times New Roman" w:hAnsi="Times New Roman"/>
                <w:sz w:val="18"/>
                <w:szCs w:val="18"/>
                <w:color w:val="auto"/>
              </w:rPr>
              <w:t>F-29</w:t>
            </w: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8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deferred tax liabilities at December 31, 2024 and 2023, were as follows: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1,489</w:t>
            </w:r>
          </w:p>
        </w:tc>
      </w:tr>
      <w:tr>
        <w:trPr>
          <w:trHeight w:val="21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loss and credit carryforwards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11,550</w:t>
            </w: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3,908</w:t>
            </w:r>
          </w:p>
        </w:tc>
      </w:tr>
      <w:tr>
        <w:trPr>
          <w:trHeight w:val="21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1,435</w:t>
            </w: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1,317</w:t>
            </w:r>
          </w:p>
        </w:tc>
      </w:tr>
      <w:tr>
        <w:trPr>
          <w:trHeight w:val="21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670</w:t>
            </w:r>
          </w:p>
        </w:tc>
      </w:tr>
      <w:tr>
        <w:trPr>
          <w:trHeight w:val="21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w:t>
            </w: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934</w:t>
            </w:r>
          </w:p>
        </w:tc>
      </w:tr>
      <w:tr>
        <w:trPr>
          <w:trHeight w:val="20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assets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23,665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22,507</w:t>
            </w: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(15,222)</w:t>
            </w:r>
          </w:p>
        </w:tc>
      </w:tr>
      <w:tr>
        <w:trPr>
          <w:trHeight w:val="20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5,896</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7,285</w:t>
            </w:r>
          </w:p>
        </w:tc>
      </w:tr>
      <w:tr>
        <w:trPr>
          <w:trHeight w:val="207"/>
        </w:trPr>
        <w:tc>
          <w:tcPr>
            <w:tcW w:w="67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1,964</w:t>
            </w:r>
          </w:p>
        </w:tc>
      </w:tr>
      <w:tr>
        <w:trPr>
          <w:trHeight w:val="21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3,733</w:t>
            </w: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959</w:t>
            </w:r>
          </w:p>
        </w:tc>
      </w:tr>
      <w:tr>
        <w:trPr>
          <w:trHeight w:val="21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 plans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w:t>
            </w:r>
          </w:p>
        </w:tc>
      </w:tr>
      <w:tr>
        <w:trPr>
          <w:trHeight w:val="21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r>
      <w:tr>
        <w:trPr>
          <w:trHeight w:val="207"/>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7,625</w:t>
            </w:r>
          </w:p>
        </w:tc>
      </w:tr>
      <w:tr>
        <w:trPr>
          <w:trHeight w:val="20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0"/>
        </w:trPr>
        <w:tc>
          <w:tcPr>
            <w:tcW w:w="6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Deferred income tax assets and liabilities by classification on the consolidated balance sheets were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(included in other long-term assets)</w:t>
            </w:r>
          </w:p>
        </w:tc>
        <w:tc>
          <w:tcPr>
            <w:tcW w:w="1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4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195"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of $1.3 million, state net operating loss carryforwards of $8.4 million, and foreign net operating loss carryforwards of $7.8 million The federal and foreign net operating losses can be carried forward indefinitely while the state net operating losses expire between 2025 and 2044, all of which are partially offset by valuation allowances. The Company had $7.6 million of federal research and development tax credit carryforwards which begin to expire in 2025 and are partially offset by a reserve of $0.8 million for uncertain tax positions. The Company had a total of $2.7 million of state investment tax credit carryforwards, research and development tax credit carryforwards, and enterprise zone credit carryforwards, which begin to expire in 2025 and are partially offset by a reserve of $0.3 million for uncertain tax positions. In addition, the Company had a total of $0.4 million of international R&amp;D credits which begin to expire in 2037. The Internal Revenue Code (“IRC”) limits the amounts of net operating loss carryforwards or credits that a company may use in any one year in the event of a change in ownership under IRC Sections 382 or 383. The Company completed a study through December 31, 2023 and determined that no Section 382 ownership changes occurred.</w:t>
      </w:r>
    </w:p>
    <w:p>
      <w:pPr>
        <w:spacing w:after="0" w:line="192"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8"/>
          <w:szCs w:val="18"/>
          <w:color w:val="auto"/>
        </w:rPr>
        <w:t>As of December 31, 2024 and 2023, the Company maintained a total valuation allowance of $17.8 million and $15.2 million, respectively, which related to foreign, federal, and state deferred tax assets in both years. The valuation allowance was based on estimates of taxable income in each of the jurisdictions in which the Company operates and the period over which deferred tax assets will be recoverable. The net change in the total valuation allowance for the years ended December 31, 2024 and 2023, was an increase of $2.5 million and $0.7 million, respectively. During the year ended December 31, 2024, the Company increased the valuation allowance related to the estimate of realizability of Spanish deferred tax assets and deferred tax assets related to the net operating losses and credit carryforwards generated in the current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cash and cash equivalents held by the Company’s foreign subsidiaries were $2.7 million and $2.1 million, respectively. As of December 31, 2024, the Company has determined the potential income tax and withholding liability related to available cash balances at foreign subsidiaries to be immaterial.</w:t>
      </w:r>
    </w:p>
    <w:p>
      <w:pPr>
        <w:spacing w:after="0" w:line="17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activity of unrecognized tax benefits is as follows:</w:t>
            </w: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2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13"/>
        </w:trPr>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current year</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3"/>
        </w:trPr>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decreases, net</w:t>
            </w:r>
          </w:p>
        </w:tc>
        <w:tc>
          <w:tcPr>
            <w:tcW w:w="1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13"/>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3"/>
        </w:trPr>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3"/>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current year</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3"/>
        </w:trPr>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decreases, net</w:t>
            </w:r>
          </w:p>
        </w:tc>
        <w:tc>
          <w:tcPr>
            <w:tcW w:w="14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The Company expects the amount of unrecognized tax benefits to change within the next twelve months, including the release of reserves of approximately $0.2 million. Substantially all of the liability for uncertain tax benefits related to various federal, state and foreign income tax matters would benefit the Company's effective tax rate, if recognized. The Company classifies interest and penalties related to unrecognized tax benefits as a component of income tax expense, which has not been significant during the years ended December 31, 2024 and 2023, respectively.</w:t>
      </w:r>
    </w:p>
    <w:p>
      <w:pPr>
        <w:spacing w:after="0" w:line="180"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With a few exceptions, the Company is no longer subject to income tax examinations by tax authorities in foreign jurisdictions for the years before 2020. In the U.S., the Company’s net operating loss and tax credit carryforward amounts remain subject to federal and state examination for tax years starting in 2005 as a result of tax credits generated in the prior years. There are currently no pending federal or state tax examinations.</w:t>
      </w:r>
    </w:p>
    <w:p>
      <w:pPr>
        <w:spacing w:after="0" w:line="202" w:lineRule="exact"/>
        <w:rPr>
          <w:sz w:val="20"/>
          <w:szCs w:val="20"/>
          <w:color w:val="auto"/>
        </w:rPr>
      </w:pPr>
    </w:p>
    <w:p>
      <w:pPr>
        <w:ind w:left="480" w:hanging="473"/>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21"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84"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and officers.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December 31, 2024.</w:t>
      </w:r>
    </w:p>
    <w:p>
      <w:pPr>
        <w:spacing w:after="0" w:line="180"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recorded an expense of $0.3 million during the year ended December 31, 2024, related to the completion of unclaimed property audits which have been included in other operating expenses in the consolidated statement of operations.</w:t>
      </w:r>
    </w:p>
    <w:p>
      <w:pPr>
        <w:spacing w:after="0" w:line="209" w:lineRule="exact"/>
        <w:rPr>
          <w:sz w:val="20"/>
          <w:szCs w:val="20"/>
          <w:color w:val="auto"/>
        </w:rPr>
      </w:pPr>
    </w:p>
    <w:p>
      <w:pPr>
        <w:ind w:left="480" w:hanging="473"/>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Line Disposition</w:t>
      </w:r>
    </w:p>
    <w:p>
      <w:pPr>
        <w:spacing w:after="0" w:line="221"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In February 2023, the Company completed the disposition of its Hoefer product line for cash consideration of $0.5 million. The carrying value of assets sold was $0.1 million resulting in a gain on disposition of $0.4 million which is recorded in other (expense) income, net, in the consolidated statement of operations for the year ended December 31, 2023. Revenue and gross profit of this disposed product line included in the condensed consolidated statement of operations for the year ended December 31, 2023 were not significant.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7" w:lineRule="exact"/>
        <w:rPr>
          <w:sz w:val="20"/>
          <w:szCs w:val="20"/>
          <w:color w:val="auto"/>
        </w:rPr>
      </w:pPr>
    </w:p>
    <w:p>
      <w:pPr>
        <w:ind w:left="480" w:hanging="473"/>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221"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18"/>
          <w:szCs w:val="18"/>
          <w:color w:val="auto"/>
        </w:rPr>
        <w:t xml:space="preserve">As there is no authoritative guidance under U.S. GAAP on accounting for grants to for profit business entities from government entities, the Company accounts for government assistance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w:t>
      </w:r>
      <w:r>
        <w:rPr>
          <w:rFonts w:ascii="Times New Roman" w:cs="Times New Roman" w:eastAsia="Times New Roman" w:hAnsi="Times New Roman"/>
          <w:sz w:val="18"/>
          <w:szCs w:val="18"/>
          <w:color w:val="auto"/>
        </w:rPr>
        <w:t>Assistance (IAS 20). Under IAS 20, government grants are recognized when there is reasonable assurance that the grant will be received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all conditions related to the grant will be met. Grants related to income are presented as part of the consolidated statements of operations either as a deduction of the related expense or reported separately in other income. The Company recognizes government assistance that supplements salaries or research activities as a reduction of the related operating expense over the period for which it is intended to compensate. Government assistance that is not directly related to expense reimbursement or relates to costs incurred in a previous fiscal period is recorded as other income.</w:t>
      </w:r>
    </w:p>
    <w:p>
      <w:pPr>
        <w:spacing w:after="0" w:line="185" w:lineRule="exact"/>
        <w:rPr>
          <w:sz w:val="20"/>
          <w:szCs w:val="20"/>
          <w:color w:val="auto"/>
        </w:rPr>
      </w:pPr>
    </w:p>
    <w:p>
      <w:pPr>
        <w:jc w:val="both"/>
        <w:ind w:firstLine="480"/>
        <w:spacing w:after="0" w:line="251" w:lineRule="auto"/>
        <w:rPr>
          <w:sz w:val="20"/>
          <w:szCs w:val="20"/>
          <w:color w:val="auto"/>
        </w:rPr>
      </w:pPr>
      <w:r>
        <w:rPr>
          <w:rFonts w:ascii="Times New Roman" w:cs="Times New Roman" w:eastAsia="Times New Roman" w:hAnsi="Times New Roman"/>
          <w:sz w:val="18"/>
          <w:szCs w:val="18"/>
          <w:color w:val="auto"/>
        </w:rPr>
        <w:t>The Coronavirus Aid, Relief, and Economic Security Act of 2020 (“CARES Act”) provided an employee retention tax credit (“ERTC”) that was a refundable tax credit against certain employer taxes. The Company elected to account for the credit as a government grant. The Company received ERTC refunds of $3.2 million during the year ended December 31, 2024. Due to the subjectivity of the credit, the Company has included the refunds received in other current liabilities in the consolidated balance sheet as of December 31, 2024, subject to a determination that the refunds are recognizable. The Company engaged a professional services firm under a commission fee arrangement to assist with determining the Company’s eligibility to claim the ERTC refunds and accumulating the necessary support that was used as a basis in the filing. During the year ended December 31, 2024, the Company paid fees of $0.5 million for these services, which are included in other operating expenses in the consolidated statement of operations. In January 2025, the Company received an additional $1.0 million of ERTC refunds.</w:t>
      </w:r>
    </w:p>
    <w:p>
      <w:pPr>
        <w:spacing w:after="0" w:line="187"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received $0.5 million and $0.2 million, respectively, under other government assistance programs. The majority of the assistance was a result of the Company’s German subsidiaries participating in programs established to offset the costs of qualifying research and development activities and employee training.</w:t>
      </w:r>
    </w:p>
    <w:p>
      <w:pPr>
        <w:spacing w:after="0" w:line="202" w:lineRule="exact"/>
        <w:rPr>
          <w:sz w:val="20"/>
          <w:szCs w:val="20"/>
          <w:color w:val="auto"/>
        </w:rPr>
      </w:pPr>
    </w:p>
    <w:p>
      <w:pPr>
        <w:ind w:left="480" w:hanging="473"/>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1" w:lineRule="exact"/>
        <w:rPr>
          <w:sz w:val="20"/>
          <w:szCs w:val="20"/>
          <w:color w:val="auto"/>
        </w:rPr>
      </w:pPr>
    </w:p>
    <w:p>
      <w:pPr>
        <w:jc w:val="both"/>
        <w:ind w:right="20" w:firstLine="480"/>
        <w:spacing w:after="0" w:line="306" w:lineRule="auto"/>
        <w:rPr>
          <w:sz w:val="20"/>
          <w:szCs w:val="20"/>
          <w:color w:val="auto"/>
        </w:rPr>
      </w:pPr>
      <w:r>
        <w:rPr>
          <w:rFonts w:ascii="Times New Roman" w:cs="Times New Roman" w:eastAsia="Times New Roman" w:hAnsi="Times New Roman"/>
          <w:sz w:val="17"/>
          <w:szCs w:val="17"/>
          <w:color w:val="auto"/>
        </w:rPr>
        <w:t>The Company conducts business as a single operating segment which is based upon the Company’s organizational and management structure, as well as information used by the CODM to allocate resources and other factors. The accounting policies of the segment are the same as those described in Note 2.</w:t>
      </w:r>
    </w:p>
    <w:p>
      <w:pPr>
        <w:spacing w:after="0" w:line="141"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The key measure of segment profitability that the CODM uses to allocate resources and assess performance is consolidated net income (loss), as reported on the consolidated statements of operations. The CODM utilizes consolidated net loss by comparing actual results against budgeted amounts on a quarterly basis. The following table presents the significant revenue and expense categories of the Company’s single operating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32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94,135</w:t>
            </w:r>
          </w:p>
        </w:tc>
        <w:tc>
          <w:tcPr>
            <w:tcW w:w="4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Cost of revenues (1)</w:t>
            </w: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 and marketing expenses (1)</w:t>
            </w: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segment expenses (2)</w:t>
            </w:r>
          </w:p>
        </w:tc>
        <w:tc>
          <w:tcPr>
            <w:tcW w:w="24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hanging="353"/>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25"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other operating expenses, loss on equity securities and other expense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Asset information provided to the CODM is consistent with that reported on the consolidated balance sheets with particular emphasis on the Company’s available liquidity, including its cash, accounts receivable, and inventory, reduced by current liabilities. Information relating to the Company’s products and services and geographical distribution of revenues is disclosed in Note 3.</w:t>
      </w:r>
    </w:p>
    <w:p>
      <w:pPr>
        <w:spacing w:after="0" w:line="202" w:lineRule="exact"/>
        <w:rPr>
          <w:sz w:val="20"/>
          <w:szCs w:val="20"/>
          <w:color w:val="auto"/>
        </w:rPr>
      </w:pPr>
    </w:p>
    <w:p>
      <w:pPr>
        <w:ind w:left="480" w:hanging="473"/>
        <w:spacing w:after="0"/>
        <w:tabs>
          <w:tab w:leader="none" w:pos="4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1"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10, 2025, the Company entered into the March 2025 Amendment to the Credit Agreement as described in Note 10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Where such filing is made by incorporation by reference to a previously filed document, such document is identified.</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080" w:type="dxa"/>
            <w:vAlign w:val="bottom"/>
          </w:tcPr>
          <w:p>
            <w:pPr>
              <w:spacing w:after="0"/>
              <w:rPr>
                <w:sz w:val="17"/>
                <w:szCs w:val="17"/>
                <w:color w:val="auto"/>
              </w:rPr>
            </w:pPr>
          </w:p>
        </w:tc>
        <w:tc>
          <w:tcPr>
            <w:tcW w:w="3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34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20"/>
        </w:trPr>
        <w:tc>
          <w:tcPr>
            <w:tcW w:w="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06"/>
        </w:trPr>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2.1§</w:t>
            </w:r>
          </w:p>
        </w:tc>
        <w:tc>
          <w:tcPr>
            <w:tcW w:w="65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Separation and Distribution Agreement between Harvard Bioscience, Inc. and Biostage, Inc.</w:t>
              </w:r>
            </w:hyperlink>
          </w:p>
        </w:tc>
        <w:tc>
          <w:tcPr>
            <w:tcW w:w="240" w:type="dxa"/>
            <w:vAlign w:val="bottom"/>
          </w:tcPr>
          <w:p>
            <w:pPr>
              <w:spacing w:after="0"/>
              <w:rPr>
                <w:sz w:val="24"/>
                <w:szCs w:val="24"/>
                <w:color w:val="auto"/>
              </w:rPr>
            </w:pP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Exhibit to the Current Report on Form 8-K</w:t>
            </w:r>
          </w:p>
        </w:tc>
      </w:tr>
      <w:tr>
        <w:trPr>
          <w:trHeight w:val="193"/>
        </w:trPr>
        <w:tc>
          <w:tcPr>
            <w:tcW w:w="720" w:type="dxa"/>
            <w:vAlign w:val="bottom"/>
          </w:tcPr>
          <w:p>
            <w:pPr>
              <w:spacing w:after="0"/>
              <w:rPr>
                <w:sz w:val="16"/>
                <w:szCs w:val="16"/>
                <w:color w:val="auto"/>
              </w:rPr>
            </w:pPr>
          </w:p>
        </w:tc>
        <w:tc>
          <w:tcPr>
            <w:tcW w:w="6820" w:type="dxa"/>
            <w:vAlign w:val="bottom"/>
            <w:gridSpan w:val="7"/>
          </w:tcPr>
          <w:p>
            <w:pPr>
              <w:spacing w:after="0" w:line="194"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(f/k/a Harvard Apparatus Regenerative Technology, Inc.) dated as of October 31, 2013.</w:t>
              </w:r>
            </w:hyperlink>
          </w:p>
        </w:tc>
        <w:tc>
          <w:tcPr>
            <w:tcW w:w="360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auto"/>
              </w:rPr>
              <w:t>filed November 6, 2013, and incorporated by</w:t>
            </w:r>
          </w:p>
        </w:tc>
      </w:tr>
      <w:tr>
        <w:trPr>
          <w:trHeight w:val="234"/>
        </w:trPr>
        <w:tc>
          <w:tcPr>
            <w:tcW w:w="720" w:type="dxa"/>
            <w:vAlign w:val="bottom"/>
          </w:tcPr>
          <w:p>
            <w:pPr>
              <w:spacing w:after="0"/>
              <w:rPr>
                <w:sz w:val="20"/>
                <w:szCs w:val="20"/>
                <w:color w:val="auto"/>
              </w:rPr>
            </w:pPr>
          </w:p>
        </w:tc>
        <w:tc>
          <w:tcPr>
            <w:tcW w:w="30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9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86"/>
        </w:trPr>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3.1</w:t>
            </w:r>
          </w:p>
        </w:tc>
        <w:tc>
          <w:tcPr>
            <w:tcW w:w="6820" w:type="dxa"/>
            <w:vAlign w:val="bottom"/>
            <w:gridSpan w:val="7"/>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Second Amended and Restated Certificate of Incorporation of Harvard Bioscience, Inc.</w:t>
              </w:r>
            </w:hyperlink>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Exhibit to the Registration Statement on Form</w:t>
            </w:r>
          </w:p>
        </w:tc>
      </w:tr>
      <w:tr>
        <w:trPr>
          <w:trHeight w:val="215"/>
        </w:trPr>
        <w:tc>
          <w:tcPr>
            <w:tcW w:w="720" w:type="dxa"/>
            <w:vAlign w:val="bottom"/>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S-1/A (File No. 333-45996) (filed November</w:t>
            </w:r>
          </w:p>
        </w:tc>
      </w:tr>
      <w:tr>
        <w:trPr>
          <w:trHeight w:val="232"/>
        </w:trPr>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9, 2000) and incorporated by reference thereto.</w:t>
            </w:r>
          </w:p>
        </w:tc>
      </w:tr>
      <w:tr>
        <w:trPr>
          <w:trHeight w:val="386"/>
        </w:trPr>
        <w:tc>
          <w:tcPr>
            <w:tcW w:w="7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3.2</w:t>
            </w:r>
          </w:p>
        </w:tc>
        <w:tc>
          <w:tcPr>
            <w:tcW w:w="6820" w:type="dxa"/>
            <w:vAlign w:val="bottom"/>
            <w:gridSpan w:val="7"/>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By-laws of Harvard Bioscience, Inc.</w:t>
              </w:r>
            </w:hyperlink>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Exhibit to the Registration Statement on Form</w:t>
            </w:r>
          </w:p>
        </w:tc>
      </w:tr>
      <w:tr>
        <w:trPr>
          <w:trHeight w:val="215"/>
        </w:trPr>
        <w:tc>
          <w:tcPr>
            <w:tcW w:w="720" w:type="dxa"/>
            <w:vAlign w:val="bottom"/>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S-1/A (File No. 333-45996) (filed November</w:t>
            </w:r>
          </w:p>
        </w:tc>
      </w:tr>
      <w:tr>
        <w:trPr>
          <w:trHeight w:val="232"/>
        </w:trPr>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9, 2000) and incorporated by reference thereto.</w:t>
            </w:r>
          </w:p>
        </w:tc>
      </w:tr>
    </w:tbl>
    <w:p>
      <w:pPr>
        <w:spacing w:after="0" w:line="194" w:lineRule="exact"/>
        <w:rPr>
          <w:sz w:val="20"/>
          <w:szCs w:val="20"/>
          <w:color w:val="auto"/>
        </w:rPr>
      </w:pPr>
    </w:p>
    <w:p>
      <w:pPr>
        <w:sectPr>
          <w:pgSz w:w="11900" w:h="16838" w:orient="portrait"/>
          <w:cols w:equalWidth="0" w:num="1">
            <w:col w:w="11240"/>
          </w:cols>
          <w:pgMar w:left="320" w:top="601" w:right="339" w:bottom="1440" w:gutter="0" w:footer="0" w:header="0"/>
        </w:sectPr>
      </w:pPr>
    </w:p>
    <w:p>
      <w:pPr>
        <w:ind w:left="800" w:right="140" w:hanging="570"/>
        <w:spacing w:after="0" w:line="27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86">
        <w:r>
          <w:rPr>
            <w:rFonts w:ascii="Times New Roman" w:cs="Times New Roman" w:eastAsia="Times New Roman" w:hAnsi="Times New Roman"/>
            <w:sz w:val="18"/>
            <w:szCs w:val="18"/>
            <w:u w:val="single" w:color="auto"/>
            <w:color w:val="0000EE"/>
          </w:rPr>
          <w:t>Amendment No. 1 to Amended and Restated Bylaws of Harvard Bioscience, Inc. (as adopted</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October 30, 2007).</w:t>
        </w:r>
      </w:hyperlink>
    </w:p>
    <w:p>
      <w:pPr>
        <w:spacing w:after="0" w:line="377" w:lineRule="exact"/>
        <w:rPr>
          <w:sz w:val="20"/>
          <w:szCs w:val="20"/>
          <w:color w:val="auto"/>
        </w:rPr>
      </w:pPr>
    </w:p>
    <w:p>
      <w:pPr>
        <w:ind w:left="24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87">
        <w:r>
          <w:rPr>
            <w:rFonts w:ascii="Times New Roman" w:cs="Times New Roman" w:eastAsia="Times New Roman" w:hAnsi="Times New Roman"/>
            <w:sz w:val="17"/>
            <w:szCs w:val="17"/>
            <w:u w:val="single" w:color="auto"/>
            <w:color w:val="0000EE"/>
          </w:rPr>
          <w:t>Specimen certificate for shares of Common Stock, $0.01 par value, of Harvard Bioscience, Inc.</w:t>
        </w:r>
      </w:hyperlink>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Exhibit to the Current Report on Form 8-K (filed November 1, 2007) and incorporated by reference thereto.</w:t>
      </w:r>
    </w:p>
    <w:p>
      <w:pPr>
        <w:spacing w:after="0" w:line="17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color w:val="auto"/>
        </w:rPr>
        <w:t>Exhibit to the Registration Statement on Form S-1/A (File No. 333-45996) (filed November 9, 2000) and incorporated by reference thereto.</w:t>
      </w:r>
    </w:p>
    <w:p>
      <w:pPr>
        <w:spacing w:after="0" w:line="144" w:lineRule="exact"/>
        <w:rPr>
          <w:sz w:val="20"/>
          <w:szCs w:val="20"/>
          <w:color w:val="auto"/>
        </w:rPr>
      </w:pPr>
    </w:p>
    <w:p>
      <w:pPr>
        <w:sectPr>
          <w:pgSz w:w="11900" w:h="16838" w:orient="portrait"/>
          <w:cols w:equalWidth="0" w:num="2">
            <w:col w:w="7580" w:space="300"/>
            <w:col w:w="3360"/>
          </w:cols>
          <w:pgMar w:left="320" w:top="601"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7100" w:type="dxa"/>
            <w:vAlign w:val="bottom"/>
            <w:gridSpan w:val="4"/>
          </w:tcPr>
          <w:p>
            <w:pPr>
              <w:ind w:left="160"/>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Description of Securities.</w:t>
              </w:r>
            </w:hyperlink>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5"/>
        </w:trPr>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March 16, 2020) and incorporated by</w:t>
            </w:r>
          </w:p>
        </w:tc>
      </w:tr>
      <w:tr>
        <w:trPr>
          <w:trHeight w:val="232"/>
        </w:trPr>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86"/>
        </w:trPr>
        <w:tc>
          <w:tcPr>
            <w:tcW w:w="7620" w:type="dxa"/>
            <w:vAlign w:val="bottom"/>
            <w:gridSpan w:val="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   </w:t>
            </w:r>
            <w:hyperlink r:id="rId89">
              <w:r>
                <w:rPr>
                  <w:rFonts w:ascii="Times New Roman" w:cs="Times New Roman" w:eastAsia="Times New Roman" w:hAnsi="Times New Roman"/>
                  <w:sz w:val="18"/>
                  <w:szCs w:val="18"/>
                  <w:color w:val="0000EE"/>
                </w:rPr>
                <w:t>Harvard Bioscience, Inc. Fourth Amended and Restated 2000 Stock Option and Incentive Plan.</w:t>
              </w:r>
            </w:hyperlink>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Exhibit to the Quarterly Report on Form 10-Q</w:t>
            </w:r>
          </w:p>
        </w:tc>
      </w:tr>
      <w:tr>
        <w:trPr>
          <w:trHeight w:val="215"/>
        </w:trPr>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496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August 10, 2020, and incorporated by</w:t>
            </w:r>
          </w:p>
        </w:tc>
      </w:tr>
      <w:tr>
        <w:trPr>
          <w:trHeight w:val="232"/>
        </w:trPr>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thereto.</w:t>
            </w:r>
          </w:p>
        </w:tc>
      </w:tr>
    </w:tbl>
    <w:p>
      <w:pPr>
        <w:spacing w:after="0" w:line="194" w:lineRule="exact"/>
        <w:rPr>
          <w:sz w:val="20"/>
          <w:szCs w:val="20"/>
          <w:color w:val="auto"/>
        </w:rPr>
      </w:pPr>
    </w:p>
    <w:p>
      <w:pPr>
        <w:sectPr>
          <w:pgSz w:w="11900" w:h="16838" w:orient="portrait"/>
          <w:cols w:equalWidth="0" w:num="1">
            <w:col w:w="11240"/>
          </w:cols>
          <w:pgMar w:left="320" w:top="601" w:right="339" w:bottom="1440" w:gutter="0" w:footer="0" w:header="0"/>
          <w:type w:val="continuous"/>
        </w:sectPr>
      </w:pPr>
    </w:p>
    <w:p>
      <w:pPr>
        <w:ind w:left="20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90">
        <w:r>
          <w:rPr>
            <w:rFonts w:ascii="Times New Roman" w:cs="Times New Roman" w:eastAsia="Times New Roman" w:hAnsi="Times New Roman"/>
            <w:sz w:val="17"/>
            <w:szCs w:val="17"/>
            <w:u w:val="single" w:color="auto"/>
            <w:color w:val="0000EE"/>
          </w:rPr>
          <w:t>Harvard Bioscience, Inc. Employee Stock Purchase Plan, as amended.</w:t>
        </w:r>
      </w:hyperlink>
    </w:p>
    <w:p>
      <w:pPr>
        <w:spacing w:after="0" w:line="20" w:lineRule="exact"/>
        <w:rPr>
          <w:sz w:val="20"/>
          <w:szCs w:val="20"/>
          <w:color w:val="auto"/>
        </w:rPr>
      </w:pPr>
      <w:r>
        <w:rPr>
          <w:sz w:val="20"/>
          <w:szCs w:val="20"/>
          <w:color w:val="auto"/>
        </w:rPr>
        <w:br w:type="column"/>
      </w:r>
    </w:p>
    <w:p>
      <w:pPr>
        <w:ind w:right="200"/>
        <w:spacing w:after="0" w:line="284" w:lineRule="auto"/>
        <w:rPr>
          <w:sz w:val="20"/>
          <w:szCs w:val="20"/>
          <w:color w:val="auto"/>
        </w:rPr>
      </w:pPr>
      <w:r>
        <w:rPr>
          <w:rFonts w:ascii="Times New Roman" w:cs="Times New Roman" w:eastAsia="Times New Roman" w:hAnsi="Times New Roman"/>
          <w:sz w:val="17"/>
          <w:szCs w:val="17"/>
          <w:color w:val="auto"/>
        </w:rPr>
        <w:t>Disclosed as Appendix A to the Proxy Statement on Schedule 14A filed April 7, 2022, and incorporated by reference thereto.</w:t>
      </w:r>
    </w:p>
    <w:p>
      <w:pPr>
        <w:spacing w:after="0" w:line="144" w:lineRule="exact"/>
        <w:rPr>
          <w:sz w:val="20"/>
          <w:szCs w:val="20"/>
          <w:color w:val="auto"/>
        </w:rPr>
      </w:pPr>
    </w:p>
    <w:p>
      <w:pPr>
        <w:sectPr>
          <w:pgSz w:w="11900" w:h="16838" w:orient="portrait"/>
          <w:cols w:equalWidth="0" w:num="2">
            <w:col w:w="7160" w:space="720"/>
            <w:col w:w="3360"/>
          </w:cols>
          <w:pgMar w:left="320" w:top="601" w:right="33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10.3</w:t>
            </w:r>
          </w:p>
        </w:tc>
        <w:tc>
          <w:tcPr>
            <w:tcW w:w="5320" w:type="dxa"/>
            <w:vAlign w:val="bottom"/>
            <w:gridSpan w:val="3"/>
          </w:tcPr>
          <w:p>
            <w:pPr>
              <w:ind w:left="140"/>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Director Indemnification Agreement.</w:t>
              </w:r>
            </w:hyperlink>
          </w:p>
        </w:tc>
        <w:tc>
          <w:tcPr>
            <w:tcW w:w="518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8"/>
              </w:rPr>
              <w:t>Exhibit to the Quarterly Report on Form 10-Q</w:t>
            </w:r>
          </w:p>
        </w:tc>
      </w:tr>
      <w:tr>
        <w:trPr>
          <w:trHeight w:val="215"/>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Borders>
              <w:top w:val="single" w:sz="8" w:color="0000EE"/>
            </w:tcBorders>
          </w:tcPr>
          <w:p>
            <w:pPr>
              <w:spacing w:after="0"/>
              <w:rPr>
                <w:sz w:val="18"/>
                <w:szCs w:val="18"/>
                <w:color w:val="auto"/>
              </w:rPr>
            </w:pPr>
          </w:p>
        </w:tc>
        <w:tc>
          <w:tcPr>
            <w:tcW w:w="1900" w:type="dxa"/>
            <w:vAlign w:val="bottom"/>
          </w:tcPr>
          <w:p>
            <w:pPr>
              <w:spacing w:after="0"/>
              <w:rPr>
                <w:sz w:val="18"/>
                <w:szCs w:val="18"/>
                <w:color w:val="auto"/>
              </w:rPr>
            </w:pPr>
          </w:p>
        </w:tc>
        <w:tc>
          <w:tcPr>
            <w:tcW w:w="51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filed May 8, 2020, and incorporated by</w:t>
            </w:r>
          </w:p>
        </w:tc>
      </w:tr>
      <w:tr>
        <w:trPr>
          <w:trHeight w:val="232"/>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reference thereto.</w:t>
            </w:r>
          </w:p>
        </w:tc>
      </w:tr>
    </w:tbl>
    <w:p>
      <w:pPr>
        <w:spacing w:after="0" w:line="194" w:lineRule="exact"/>
        <w:rPr>
          <w:sz w:val="20"/>
          <w:szCs w:val="20"/>
          <w:color w:val="auto"/>
        </w:rPr>
      </w:pPr>
    </w:p>
    <w:p>
      <w:pPr>
        <w:sectPr>
          <w:pgSz w:w="11900" w:h="16838" w:orient="portrait"/>
          <w:cols w:equalWidth="0" w:num="1">
            <w:col w:w="11240"/>
          </w:cols>
          <w:pgMar w:left="320" w:top="601" w:right="339" w:bottom="1440" w:gutter="0" w:footer="0" w:header="0"/>
          <w:type w:val="continuous"/>
        </w:sectPr>
      </w:pPr>
    </w:p>
    <w:p>
      <w:pPr>
        <w:ind w:left="800" w:hanging="687"/>
        <w:spacing w:after="0" w:line="27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 +</w:t>
      </w:r>
      <w:r>
        <w:rPr>
          <w:sz w:val="20"/>
          <w:szCs w:val="20"/>
          <w:color w:val="auto"/>
        </w:rPr>
        <w:tab/>
      </w:r>
      <w:hyperlink r:id="rId92">
        <w:r>
          <w:rPr>
            <w:rFonts w:ascii="Times New Roman" w:cs="Times New Roman" w:eastAsia="Times New Roman" w:hAnsi="Times New Roman"/>
            <w:sz w:val="18"/>
            <w:szCs w:val="18"/>
            <w:u w:val="single" w:color="auto"/>
            <w:color w:val="0000EE"/>
          </w:rPr>
          <w:t>Trademark License Agreement, dated December 19, 2002, by and between Harvard Bioscience,</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Inc. and President and Fellows of Harvard College.</w:t>
        </w:r>
      </w:hyperlink>
    </w:p>
    <w:p>
      <w:pPr>
        <w:spacing w:after="0" w:line="20" w:lineRule="exact"/>
        <w:rPr>
          <w:sz w:val="20"/>
          <w:szCs w:val="20"/>
          <w:color w:val="auto"/>
        </w:rPr>
      </w:pPr>
      <w:r>
        <w:rPr>
          <w:sz w:val="20"/>
          <w:szCs w:val="20"/>
          <w:color w:val="auto"/>
        </w:rPr>
        <w:br w:type="column"/>
      </w:r>
    </w:p>
    <w:p>
      <w:pPr>
        <w:ind w:right="240"/>
        <w:spacing w:after="0" w:line="261" w:lineRule="auto"/>
        <w:rPr>
          <w:sz w:val="20"/>
          <w:szCs w:val="20"/>
          <w:color w:val="auto"/>
        </w:rPr>
      </w:pPr>
      <w:r>
        <w:rPr>
          <w:rFonts w:ascii="Times New Roman" w:cs="Times New Roman" w:eastAsia="Times New Roman" w:hAnsi="Times New Roman"/>
          <w:sz w:val="18"/>
          <w:szCs w:val="18"/>
          <w:color w:val="auto"/>
        </w:rPr>
        <w:t>Exhibit to the Annual Report on Form 10-K filed March 9, 2023, and incorporated by reference thereto.</w:t>
      </w:r>
    </w:p>
    <w:p>
      <w:pPr>
        <w:spacing w:after="0" w:line="162" w:lineRule="exact"/>
        <w:rPr>
          <w:sz w:val="20"/>
          <w:szCs w:val="20"/>
          <w:color w:val="auto"/>
        </w:rPr>
      </w:pPr>
    </w:p>
    <w:p>
      <w:pPr>
        <w:sectPr>
          <w:pgSz w:w="11900" w:h="16838" w:orient="portrait"/>
          <w:cols w:equalWidth="0" w:num="2">
            <w:col w:w="7620" w:space="260"/>
            <w:col w:w="3360"/>
          </w:cols>
          <w:pgMar w:left="320" w:top="60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860" w:type="dxa"/>
            <w:vAlign w:val="bottom"/>
            <w:gridSpan w:val="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   </w:t>
            </w:r>
            <w:hyperlink r:id="rId93">
              <w:r>
                <w:rPr>
                  <w:rFonts w:ascii="Times New Roman" w:cs="Times New Roman" w:eastAsia="Times New Roman" w:hAnsi="Times New Roman"/>
                  <w:sz w:val="18"/>
                  <w:szCs w:val="18"/>
                  <w:color w:val="0000EE"/>
                </w:rPr>
                <w:t>Form of Incentive Stock Option Agreement (Executive Officers).</w:t>
              </w:r>
            </w:hyperlink>
          </w:p>
        </w:tc>
        <w:tc>
          <w:tcPr>
            <w:tcW w:w="4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5"/>
        </w:trPr>
        <w:tc>
          <w:tcPr>
            <w:tcW w:w="800" w:type="dxa"/>
            <w:vAlign w:val="bottom"/>
          </w:tcPr>
          <w:p>
            <w:pPr>
              <w:spacing w:after="0"/>
              <w:rPr>
                <w:sz w:val="18"/>
                <w:szCs w:val="18"/>
                <w:color w:val="auto"/>
              </w:rPr>
            </w:pPr>
          </w:p>
        </w:tc>
        <w:tc>
          <w:tcPr>
            <w:tcW w:w="464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filed March 16, 2006, and incorporated by</w:t>
            </w:r>
          </w:p>
        </w:tc>
      </w:tr>
      <w:tr>
        <w:trPr>
          <w:trHeight w:val="232"/>
        </w:trPr>
        <w:tc>
          <w:tcPr>
            <w:tcW w:w="8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86"/>
        </w:trPr>
        <w:tc>
          <w:tcPr>
            <w:tcW w:w="6860" w:type="dxa"/>
            <w:vAlign w:val="bottom"/>
            <w:gridSpan w:val="4"/>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10.6 #   </w:t>
            </w:r>
            <w:hyperlink r:id="rId94">
              <w:r>
                <w:rPr>
                  <w:rFonts w:ascii="Times New Roman" w:cs="Times New Roman" w:eastAsia="Times New Roman" w:hAnsi="Times New Roman"/>
                  <w:sz w:val="18"/>
                  <w:szCs w:val="18"/>
                  <w:color w:val="0000EE"/>
                </w:rPr>
                <w:t>Form of Non-Qualified Stock Option Agreement (Executive Officers).</w:t>
              </w:r>
            </w:hyperlink>
          </w:p>
        </w:tc>
        <w:tc>
          <w:tcPr>
            <w:tcW w:w="4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5"/>
        </w:trPr>
        <w:tc>
          <w:tcPr>
            <w:tcW w:w="800" w:type="dxa"/>
            <w:vAlign w:val="bottom"/>
          </w:tcPr>
          <w:p>
            <w:pPr>
              <w:spacing w:after="0"/>
              <w:rPr>
                <w:sz w:val="18"/>
                <w:szCs w:val="18"/>
                <w:color w:val="auto"/>
              </w:rPr>
            </w:pPr>
          </w:p>
        </w:tc>
        <w:tc>
          <w:tcPr>
            <w:tcW w:w="46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40" w:type="dxa"/>
            <w:vAlign w:val="bottom"/>
          </w:tcPr>
          <w:p>
            <w:pPr>
              <w:spacing w:after="0"/>
              <w:rPr>
                <w:sz w:val="18"/>
                <w:szCs w:val="18"/>
                <w:color w:val="auto"/>
              </w:rPr>
            </w:pPr>
          </w:p>
        </w:tc>
        <w:tc>
          <w:tcPr>
            <w:tcW w:w="4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filed March 16, 2006, and incorporated by</w:t>
            </w:r>
          </w:p>
        </w:tc>
      </w:tr>
      <w:tr>
        <w:trPr>
          <w:trHeight w:val="232"/>
        </w:trPr>
        <w:tc>
          <w:tcPr>
            <w:tcW w:w="8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52"/>
        </w:trPr>
        <w:tc>
          <w:tcPr>
            <w:tcW w:w="8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01" w:right="339" w:bottom="1440" w:gutter="0" w:footer="0" w:header="0"/>
          <w:type w:val="continuous"/>
        </w:sectPr>
      </w:pPr>
    </w:p>
    <w:bookmarkStart w:id="65" w:name="page66"/>
    <w:bookmarkEnd w:id="65"/>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16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   </w:t>
            </w:r>
            <w:hyperlink r:id="rId95">
              <w:r>
                <w:rPr>
                  <w:rFonts w:ascii="Times New Roman" w:cs="Times New Roman" w:eastAsia="Times New Roman" w:hAnsi="Times New Roman"/>
                  <w:sz w:val="18"/>
                  <w:szCs w:val="18"/>
                  <w:color w:val="0000EE"/>
                </w:rPr>
                <w:t>Form of Non-Qualified Stock Option Agreement (Non-Employee Directors).</w:t>
              </w:r>
            </w:hyperlink>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Exhibit to the Annual Report on Form 10-K</w:t>
            </w:r>
          </w:p>
        </w:tc>
      </w:tr>
      <w:tr>
        <w:trPr>
          <w:trHeight w:val="215"/>
        </w:trPr>
        <w:tc>
          <w:tcPr>
            <w:tcW w:w="680" w:type="dxa"/>
            <w:vAlign w:val="bottom"/>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filed March 16, 2006, and incorporated by</w:t>
            </w:r>
          </w:p>
        </w:tc>
      </w:tr>
      <w:tr>
        <w:trPr>
          <w:trHeight w:val="232"/>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86"/>
        </w:trPr>
        <w:tc>
          <w:tcPr>
            <w:tcW w:w="616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10.8 #   </w:t>
            </w:r>
            <w:hyperlink r:id="rId96">
              <w:r>
                <w:rPr>
                  <w:rFonts w:ascii="Times New Roman" w:cs="Times New Roman" w:eastAsia="Times New Roman" w:hAnsi="Times New Roman"/>
                  <w:sz w:val="18"/>
                  <w:szCs w:val="18"/>
                  <w:color w:val="0000EE"/>
                </w:rPr>
                <w:t>Form of Deferred Stock Award Agreement.</w:t>
              </w:r>
            </w:hyperlink>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9"/>
              </w:rPr>
              <w:t>Exhibit to the Annual Report on Form 10-K</w:t>
            </w:r>
          </w:p>
        </w:tc>
      </w:tr>
      <w:tr>
        <w:trPr>
          <w:trHeight w:val="215"/>
        </w:trPr>
        <w:tc>
          <w:tcPr>
            <w:tcW w:w="680" w:type="dxa"/>
            <w:vAlign w:val="bottom"/>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filed March 16, 2011, and incorporated by</w:t>
            </w:r>
          </w:p>
        </w:tc>
      </w:tr>
      <w:tr>
        <w:trPr>
          <w:trHeight w:val="232"/>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86"/>
        </w:trPr>
        <w:tc>
          <w:tcPr>
            <w:tcW w:w="616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   </w:t>
            </w:r>
            <w:hyperlink r:id="rId97">
              <w:r>
                <w:rPr>
                  <w:rFonts w:ascii="Times New Roman" w:cs="Times New Roman" w:eastAsia="Times New Roman" w:hAnsi="Times New Roman"/>
                  <w:sz w:val="18"/>
                  <w:szCs w:val="18"/>
                  <w:color w:val="0000EE"/>
                </w:rPr>
                <w:t>Form of Market Condition Deferred Stock Award Agreement.</w:t>
              </w:r>
            </w:hyperlink>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Exhibit to the Annual Report on Form 10-</w:t>
            </w:r>
          </w:p>
        </w:tc>
      </w:tr>
      <w:tr>
        <w:trPr>
          <w:trHeight w:val="215"/>
        </w:trPr>
        <w:tc>
          <w:tcPr>
            <w:tcW w:w="680" w:type="dxa"/>
            <w:vAlign w:val="bottom"/>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080" w:type="dxa"/>
            <w:vAlign w:val="bottom"/>
          </w:tcPr>
          <w:p>
            <w:pPr>
              <w:spacing w:after="0"/>
              <w:rPr>
                <w:sz w:val="18"/>
                <w:szCs w:val="18"/>
                <w:color w:val="auto"/>
              </w:rPr>
            </w:pPr>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7"/>
              </w:rPr>
              <w:t>K filed March 16, 2020, and incorporated by</w:t>
            </w:r>
          </w:p>
        </w:tc>
      </w:tr>
      <w:tr>
        <w:trPr>
          <w:trHeight w:val="232"/>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reference thereto.</w:t>
            </w:r>
          </w:p>
        </w:tc>
      </w:tr>
    </w:tbl>
    <w:p>
      <w:pPr>
        <w:spacing w:after="0" w:line="194" w:lineRule="exact"/>
        <w:rPr>
          <w:sz w:val="20"/>
          <w:szCs w:val="20"/>
          <w:color w:val="auto"/>
        </w:rPr>
      </w:pPr>
    </w:p>
    <w:p>
      <w:pPr>
        <w:sectPr>
          <w:pgSz w:w="11900" w:h="16838" w:orient="portrait"/>
          <w:cols w:equalWidth="0" w:num="1">
            <w:col w:w="11240"/>
          </w:cols>
          <w:pgMar w:left="320" w:top="559" w:right="339" w:bottom="1440" w:gutter="0" w:footer="0" w:header="0"/>
        </w:sectPr>
      </w:pPr>
    </w:p>
    <w:p>
      <w:pPr>
        <w:ind w:left="8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 #</w:t>
      </w:r>
      <w:r>
        <w:rPr>
          <w:sz w:val="20"/>
          <w:szCs w:val="20"/>
          <w:color w:val="auto"/>
        </w:rPr>
        <w:tab/>
      </w:r>
      <w:hyperlink r:id="rId98">
        <w:r>
          <w:rPr>
            <w:rFonts w:ascii="Times New Roman" w:cs="Times New Roman" w:eastAsia="Times New Roman" w:hAnsi="Times New Roman"/>
            <w:sz w:val="17"/>
            <w:szCs w:val="17"/>
            <w:u w:val="single" w:color="auto"/>
            <w:color w:val="0000EE"/>
          </w:rPr>
          <w:t>Employment Agreement between Harvard Bioscience, Inc. and James Green.</w:t>
        </w:r>
      </w:hyperlink>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Exhibit to the Current Report on Form 8-K filed July 8, 2019, and incorporated by reference thereto.</w:t>
      </w:r>
    </w:p>
    <w:p>
      <w:pPr>
        <w:spacing w:after="0" w:line="162" w:lineRule="exact"/>
        <w:rPr>
          <w:sz w:val="20"/>
          <w:szCs w:val="20"/>
          <w:color w:val="auto"/>
        </w:rPr>
      </w:pPr>
    </w:p>
    <w:p>
      <w:pPr>
        <w:sectPr>
          <w:pgSz w:w="11900" w:h="16838" w:orient="portrait"/>
          <w:cols w:equalWidth="0" w:num="2">
            <w:col w:w="7160" w:space="720"/>
            <w:col w:w="3360"/>
          </w:cols>
          <w:pgMar w:left="320" w:top="559" w:right="33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7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10.11#</w:t>
            </w:r>
          </w:p>
        </w:tc>
        <w:tc>
          <w:tcPr>
            <w:tcW w:w="7020" w:type="dxa"/>
            <w:vAlign w:val="bottom"/>
            <w:gridSpan w:val="9"/>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Employment Agreement between Harvard Bioscience, Inc. and Jennifer Cote dated June 19, 2023</w:t>
              </w:r>
            </w:hyperlink>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to the Current Report on Form 8-K</w:t>
            </w:r>
          </w:p>
        </w:tc>
      </w:tr>
      <w:tr>
        <w:trPr>
          <w:trHeight w:val="215"/>
        </w:trPr>
        <w:tc>
          <w:tcPr>
            <w:tcW w:w="70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June 20, 2023, and incorporated by</w:t>
            </w:r>
          </w:p>
        </w:tc>
      </w:tr>
      <w:tr>
        <w:trPr>
          <w:trHeight w:val="232"/>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86"/>
        </w:trPr>
        <w:tc>
          <w:tcPr>
            <w:tcW w:w="7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10.12</w:t>
            </w:r>
          </w:p>
        </w:tc>
        <w:tc>
          <w:tcPr>
            <w:tcW w:w="7020" w:type="dxa"/>
            <w:vAlign w:val="bottom"/>
            <w:gridSpan w:val="9"/>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Credit Agreement dated as of December 22, 2020 among Harvard Bioscience, Inc., as borrower,</w:t>
              </w:r>
            </w:hyperlink>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to the Current Report on Form 8-K</w:t>
            </w:r>
          </w:p>
        </w:tc>
      </w:tr>
      <w:tr>
        <w:trPr>
          <w:trHeight w:val="193"/>
        </w:trPr>
        <w:tc>
          <w:tcPr>
            <w:tcW w:w="700" w:type="dxa"/>
            <w:vAlign w:val="bottom"/>
          </w:tcPr>
          <w:p>
            <w:pPr>
              <w:spacing w:after="0"/>
              <w:rPr>
                <w:sz w:val="16"/>
                <w:szCs w:val="16"/>
                <w:color w:val="auto"/>
              </w:rPr>
            </w:pPr>
          </w:p>
        </w:tc>
        <w:tc>
          <w:tcPr>
            <w:tcW w:w="6960" w:type="dxa"/>
            <w:vAlign w:val="bottom"/>
            <w:tcBorders>
              <w:top w:val="single" w:sz="8" w:color="0000EE"/>
            </w:tcBorders>
            <w:gridSpan w:val="6"/>
          </w:tcPr>
          <w:p>
            <w:pPr>
              <w:spacing w:after="0" w:line="194"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 lenders party thereto, and Citizens Bank, N.A., as administrative agent.</w:t>
              </w:r>
            </w:hyperlink>
          </w:p>
        </w:tc>
        <w:tc>
          <w:tcPr>
            <w:tcW w:w="60" w:type="dxa"/>
            <w:vAlign w:val="bottom"/>
            <w:gridSpan w:val="3"/>
          </w:tcPr>
          <w:p>
            <w:pPr>
              <w:spacing w:after="0"/>
              <w:rPr>
                <w:sz w:val="16"/>
                <w:szCs w:val="16"/>
                <w:color w:val="auto"/>
              </w:rPr>
            </w:pPr>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filed December 23, 2020, and incorporated by</w:t>
            </w:r>
          </w:p>
        </w:tc>
      </w:tr>
      <w:tr>
        <w:trPr>
          <w:trHeight w:val="234"/>
        </w:trPr>
        <w:tc>
          <w:tcPr>
            <w:tcW w:w="700" w:type="dxa"/>
            <w:vAlign w:val="bottom"/>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1720" w:type="dxa"/>
            <w:vAlign w:val="bottom"/>
            <w:tcBorders>
              <w:top w:val="single" w:sz="8" w:color="0000EE"/>
            </w:tcBorders>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86"/>
        </w:trPr>
        <w:tc>
          <w:tcPr>
            <w:tcW w:w="7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10.13</w:t>
            </w:r>
          </w:p>
        </w:tc>
        <w:tc>
          <w:tcPr>
            <w:tcW w:w="7020" w:type="dxa"/>
            <w:vAlign w:val="bottom"/>
            <w:gridSpan w:val="9"/>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Pledge and Security Agreement dated as of December 22, 2020 among Harvard Bioscience, Inc.,</w:t>
              </w:r>
            </w:hyperlink>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to the Current Report on Form 8-K</w:t>
            </w: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3"/>
        </w:trPr>
        <w:tc>
          <w:tcPr>
            <w:tcW w:w="700" w:type="dxa"/>
            <w:vAlign w:val="bottom"/>
          </w:tcPr>
          <w:p>
            <w:pPr>
              <w:spacing w:after="0"/>
              <w:rPr>
                <w:sz w:val="16"/>
                <w:szCs w:val="16"/>
                <w:color w:val="auto"/>
              </w:rPr>
            </w:pPr>
          </w:p>
        </w:tc>
        <w:tc>
          <w:tcPr>
            <w:tcW w:w="7020" w:type="dxa"/>
            <w:vAlign w:val="bottom"/>
            <w:gridSpan w:val="9"/>
          </w:tcPr>
          <w:p>
            <w:pPr>
              <w:spacing w:after="0" w:line="194"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certain of Harvard Bioscience’s direct and indirect subsidiaries and Citizens Bank, N.A., as</w:t>
              </w:r>
            </w:hyperlink>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filed December 23, 2020, and incorporated by</w:t>
            </w:r>
          </w:p>
        </w:tc>
      </w:tr>
      <w:tr>
        <w:trPr>
          <w:trHeight w:val="193"/>
        </w:trPr>
        <w:tc>
          <w:tcPr>
            <w:tcW w:w="70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administrative agent.</w:t>
              </w:r>
            </w:hyperlink>
          </w:p>
        </w:tc>
        <w:tc>
          <w:tcPr>
            <w:tcW w:w="5460" w:type="dxa"/>
            <w:vAlign w:val="bottom"/>
            <w:tcBorders>
              <w:top w:val="single" w:sz="8" w:color="0000EE"/>
            </w:tcBorders>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reference thereto.</w:t>
            </w:r>
          </w:p>
        </w:tc>
      </w:tr>
      <w:tr>
        <w:trPr>
          <w:trHeight w:val="406"/>
        </w:trPr>
        <w:tc>
          <w:tcPr>
            <w:tcW w:w="7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10.14</w:t>
            </w:r>
          </w:p>
        </w:tc>
        <w:tc>
          <w:tcPr>
            <w:tcW w:w="7020" w:type="dxa"/>
            <w:vAlign w:val="bottom"/>
            <w:gridSpan w:val="9"/>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First Amendment to Credit Agreement and Amendment to Pledge and Security Agreement, dated</w:t>
              </w:r>
            </w:hyperlink>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to the Current Report on Form 8-K</w:t>
            </w: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3"/>
        </w:trPr>
        <w:tc>
          <w:tcPr>
            <w:tcW w:w="700" w:type="dxa"/>
            <w:vAlign w:val="bottom"/>
          </w:tcPr>
          <w:p>
            <w:pPr>
              <w:spacing w:after="0"/>
              <w:rPr>
                <w:sz w:val="16"/>
                <w:szCs w:val="16"/>
                <w:color w:val="auto"/>
              </w:rPr>
            </w:pPr>
          </w:p>
        </w:tc>
        <w:tc>
          <w:tcPr>
            <w:tcW w:w="7020" w:type="dxa"/>
            <w:vAlign w:val="bottom"/>
            <w:gridSpan w:val="9"/>
          </w:tcPr>
          <w:p>
            <w:pPr>
              <w:spacing w:after="0" w:line="19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April 28, 2022, among Harvard Bioscience, Inc., Citizens Bank, N.A., as the administrative</w:t>
              </w:r>
            </w:hyperlink>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filed April 28, 2022, and incorporated by</w:t>
            </w:r>
          </w:p>
        </w:tc>
      </w:tr>
      <w:tr>
        <w:trPr>
          <w:trHeight w:val="193"/>
        </w:trPr>
        <w:tc>
          <w:tcPr>
            <w:tcW w:w="700" w:type="dxa"/>
            <w:vAlign w:val="bottom"/>
          </w:tcPr>
          <w:p>
            <w:pPr>
              <w:spacing w:after="0"/>
              <w:rPr>
                <w:sz w:val="16"/>
                <w:szCs w:val="16"/>
                <w:color w:val="auto"/>
              </w:rPr>
            </w:pPr>
          </w:p>
        </w:tc>
        <w:tc>
          <w:tcPr>
            <w:tcW w:w="6960" w:type="dxa"/>
            <w:vAlign w:val="bottom"/>
            <w:tcBorders>
              <w:top w:val="single" w:sz="8" w:color="0000EE"/>
            </w:tcBorders>
            <w:gridSpan w:val="6"/>
          </w:tcPr>
          <w:p>
            <w:pPr>
              <w:spacing w:after="0" w:line="19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agent, and the lenders party thereto.</w:t>
              </w:r>
            </w:hyperlink>
          </w:p>
        </w:tc>
        <w:tc>
          <w:tcPr>
            <w:tcW w:w="60" w:type="dxa"/>
            <w:vAlign w:val="bottom"/>
            <w:gridSpan w:val="3"/>
          </w:tcPr>
          <w:p>
            <w:pPr>
              <w:spacing w:after="0"/>
              <w:rPr>
                <w:sz w:val="16"/>
                <w:szCs w:val="16"/>
                <w:color w:val="auto"/>
              </w:rPr>
            </w:pPr>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reference thereto.</w:t>
            </w: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06"/>
        </w:trPr>
        <w:tc>
          <w:tcPr>
            <w:tcW w:w="7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10.15</w:t>
            </w:r>
          </w:p>
        </w:tc>
        <w:tc>
          <w:tcPr>
            <w:tcW w:w="7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Second Amendment to Credit Agreement and Amendment to Pledge and Security Agreement,</w:t>
              </w:r>
            </w:hyperlink>
          </w:p>
        </w:tc>
        <w:tc>
          <w:tcPr>
            <w:tcW w:w="2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to the Form 10-Q filed November 9,</w:t>
            </w:r>
          </w:p>
        </w:tc>
      </w:tr>
      <w:tr>
        <w:trPr>
          <w:trHeight w:val="193"/>
        </w:trPr>
        <w:tc>
          <w:tcPr>
            <w:tcW w:w="700" w:type="dxa"/>
            <w:vAlign w:val="bottom"/>
          </w:tcPr>
          <w:p>
            <w:pPr>
              <w:spacing w:after="0"/>
              <w:rPr>
                <w:sz w:val="16"/>
                <w:szCs w:val="16"/>
                <w:color w:val="auto"/>
              </w:rPr>
            </w:pPr>
          </w:p>
        </w:tc>
        <w:tc>
          <w:tcPr>
            <w:tcW w:w="69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dated November 8, 2022, among Harvard Bioscience, Inc., Citizens Bank, N.A., as the</w:t>
              </w:r>
            </w:hyperlink>
          </w:p>
        </w:tc>
        <w:tc>
          <w:tcPr>
            <w:tcW w:w="40" w:type="dxa"/>
            <w:vAlign w:val="bottom"/>
            <w:gridSpan w:val="2"/>
          </w:tcPr>
          <w:p>
            <w:pPr>
              <w:spacing w:after="0"/>
              <w:rPr>
                <w:sz w:val="16"/>
                <w:szCs w:val="16"/>
                <w:color w:val="auto"/>
              </w:rPr>
            </w:pPr>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2022, and incorporated by reference thereto.</w:t>
            </w:r>
          </w:p>
        </w:tc>
      </w:tr>
      <w:tr>
        <w:trPr>
          <w:trHeight w:val="193"/>
        </w:trPr>
        <w:tc>
          <w:tcPr>
            <w:tcW w:w="700" w:type="dxa"/>
            <w:vAlign w:val="bottom"/>
          </w:tcPr>
          <w:p>
            <w:pPr>
              <w:spacing w:after="0"/>
              <w:rPr>
                <w:sz w:val="16"/>
                <w:szCs w:val="16"/>
                <w:color w:val="auto"/>
              </w:rPr>
            </w:pPr>
          </w:p>
        </w:tc>
        <w:tc>
          <w:tcPr>
            <w:tcW w:w="7020" w:type="dxa"/>
            <w:vAlign w:val="bottom"/>
            <w:gridSpan w:val="9"/>
          </w:tcPr>
          <w:p>
            <w:pPr>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administrative agent, and the lenders party thereto.</w:t>
              </w:r>
            </w:hyperlink>
          </w:p>
        </w:tc>
        <w:tc>
          <w:tcPr>
            <w:tcW w:w="3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06"/>
        </w:trPr>
        <w:tc>
          <w:tcPr>
            <w:tcW w:w="7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10.16</w:t>
            </w:r>
          </w:p>
        </w:tc>
        <w:tc>
          <w:tcPr>
            <w:tcW w:w="7020" w:type="dxa"/>
            <w:vAlign w:val="bottom"/>
            <w:gridSpan w:val="9"/>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Guarantee Agreement dated as of December 22, 2020 among Harvard Bioscience, Inc., certain of</w:t>
              </w:r>
            </w:hyperlink>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to the Current Report on Form 8-K</w:t>
            </w: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5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3"/>
        </w:trPr>
        <w:tc>
          <w:tcPr>
            <w:tcW w:w="700" w:type="dxa"/>
            <w:vAlign w:val="bottom"/>
          </w:tcPr>
          <w:p>
            <w:pPr>
              <w:spacing w:after="0"/>
              <w:rPr>
                <w:sz w:val="16"/>
                <w:szCs w:val="16"/>
                <w:color w:val="auto"/>
              </w:rPr>
            </w:pPr>
          </w:p>
        </w:tc>
        <w:tc>
          <w:tcPr>
            <w:tcW w:w="69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Harvard Bioscience’s direct and indirect subsidiaries and Citizens Bank, N.A., as administrative</w:t>
              </w:r>
            </w:hyperlink>
          </w:p>
        </w:tc>
        <w:tc>
          <w:tcPr>
            <w:tcW w:w="40" w:type="dxa"/>
            <w:vAlign w:val="bottom"/>
            <w:gridSpan w:val="2"/>
          </w:tcPr>
          <w:p>
            <w:pPr>
              <w:spacing w:after="0"/>
              <w:rPr>
                <w:sz w:val="16"/>
                <w:szCs w:val="16"/>
                <w:color w:val="auto"/>
              </w:rPr>
            </w:pPr>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filed December 23, 2020, and incorporated by</w:t>
            </w:r>
          </w:p>
        </w:tc>
      </w:tr>
      <w:tr>
        <w:trPr>
          <w:trHeight w:val="193"/>
        </w:trPr>
        <w:tc>
          <w:tcPr>
            <w:tcW w:w="700" w:type="dxa"/>
            <w:vAlign w:val="bottom"/>
          </w:tcPr>
          <w:p>
            <w:pPr>
              <w:spacing w:after="0"/>
              <w:rPr>
                <w:sz w:val="16"/>
                <w:szCs w:val="16"/>
                <w:color w:val="auto"/>
              </w:rPr>
            </w:pPr>
          </w:p>
        </w:tc>
        <w:tc>
          <w:tcPr>
            <w:tcW w:w="44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r:id="rId104">
              <w:r>
                <w:rPr>
                  <w:rFonts w:ascii="Times New Roman" w:cs="Times New Roman" w:eastAsia="Times New Roman" w:hAnsi="Times New Roman"/>
                  <w:sz w:val="18"/>
                  <w:szCs w:val="18"/>
                  <w:color w:val="0000EE"/>
                  <w:w w:val="96"/>
                </w:rPr>
                <w:t>agent.</w:t>
              </w:r>
            </w:hyperlink>
          </w:p>
        </w:tc>
        <w:tc>
          <w:tcPr>
            <w:tcW w:w="6580" w:type="dxa"/>
            <w:vAlign w:val="bottom"/>
            <w:gridSpan w:val="8"/>
          </w:tcPr>
          <w:p>
            <w:pPr>
              <w:spacing w:after="0"/>
              <w:rPr>
                <w:sz w:val="16"/>
                <w:szCs w:val="16"/>
                <w:color w:val="auto"/>
              </w:rPr>
            </w:pPr>
          </w:p>
        </w:tc>
        <w:tc>
          <w:tcPr>
            <w:tcW w:w="33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reference thereto.</w:t>
            </w:r>
          </w:p>
        </w:tc>
      </w:tr>
    </w:tbl>
    <w:p>
      <w:pPr>
        <w:spacing w:after="0" w:line="200" w:lineRule="exact"/>
        <w:rPr>
          <w:sz w:val="20"/>
          <w:szCs w:val="20"/>
          <w:color w:val="auto"/>
        </w:rPr>
      </w:pPr>
    </w:p>
    <w:p>
      <w:pPr>
        <w:sectPr>
          <w:pgSz w:w="11900" w:h="16838" w:orient="portrait"/>
          <w:cols w:equalWidth="0" w:num="1">
            <w:col w:w="11240"/>
          </w:cols>
          <w:pgMar w:left="320" w:top="559" w:right="339" w:bottom="1440" w:gutter="0" w:footer="0" w:header="0"/>
          <w:type w:val="continuous"/>
        </w:sectPr>
      </w:pPr>
    </w:p>
    <w:p>
      <w:pPr>
        <w:spacing w:after="0" w:line="22" w:lineRule="exact"/>
        <w:rPr>
          <w:sz w:val="20"/>
          <w:szCs w:val="20"/>
          <w:color w:val="auto"/>
        </w:rPr>
      </w:pPr>
    </w:p>
    <w:p>
      <w:pPr>
        <w:ind w:left="800" w:right="40" w:hanging="659"/>
        <w:spacing w:after="0" w:line="27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05">
        <w:r>
          <w:rPr>
            <w:rFonts w:ascii="Times New Roman" w:cs="Times New Roman" w:eastAsia="Times New Roman" w:hAnsi="Times New Roman"/>
            <w:sz w:val="18"/>
            <w:szCs w:val="18"/>
            <w:u w:val="single" w:color="auto"/>
            <w:color w:val="0000EE"/>
          </w:rPr>
          <w:t>Third Amendment to Credit Agreement dated March 28, 2024, among Harvard Bioscience, Inc.,</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Citizen Bank, N. A., as the administrative agent, and the lenders party thereto.</w:t>
        </w:r>
      </w:hyperlink>
    </w:p>
    <w:p>
      <w:pPr>
        <w:spacing w:after="0" w:line="377" w:lineRule="exact"/>
        <w:rPr>
          <w:sz w:val="20"/>
          <w:szCs w:val="20"/>
          <w:color w:val="auto"/>
        </w:rPr>
      </w:pPr>
    </w:p>
    <w:p>
      <w:pPr>
        <w:ind w:left="800" w:hanging="659"/>
        <w:spacing w:after="0" w:line="27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06">
        <w:r>
          <w:rPr>
            <w:rFonts w:ascii="Times New Roman" w:cs="Times New Roman" w:eastAsia="Times New Roman" w:hAnsi="Times New Roman"/>
            <w:sz w:val="18"/>
            <w:szCs w:val="18"/>
            <w:u w:val="single" w:color="auto"/>
            <w:color w:val="0000EE"/>
          </w:rPr>
          <w:t>Fourth Amendment to Credit Agreement dated August 6, 2024, among Harvard Bioscience, Inc.,</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Citizen Bank, N. A., as the administrative agent, and the lenders party thereto.</w:t>
        </w:r>
      </w:hyperlink>
    </w:p>
    <w:p>
      <w:pPr>
        <w:spacing w:after="0" w:line="164" w:lineRule="exact"/>
        <w:rPr>
          <w:sz w:val="20"/>
          <w:szCs w:val="20"/>
          <w:color w:val="auto"/>
        </w:rPr>
      </w:pPr>
    </w:p>
    <w:p>
      <w:pPr>
        <w:ind w:left="800" w:right="100" w:hanging="659"/>
        <w:spacing w:after="0" w:line="27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7">
        <w:r>
          <w:rPr>
            <w:rFonts w:ascii="Times New Roman" w:cs="Times New Roman" w:eastAsia="Times New Roman" w:hAnsi="Times New Roman"/>
            <w:sz w:val="18"/>
            <w:szCs w:val="18"/>
            <w:u w:val="single" w:color="auto"/>
            <w:color w:val="0000EE"/>
          </w:rPr>
          <w:t>Fifth Amendment to Credit Agreement dated March 10, 2025, among Harvard Bioscience, Inc.,</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Citizen Bank, N. A., as the administrative agent, and the lenders party thereto.</w:t>
        </w:r>
      </w:hyperlink>
    </w:p>
    <w:p>
      <w:pPr>
        <w:spacing w:after="0" w:line="377" w:lineRule="exact"/>
        <w:rPr>
          <w:sz w:val="20"/>
          <w:szCs w:val="20"/>
          <w:color w:val="auto"/>
        </w:rPr>
      </w:pPr>
    </w:p>
    <w:p>
      <w:pPr>
        <w:ind w:left="10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08">
        <w:r>
          <w:rPr>
            <w:rFonts w:ascii="Times New Roman" w:cs="Times New Roman" w:eastAsia="Times New Roman" w:hAnsi="Times New Roman"/>
            <w:sz w:val="17"/>
            <w:szCs w:val="17"/>
            <w:u w:val="single" w:color="auto"/>
            <w:color w:val="0000EE"/>
          </w:rPr>
          <w:t>Harvard Bioscience, Inc. 2021 Incentive Plan.</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Exhibit to the Current Report on Form 8-K on April 3, 2024, and incorporated by reference thereto.</w:t>
      </w:r>
    </w:p>
    <w:p>
      <w:pPr>
        <w:spacing w:after="0" w:line="17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Exhibit to the Form 10-Q filed August 8, 2024, and incorporated by reference thereto.</w:t>
      </w:r>
    </w:p>
    <w:p>
      <w:pPr>
        <w:spacing w:after="0" w:line="164"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Exhibit to the Current Report on Form 8-K filed March 12, 2025, and incorporated by reference thereto.</w:t>
      </w:r>
    </w:p>
    <w:p>
      <w:pPr>
        <w:spacing w:after="0" w:line="17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Exhibit to the Current Report on Form 8-K filed May 19, 2021, and incorporated by reference thereto.</w:t>
      </w:r>
    </w:p>
    <w:p>
      <w:pPr>
        <w:spacing w:after="0" w:line="162" w:lineRule="exact"/>
        <w:rPr>
          <w:sz w:val="20"/>
          <w:szCs w:val="20"/>
          <w:color w:val="auto"/>
        </w:rPr>
      </w:pPr>
    </w:p>
    <w:p>
      <w:pPr>
        <w:sectPr>
          <w:pgSz w:w="11900" w:h="16838" w:orient="portrait"/>
          <w:cols w:equalWidth="0" w:num="2">
            <w:col w:w="7700" w:space="180"/>
            <w:col w:w="3360"/>
          </w:cols>
          <w:pgMar w:left="320" w:top="55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w:t>
            </w:r>
            <w:hyperlink r:id="rId109">
              <w:r>
                <w:rPr>
                  <w:rFonts w:ascii="Times New Roman" w:cs="Times New Roman" w:eastAsia="Times New Roman" w:hAnsi="Times New Roman"/>
                  <w:sz w:val="18"/>
                  <w:szCs w:val="18"/>
                  <w:color w:val="0000EE"/>
                </w:rPr>
                <w:t>Form of Performance RSU Award Agreement - 2021 Incentive Plan.</w:t>
              </w:r>
            </w:hyperlink>
          </w:p>
        </w:tc>
        <w:tc>
          <w:tcPr>
            <w:tcW w:w="44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5"/>
        </w:trPr>
        <w:tc>
          <w:tcPr>
            <w:tcW w:w="800" w:type="dxa"/>
            <w:vAlign w:val="bottom"/>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filed March 11, 2022, and incorporated by</w:t>
            </w:r>
          </w:p>
        </w:tc>
      </w:tr>
      <w:tr>
        <w:trPr>
          <w:trHeight w:val="232"/>
        </w:trPr>
        <w:tc>
          <w:tcPr>
            <w:tcW w:w="8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352"/>
        </w:trPr>
        <w:tc>
          <w:tcPr>
            <w:tcW w:w="8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9" w:right="339" w:bottom="1440" w:gutter="0" w:footer="0" w:header="0"/>
          <w:type w:val="continuous"/>
        </w:sectPr>
      </w:pPr>
    </w:p>
    <w:bookmarkStart w:id="66" w:name="page67"/>
    <w:bookmarkEnd w:id="66"/>
    <w:p>
      <w:pPr>
        <w:spacing w:after="0" w:line="1" w:lineRule="exact"/>
        <w:rPr>
          <w:sz w:val="20"/>
          <w:szCs w:val="20"/>
          <w:color w:val="auto"/>
        </w:rPr>
      </w:pPr>
    </w:p>
    <w:tbl>
      <w:tblPr>
        <w:tblLayout w:type="fixed"/>
        <w:tblInd w:w="93" w:type="dxa"/>
        <w:tblCellMar>
          <w:top w:w="0" w:type="dxa"/>
          <w:left w:w="0" w:type="dxa"/>
          <w:bottom w:w="0" w:type="dxa"/>
          <w:right w:w="0" w:type="dxa"/>
        </w:tblCellMar>
      </w:tblPr>
      <w:tr>
        <w:trPr>
          <w:trHeight w:val="207"/>
        </w:trPr>
        <w:tc>
          <w:tcPr>
            <w:tcW w:w="6700" w:type="dxa"/>
            <w:vAlign w:val="bottom"/>
            <w:gridSpan w:val="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110">
              <w:r>
                <w:rPr>
                  <w:rFonts w:ascii="Times New Roman" w:cs="Times New Roman" w:eastAsia="Times New Roman" w:hAnsi="Times New Roman"/>
                  <w:sz w:val="18"/>
                  <w:szCs w:val="18"/>
                  <w:color w:val="0000EE"/>
                </w:rPr>
                <w:t>Form of Time-Based RSU Awards Agreement – 2021 Incentive Plan.</w:t>
              </w:r>
            </w:hyperlink>
          </w:p>
        </w:tc>
        <w:tc>
          <w:tcPr>
            <w:tcW w:w="420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Exhibit to the Annual Report on Form 10-K</w:t>
            </w:r>
          </w:p>
        </w:tc>
      </w:tr>
      <w:tr>
        <w:trPr>
          <w:trHeight w:val="215"/>
        </w:trPr>
        <w:tc>
          <w:tcPr>
            <w:tcW w:w="700" w:type="dxa"/>
            <w:vAlign w:val="bottom"/>
          </w:tcPr>
          <w:p>
            <w:pPr>
              <w:spacing w:after="0"/>
              <w:rPr>
                <w:sz w:val="18"/>
                <w:szCs w:val="18"/>
                <w:color w:val="auto"/>
              </w:rPr>
            </w:pPr>
          </w:p>
        </w:tc>
        <w:tc>
          <w:tcPr>
            <w:tcW w:w="4940" w:type="dxa"/>
            <w:vAlign w:val="bottom"/>
            <w:tcBorders>
              <w:top w:val="single" w:sz="8" w:color="0000EE"/>
            </w:tcBorders>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filed March 11, 2022, and incorporated by</w:t>
            </w:r>
          </w:p>
        </w:tc>
      </w:tr>
      <w:tr>
        <w:trPr>
          <w:trHeight w:val="232"/>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reference thereto.</w:t>
            </w:r>
          </w:p>
        </w:tc>
      </w:tr>
    </w:tbl>
    <w:p>
      <w:pPr>
        <w:spacing w:after="0" w:line="194" w:lineRule="exact"/>
        <w:rPr>
          <w:sz w:val="20"/>
          <w:szCs w:val="20"/>
          <w:color w:val="auto"/>
        </w:rPr>
      </w:pPr>
    </w:p>
    <w:p>
      <w:pPr>
        <w:sectPr>
          <w:pgSz w:w="11900" w:h="16838" w:orient="portrait"/>
          <w:cols w:equalWidth="0" w:num="1">
            <w:col w:w="11233"/>
          </w:cols>
          <w:pgMar w:left="327" w:top="559" w:right="339" w:bottom="1440" w:gutter="0" w:footer="0" w:header="0"/>
        </w:sectPr>
      </w:pPr>
    </w:p>
    <w:p>
      <w:pPr>
        <w:ind w:left="93"/>
        <w:spacing w:after="0"/>
        <w:tabs>
          <w:tab w:leader="none" w:pos="773"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11">
        <w:r>
          <w:rPr>
            <w:rFonts w:ascii="Times New Roman" w:cs="Times New Roman" w:eastAsia="Times New Roman" w:hAnsi="Times New Roman"/>
            <w:sz w:val="17"/>
            <w:szCs w:val="17"/>
            <w:u w:val="single" w:color="auto"/>
            <w:color w:val="0000EE"/>
          </w:rPr>
          <w:t>Form of RSU Award for Directors – 2021 Incentive Plan.</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Exhibit to the Annual Report on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March 11, 2022, and incorporated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thereto.</w:t>
      </w:r>
    </w:p>
    <w:p>
      <w:pPr>
        <w:spacing w:after="0" w:line="185" w:lineRule="exact"/>
        <w:rPr>
          <w:sz w:val="20"/>
          <w:szCs w:val="20"/>
          <w:color w:val="auto"/>
        </w:rPr>
      </w:pPr>
    </w:p>
    <w:p>
      <w:pPr>
        <w:sectPr>
          <w:pgSz w:w="11900" w:h="16838" w:orient="portrait"/>
          <w:cols w:equalWidth="0" w:num="2">
            <w:col w:w="7153" w:space="720"/>
            <w:col w:w="3360"/>
          </w:cols>
          <w:pgMar w:left="327" w:top="559" w:right="339" w:bottom="1440" w:gutter="0" w:footer="0" w:header="0"/>
          <w:type w:val="continuous"/>
        </w:sectPr>
      </w:pPr>
    </w:p>
    <w:tbl>
      <w:tblPr>
        <w:tblLayout w:type="fixed"/>
        <w:tblInd w:w="13" w:type="dxa"/>
        <w:tblCellMar>
          <w:top w:w="0" w:type="dxa"/>
          <w:left w:w="0" w:type="dxa"/>
          <w:bottom w:w="0" w:type="dxa"/>
          <w:right w:w="0" w:type="dxa"/>
        </w:tblCellMar>
      </w:tblPr>
      <w:tr>
        <w:trPr>
          <w:trHeight w:val="207"/>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10.24#</w:t>
            </w:r>
          </w:p>
        </w:tc>
        <w:tc>
          <w:tcPr>
            <w:tcW w:w="68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Form of Time-Based Restricted Stock Unit Award Agreement -2021 Incentive Plan (for awards</w:t>
              </w:r>
            </w:hyperlink>
          </w:p>
        </w:tc>
        <w:tc>
          <w:tcPr>
            <w:tcW w:w="120" w:type="dxa"/>
            <w:vAlign w:val="bottom"/>
            <w:gridSpan w:val="2"/>
          </w:tcPr>
          <w:p>
            <w:pPr>
              <w:spacing w:after="0"/>
              <w:rPr>
                <w:sz w:val="17"/>
                <w:szCs w:val="17"/>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Exhibit to the Form 10-Q filed August 8, 2024,</w:t>
            </w:r>
          </w:p>
        </w:tc>
      </w:tr>
      <w:tr>
        <w:trPr>
          <w:trHeight w:val="193"/>
        </w:trPr>
        <w:tc>
          <w:tcPr>
            <w:tcW w:w="780" w:type="dxa"/>
            <w:vAlign w:val="bottom"/>
          </w:tcPr>
          <w:p>
            <w:pPr>
              <w:spacing w:after="0"/>
              <w:rPr>
                <w:sz w:val="16"/>
                <w:szCs w:val="16"/>
                <w:color w:val="auto"/>
              </w:rPr>
            </w:pPr>
          </w:p>
        </w:tc>
        <w:tc>
          <w:tcPr>
            <w:tcW w:w="6920" w:type="dxa"/>
            <w:vAlign w:val="bottom"/>
            <w:gridSpan w:val="15"/>
          </w:tcPr>
          <w:p>
            <w:pPr>
              <w:spacing w:after="0" w:line="194"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granted on or after March 5, 2024)</w:t>
              </w:r>
            </w:hyperlink>
          </w:p>
        </w:tc>
        <w:tc>
          <w:tcPr>
            <w:tcW w:w="35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and incorporated by reference thereto.</w:t>
            </w:r>
          </w:p>
        </w:tc>
      </w:tr>
      <w:tr>
        <w:trPr>
          <w:trHeight w:val="20"/>
        </w:trPr>
        <w:tc>
          <w:tcPr>
            <w:tcW w:w="78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10.25#</w:t>
            </w:r>
          </w:p>
        </w:tc>
        <w:tc>
          <w:tcPr>
            <w:tcW w:w="6920" w:type="dxa"/>
            <w:vAlign w:val="bottom"/>
            <w:gridSpan w:val="1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Performance-Based Restricted Stock Unit Award Agreement -2021 Incentive Plan (for</w:t>
              </w:r>
            </w:hyperlink>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Exhibit to the Form 10-Q filed August 8, 2024,</w:t>
            </w:r>
          </w:p>
        </w:tc>
      </w:tr>
      <w:tr>
        <w:trPr>
          <w:trHeight w:val="193"/>
        </w:trPr>
        <w:tc>
          <w:tcPr>
            <w:tcW w:w="780" w:type="dxa"/>
            <w:vAlign w:val="bottom"/>
          </w:tcPr>
          <w:p>
            <w:pPr>
              <w:spacing w:after="0"/>
              <w:rPr>
                <w:sz w:val="16"/>
                <w:szCs w:val="16"/>
                <w:color w:val="auto"/>
              </w:rPr>
            </w:pPr>
          </w:p>
        </w:tc>
        <w:tc>
          <w:tcPr>
            <w:tcW w:w="302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awards granted on or after March 5, 2024)</w:t>
              </w:r>
            </w:hyperlink>
          </w:p>
        </w:tc>
        <w:tc>
          <w:tcPr>
            <w:tcW w:w="3760" w:type="dxa"/>
            <w:vAlign w:val="bottom"/>
            <w:tcBorders>
              <w:top w:val="single" w:sz="8" w:color="0000EE"/>
            </w:tcBorders>
            <w:gridSpan w:val="7"/>
          </w:tcPr>
          <w:p>
            <w:pPr>
              <w:spacing w:after="0"/>
              <w:rPr>
                <w:sz w:val="16"/>
                <w:szCs w:val="16"/>
                <w:color w:val="auto"/>
              </w:rPr>
            </w:pPr>
          </w:p>
        </w:tc>
        <w:tc>
          <w:tcPr>
            <w:tcW w:w="140" w:type="dxa"/>
            <w:vAlign w:val="bottom"/>
            <w:gridSpan w:val="3"/>
          </w:tcPr>
          <w:p>
            <w:pPr>
              <w:spacing w:after="0"/>
              <w:rPr>
                <w:sz w:val="16"/>
                <w:szCs w:val="16"/>
                <w:color w:val="auto"/>
              </w:rPr>
            </w:pPr>
          </w:p>
        </w:tc>
        <w:tc>
          <w:tcPr>
            <w:tcW w:w="35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and incorporated by reference thereto.</w:t>
            </w: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10.26#</w:t>
            </w:r>
          </w:p>
        </w:tc>
        <w:tc>
          <w:tcPr>
            <w:tcW w:w="6920" w:type="dxa"/>
            <w:vAlign w:val="bottom"/>
            <w:gridSpan w:val="1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Director and Officer Indemnification Agreement</w:t>
              </w:r>
            </w:hyperlink>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Exhibit to the Form 10-Q filed August 8, 2024,</w:t>
            </w:r>
          </w:p>
        </w:tc>
      </w:tr>
      <w:tr>
        <w:trPr>
          <w:trHeight w:val="234"/>
        </w:trPr>
        <w:tc>
          <w:tcPr>
            <w:tcW w:w="780" w:type="dxa"/>
            <w:vAlign w:val="bottom"/>
          </w:tcPr>
          <w:p>
            <w:pPr>
              <w:spacing w:after="0"/>
              <w:rPr>
                <w:sz w:val="20"/>
                <w:szCs w:val="20"/>
                <w:color w:val="auto"/>
              </w:rPr>
            </w:pPr>
          </w:p>
        </w:tc>
        <w:tc>
          <w:tcPr>
            <w:tcW w:w="16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incorporated by reference thereto.</w:t>
            </w:r>
          </w:p>
        </w:tc>
      </w:tr>
      <w:tr>
        <w:trPr>
          <w:trHeight w:val="38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19</w:t>
            </w:r>
          </w:p>
        </w:tc>
        <w:tc>
          <w:tcPr>
            <w:tcW w:w="1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Insider Trading Policy</w:t>
            </w:r>
          </w:p>
        </w:tc>
        <w:tc>
          <w:tcPr>
            <w:tcW w:w="5320" w:type="dxa"/>
            <w:vAlign w:val="bottom"/>
            <w:gridSpan w:val="14"/>
          </w:tcPr>
          <w:p>
            <w:pPr>
              <w:spacing w:after="0"/>
              <w:rPr>
                <w:sz w:val="24"/>
                <w:szCs w:val="24"/>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21.1</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20"/>
        </w:trPr>
        <w:tc>
          <w:tcPr>
            <w:tcW w:w="78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23.1</w:t>
            </w:r>
          </w:p>
        </w:tc>
        <w:tc>
          <w:tcPr>
            <w:tcW w:w="2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Grant Thornton LLP</w:t>
            </w:r>
          </w:p>
        </w:tc>
        <w:tc>
          <w:tcPr>
            <w:tcW w:w="4620" w:type="dxa"/>
            <w:vAlign w:val="bottom"/>
            <w:gridSpan w:val="12"/>
          </w:tcPr>
          <w:p>
            <w:pPr>
              <w:spacing w:after="0"/>
              <w:rPr>
                <w:sz w:val="24"/>
                <w:szCs w:val="24"/>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31.1</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of Harvard Bioscience, Inc., pursuant to Rules 13a-15(e)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193"/>
        </w:trPr>
        <w:tc>
          <w:tcPr>
            <w:tcW w:w="780" w:type="dxa"/>
            <w:vAlign w:val="bottom"/>
          </w:tcPr>
          <w:p>
            <w:pPr>
              <w:spacing w:after="0"/>
              <w:rPr>
                <w:sz w:val="16"/>
                <w:szCs w:val="16"/>
                <w:color w:val="auto"/>
              </w:rPr>
            </w:pPr>
          </w:p>
        </w:tc>
        <w:tc>
          <w:tcPr>
            <w:tcW w:w="6860" w:type="dxa"/>
            <w:vAlign w:val="bottom"/>
            <w:tcBorders>
              <w:top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and 15d-15(e), as adopted pursuant to Section 302 of the Sarbanes-Oxley Act of 2002</w:t>
            </w:r>
          </w:p>
        </w:tc>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40" w:type="dxa"/>
            <w:vAlign w:val="bottom"/>
            <w:gridSpan w:val="6"/>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31.2</w:t>
            </w:r>
          </w:p>
        </w:tc>
        <w:tc>
          <w:tcPr>
            <w:tcW w:w="69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Certification of Chief Executive Officer of Harvard Bioscience, Inc., pursuant to Rules 13a-15(e)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193"/>
        </w:trPr>
        <w:tc>
          <w:tcPr>
            <w:tcW w:w="780" w:type="dxa"/>
            <w:vAlign w:val="bottom"/>
          </w:tcPr>
          <w:p>
            <w:pPr>
              <w:spacing w:after="0"/>
              <w:rPr>
                <w:sz w:val="16"/>
                <w:szCs w:val="16"/>
                <w:color w:val="auto"/>
              </w:rPr>
            </w:pPr>
          </w:p>
        </w:tc>
        <w:tc>
          <w:tcPr>
            <w:tcW w:w="692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and 15d-15(e), as adopted pursuant to Section 302 of the Sarbanes-Oxley Act of 2002</w:t>
            </w:r>
          </w:p>
        </w:tc>
        <w:tc>
          <w:tcPr>
            <w:tcW w:w="35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3940" w:type="dxa"/>
            <w:vAlign w:val="bottom"/>
            <w:gridSpan w:val="6"/>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32.1</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Harvard Bioscience, Inc., pursuant to 18 U.S.C.</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780" w:type="dxa"/>
            <w:vAlign w:val="bottom"/>
          </w:tcPr>
          <w:p>
            <w:pPr>
              <w:spacing w:after="0"/>
              <w:rPr>
                <w:sz w:val="16"/>
                <w:szCs w:val="16"/>
                <w:color w:val="auto"/>
              </w:rPr>
            </w:pPr>
          </w:p>
        </w:tc>
        <w:tc>
          <w:tcPr>
            <w:tcW w:w="6100" w:type="dxa"/>
            <w:vAlign w:val="bottom"/>
            <w:tcBorders>
              <w:top w:val="single" w:sz="8" w:color="0000EE"/>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Sarbanes-Oxley Act of 2002</w:t>
            </w:r>
          </w:p>
        </w:tc>
        <w:tc>
          <w:tcPr>
            <w:tcW w:w="320" w:type="dxa"/>
            <w:vAlign w:val="bottom"/>
            <w:tcBorders>
              <w:top w:val="single" w:sz="8" w:color="0000EE"/>
            </w:tcBorders>
          </w:tcPr>
          <w:p>
            <w:pPr>
              <w:spacing w:after="0"/>
              <w:rPr>
                <w:sz w:val="16"/>
                <w:szCs w:val="16"/>
                <w:color w:val="auto"/>
              </w:rPr>
            </w:pPr>
          </w:p>
        </w:tc>
        <w:tc>
          <w:tcPr>
            <w:tcW w:w="500" w:type="dxa"/>
            <w:vAlign w:val="bottom"/>
            <w:gridSpan w:val="5"/>
          </w:tcPr>
          <w:p>
            <w:pPr>
              <w:spacing w:after="0"/>
              <w:rPr>
                <w:sz w:val="16"/>
                <w:szCs w:val="16"/>
                <w:color w:val="auto"/>
              </w:rPr>
            </w:pPr>
          </w:p>
        </w:tc>
        <w:tc>
          <w:tcPr>
            <w:tcW w:w="3520" w:type="dxa"/>
            <w:vAlign w:val="bottom"/>
          </w:tcPr>
          <w:p>
            <w:pPr>
              <w:spacing w:after="0"/>
              <w:rPr>
                <w:sz w:val="16"/>
                <w:szCs w:val="16"/>
                <w:color w:val="auto"/>
              </w:rPr>
            </w:pP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32.2</w:t>
            </w:r>
          </w:p>
        </w:tc>
        <w:tc>
          <w:tcPr>
            <w:tcW w:w="6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Certification of Chief Executive Officer of Harvard Bioscience, Inc., pursuant to 18 U.S.C.</w:t>
            </w:r>
          </w:p>
        </w:tc>
        <w:tc>
          <w:tcPr>
            <w:tcW w:w="440" w:type="dxa"/>
            <w:vAlign w:val="bottom"/>
            <w:gridSpan w:val="4"/>
          </w:tcPr>
          <w:p>
            <w:pPr>
              <w:spacing w:after="0"/>
              <w:rPr>
                <w:sz w:val="24"/>
                <w:szCs w:val="24"/>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780" w:type="dxa"/>
            <w:vAlign w:val="bottom"/>
          </w:tcPr>
          <w:p>
            <w:pPr>
              <w:spacing w:after="0"/>
              <w:rPr>
                <w:sz w:val="16"/>
                <w:szCs w:val="16"/>
                <w:color w:val="auto"/>
              </w:rPr>
            </w:pPr>
          </w:p>
        </w:tc>
        <w:tc>
          <w:tcPr>
            <w:tcW w:w="604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Section 1350, as adopted pursuant to Section 906 of the Sarbanes-Oxley Act of 2002</w:t>
            </w:r>
          </w:p>
        </w:tc>
        <w:tc>
          <w:tcPr>
            <w:tcW w:w="880" w:type="dxa"/>
            <w:vAlign w:val="bottom"/>
            <w:gridSpan w:val="7"/>
          </w:tcPr>
          <w:p>
            <w:pPr>
              <w:spacing w:after="0"/>
              <w:rPr>
                <w:sz w:val="16"/>
                <w:szCs w:val="16"/>
                <w:color w:val="auto"/>
              </w:rPr>
            </w:pPr>
          </w:p>
        </w:tc>
        <w:tc>
          <w:tcPr>
            <w:tcW w:w="3520" w:type="dxa"/>
            <w:vAlign w:val="bottom"/>
          </w:tcPr>
          <w:p>
            <w:pPr>
              <w:spacing w:after="0"/>
              <w:rPr>
                <w:sz w:val="16"/>
                <w:szCs w:val="16"/>
                <w:color w:val="auto"/>
              </w:rPr>
            </w:pPr>
          </w:p>
        </w:tc>
      </w:tr>
      <w:tr>
        <w:trPr>
          <w:trHeight w:val="40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97</w:t>
            </w:r>
          </w:p>
        </w:tc>
        <w:tc>
          <w:tcPr>
            <w:tcW w:w="6920" w:type="dxa"/>
            <w:vAlign w:val="bottom"/>
            <w:gridSpan w:val="1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Harvard Bioscience Inc., Dodd-Frank Clawback Policy</w:t>
              </w:r>
            </w:hyperlink>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 to the Annual Report on Form 10-K</w:t>
            </w:r>
          </w:p>
        </w:tc>
      </w:tr>
      <w:tr>
        <w:trPr>
          <w:trHeight w:val="215"/>
        </w:trPr>
        <w:tc>
          <w:tcPr>
            <w:tcW w:w="780" w:type="dxa"/>
            <w:vAlign w:val="bottom"/>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March 7, 2024, and incorporated by</w:t>
            </w:r>
          </w:p>
        </w:tc>
      </w:tr>
      <w:tr>
        <w:trPr>
          <w:trHeight w:val="232"/>
        </w:trPr>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reference thereto.</w:t>
            </w:r>
          </w:p>
        </w:tc>
      </w:tr>
      <w:tr>
        <w:trPr>
          <w:trHeight w:val="426"/>
        </w:trPr>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101.INS</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2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101.SCH</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2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101.CAL</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26"/>
        </w:trPr>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101.DEF</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26"/>
        </w:trPr>
        <w:tc>
          <w:tcPr>
            <w:tcW w:w="7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101.LAB</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r>
        <w:trPr>
          <w:trHeight w:val="426"/>
        </w:trPr>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101.PRE</w:t>
            </w:r>
          </w:p>
        </w:tc>
        <w:tc>
          <w:tcPr>
            <w:tcW w:w="69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with this report</w:t>
            </w:r>
          </w:p>
        </w:tc>
      </w:tr>
    </w:tbl>
    <w:p>
      <w:pPr>
        <w:spacing w:after="0" w:line="194" w:lineRule="exact"/>
        <w:rPr>
          <w:sz w:val="20"/>
          <w:szCs w:val="20"/>
          <w:color w:val="auto"/>
        </w:rPr>
      </w:pPr>
    </w:p>
    <w:p>
      <w:pPr>
        <w:ind w:left="793" w:right="3520" w:hanging="587"/>
        <w:spacing w:after="0" w:line="276" w:lineRule="auto"/>
        <w:tabs>
          <w:tab w:leader="none" w:pos="79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63"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601(b)(10) of Regulation S-K.</w:t>
      </w:r>
    </w:p>
    <w:p>
      <w:pPr>
        <w:spacing w:after="0" w:line="219" w:lineRule="exact"/>
        <w:rPr>
          <w:sz w:val="20"/>
          <w:szCs w:val="20"/>
          <w:color w:val="auto"/>
        </w:rPr>
      </w:pPr>
    </w:p>
    <w:p>
      <w:pPr>
        <w:ind w:left="353" w:right="180" w:hanging="353"/>
        <w:spacing w:after="0" w:line="261" w:lineRule="auto"/>
        <w:tabs>
          <w:tab w:leader="none" w:pos="3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78" w:lineRule="exact"/>
        <w:rPr>
          <w:sz w:val="20"/>
          <w:szCs w:val="20"/>
          <w:color w:val="auto"/>
        </w:rPr>
      </w:pPr>
    </w:p>
    <w:p>
      <w:pPr>
        <w:ind w:left="353" w:hanging="353"/>
        <w:spacing w:after="0"/>
        <w:tabs>
          <w:tab w:leader="none" w:pos="3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19" w:lineRule="exact"/>
        <w:rPr>
          <w:sz w:val="20"/>
          <w:szCs w:val="20"/>
          <w:color w:val="auto"/>
        </w:rPr>
      </w:pPr>
    </w:p>
    <w:p>
      <w:pPr>
        <w:ind w:left="353" w:right="340" w:hanging="353"/>
        <w:spacing w:after="0" w:line="523" w:lineRule="auto"/>
        <w:tabs>
          <w:tab w:leader="none" w:pos="3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have been omitted. A copy of any omitted schedule or exhibit will be furnished to the SEC supplementally upon request. The Company will furnish to stockholders a copy of any exhibit without charge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55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p>
        </w:tc>
        <w:tc>
          <w:tcPr>
            <w:tcW w:w="82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HARVARD BIOSCIENCE, INC.</w:t>
            </w:r>
          </w:p>
        </w:tc>
      </w:tr>
      <w:tr>
        <w:trPr>
          <w:trHeight w:val="42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82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JAMES GREEN</w:t>
            </w:r>
          </w:p>
        </w:tc>
      </w:tr>
      <w:tr>
        <w:trPr>
          <w:trHeight w:val="188"/>
        </w:trPr>
        <w:tc>
          <w:tcPr>
            <w:tcW w:w="30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James Green</w:t>
            </w:r>
          </w:p>
        </w:tc>
      </w:tr>
      <w:tr>
        <w:trPr>
          <w:trHeight w:val="232"/>
        </w:trPr>
        <w:tc>
          <w:tcPr>
            <w:tcW w:w="3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both"/>
        <w:ind w:firstLine="44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2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1"/>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JAMES GREEN</w:t>
            </w:r>
          </w:p>
        </w:tc>
        <w:tc>
          <w:tcPr>
            <w:tcW w:w="240" w:type="dxa"/>
            <w:vAlign w:val="bottom"/>
          </w:tcPr>
          <w:p>
            <w:pPr>
              <w:spacing w:after="0"/>
              <w:rPr>
                <w:sz w:val="24"/>
                <w:szCs w:val="24"/>
                <w:color w:val="auto"/>
              </w:rPr>
            </w:pPr>
          </w:p>
        </w:tc>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13, 2025</w:t>
            </w: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Green</w:t>
            </w:r>
          </w:p>
        </w:tc>
        <w:tc>
          <w:tcPr>
            <w:tcW w:w="240" w:type="dxa"/>
            <w:vAlign w:val="bottom"/>
          </w:tcPr>
          <w:p>
            <w:pPr>
              <w:spacing w:after="0"/>
              <w:rPr>
                <w:sz w:val="19"/>
                <w:szCs w:val="19"/>
                <w:color w:val="auto"/>
              </w:rPr>
            </w:pPr>
          </w:p>
        </w:tc>
        <w:tc>
          <w:tcPr>
            <w:tcW w:w="7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 JENNIFER COTE</w:t>
            </w:r>
          </w:p>
        </w:tc>
        <w:tc>
          <w:tcPr>
            <w:tcW w:w="7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tcBorders>
            <w:gridSpan w:val="3"/>
            <w:vMerge w:val="continue"/>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13, 2025</w:t>
            </w: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Jennifer Cote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KATHERINE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EADE</w:t>
            </w:r>
          </w:p>
        </w:tc>
        <w:tc>
          <w:tcPr>
            <w:tcW w:w="240" w:type="dxa"/>
            <w:vAlign w:val="bottom"/>
            <w:tcBorders>
              <w:bottom w:val="single" w:sz="8" w:color="auto"/>
            </w:tcBorders>
          </w:tcPr>
          <w:p>
            <w:pPr>
              <w:spacing w:after="0"/>
              <w:rPr>
                <w:sz w:val="20"/>
                <w:szCs w:val="20"/>
                <w:color w:val="auto"/>
              </w:rPr>
            </w:pPr>
          </w:p>
        </w:tc>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13, 2025</w:t>
            </w: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Katherine A. Eade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ALAN EDRICK</w:t>
            </w:r>
          </w:p>
        </w:tc>
        <w:tc>
          <w:tcPr>
            <w:tcW w:w="240" w:type="dxa"/>
            <w:vAlign w:val="bottom"/>
            <w:tcBorders>
              <w:bottom w:val="single" w:sz="8" w:color="auto"/>
            </w:tcBorders>
          </w:tcPr>
          <w:p>
            <w:pPr>
              <w:spacing w:after="0"/>
              <w:rPr>
                <w:sz w:val="24"/>
                <w:szCs w:val="24"/>
                <w:color w:val="auto"/>
              </w:rPr>
            </w:pPr>
          </w:p>
        </w:tc>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13, 2025</w:t>
            </w: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Alan Edrick</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3"/>
              </w:rPr>
              <w:t>W.</w:t>
            </w:r>
          </w:p>
        </w:tc>
        <w:tc>
          <w:tcPr>
            <w:tcW w:w="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LOEWALD</w:t>
            </w:r>
          </w:p>
        </w:tc>
        <w:tc>
          <w:tcPr>
            <w:tcW w:w="240" w:type="dxa"/>
            <w:vAlign w:val="bottom"/>
            <w:tcBorders>
              <w:bottom w:val="single" w:sz="8" w:color="auto"/>
            </w:tcBorders>
          </w:tcPr>
          <w:p>
            <w:pPr>
              <w:spacing w:after="0"/>
              <w:rPr>
                <w:sz w:val="20"/>
                <w:szCs w:val="20"/>
                <w:color w:val="auto"/>
              </w:rPr>
            </w:pPr>
          </w:p>
        </w:tc>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13, 2025</w:t>
            </w:r>
          </w:p>
        </w:tc>
        <w:tc>
          <w:tcPr>
            <w:tcW w:w="0" w:type="dxa"/>
            <w:vAlign w:val="bottom"/>
          </w:tcPr>
          <w:p>
            <w:pPr>
              <w:spacing w:after="0"/>
              <w:rPr>
                <w:sz w:val="1"/>
                <w:szCs w:val="1"/>
                <w:color w:val="auto"/>
              </w:rPr>
            </w:pPr>
          </w:p>
        </w:tc>
      </w:tr>
      <w:tr>
        <w:trPr>
          <w:trHeight w:val="22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Thomas W. Loewald</w:t>
            </w:r>
          </w:p>
        </w:tc>
        <w:tc>
          <w:tcPr>
            <w:tcW w:w="2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BERTRAND LOY</w:t>
            </w:r>
          </w:p>
        </w:tc>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13, 2025</w:t>
            </w: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Bertrand Loy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287655</wp:posOffset>
            </wp:positionV>
            <wp:extent cx="1362710" cy="6007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1362710" cy="60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19"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7"/>
          <w:szCs w:val="17"/>
          <w:b w:val="1"/>
          <w:bCs w:val="1"/>
          <w:color w:val="auto"/>
        </w:rPr>
        <w:t>Revised March 2025</w:t>
      </w:r>
    </w:p>
    <w:p>
      <w:pPr>
        <w:spacing w:after="0" w:line="22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Harvard Bioscience, Inc. and its subsidiaries (collectively,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are committed to complying with applicable securities regulations and maintaining the highest ethical standards. We prohibit the trading in Company securities while in possession of material non-public information about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Points</w:t>
      </w:r>
    </w:p>
    <w:p>
      <w:pPr>
        <w:spacing w:after="0" w:line="221" w:lineRule="exact"/>
        <w:rPr>
          <w:sz w:val="20"/>
          <w:szCs w:val="20"/>
          <w:color w:val="auto"/>
        </w:rPr>
      </w:pPr>
    </w:p>
    <w:p>
      <w:pPr>
        <w:ind w:left="640" w:right="20" w:hanging="327"/>
        <w:spacing w:after="0" w:line="27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Company securities while in possession of material non-public information (“Inside Information”) is a violation of this Policy as well as federal and state laws regulating securities (“Securities Laws”), and is known as “insider trading”.</w:t>
      </w:r>
    </w:p>
    <w:p>
      <w:pPr>
        <w:spacing w:after="0" w:line="163" w:lineRule="exact"/>
        <w:rPr>
          <w:rFonts w:ascii="Times New Roman" w:cs="Times New Roman" w:eastAsia="Times New Roman" w:hAnsi="Times New Roman"/>
          <w:sz w:val="18"/>
          <w:szCs w:val="18"/>
          <w:color w:val="auto"/>
        </w:rPr>
      </w:pPr>
    </w:p>
    <w:p>
      <w:pPr>
        <w:ind w:left="640" w:right="160" w:hanging="327"/>
        <w:spacing w:after="0" w:line="27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engage in insider trading may be subject to consequences that include, among other things, imprisonment, fines, and termination of their relationship with the Company.</w:t>
      </w:r>
    </w:p>
    <w:p>
      <w:pPr>
        <w:spacing w:after="0" w:line="163" w:lineRule="exact"/>
        <w:rPr>
          <w:rFonts w:ascii="Times New Roman" w:cs="Times New Roman" w:eastAsia="Times New Roman" w:hAnsi="Times New Roman"/>
          <w:sz w:val="18"/>
          <w:szCs w:val="18"/>
          <w:color w:val="auto"/>
        </w:rPr>
      </w:pPr>
    </w:p>
    <w:p>
      <w:pPr>
        <w:ind w:left="640" w:right="160" w:hanging="327"/>
        <w:spacing w:after="0" w:line="27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prohibited from trading in derivatives relating to the Company’s stock (for example, buying or selling puts or calls) or otherwise hedging the Company’s stock (for example, short selling).</w:t>
      </w:r>
    </w:p>
    <w:p>
      <w:pPr>
        <w:spacing w:after="0" w:line="163" w:lineRule="exact"/>
        <w:rPr>
          <w:rFonts w:ascii="Times New Roman" w:cs="Times New Roman" w:eastAsia="Times New Roman" w:hAnsi="Times New Roman"/>
          <w:sz w:val="18"/>
          <w:szCs w:val="18"/>
          <w:color w:val="auto"/>
        </w:rPr>
      </w:pPr>
    </w:p>
    <w:p>
      <w:pPr>
        <w:ind w:left="640" w:right="240" w:hanging="327"/>
        <w:spacing w:after="0" w:line="306"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imposes Blackout Periods (explained below), both scheduled and unscheduled, during which you may not trade in Company securities. However, even outside of Blackout Periods, you must comply with all requirements under applicable Securities Laws and this Policy.</w:t>
      </w:r>
    </w:p>
    <w:p>
      <w:pPr>
        <w:spacing w:after="0" w:line="141" w:lineRule="exact"/>
        <w:rPr>
          <w:rFonts w:ascii="Times New Roman" w:cs="Times New Roman" w:eastAsia="Times New Roman" w:hAnsi="Times New Roman"/>
          <w:sz w:val="17"/>
          <w:szCs w:val="17"/>
          <w:color w:val="auto"/>
        </w:rPr>
      </w:pPr>
    </w:p>
    <w:p>
      <w:pPr>
        <w:ind w:left="640" w:right="60" w:hanging="327"/>
        <w:spacing w:after="0" w:line="27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Designated Insiders (defined below) must obtain the Compliance Officer’s written permission prior to trading in Company securities, </w:t>
      </w:r>
      <w:r>
        <w:rPr>
          <w:rFonts w:ascii="Times New Roman" w:cs="Times New Roman" w:eastAsia="Times New Roman" w:hAnsi="Times New Roman"/>
          <w:sz w:val="18"/>
          <w:szCs w:val="18"/>
          <w:u w:val="single" w:color="auto"/>
          <w:color w:val="auto"/>
        </w:rPr>
        <w:t>regardless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whether there is a Blackout Period in effect</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left="640" w:right="40" w:hanging="327"/>
        <w:spacing w:after="0" w:line="27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Chief Financial Officer is the Compliance Officer, except that with respect to proposed transactions by the Compliance Officer, all such transactions must be approved by the Company’s Chief Executive Officer.</w:t>
      </w:r>
    </w:p>
    <w:p>
      <w:pPr>
        <w:spacing w:after="0" w:line="163" w:lineRule="exact"/>
        <w:rPr>
          <w:rFonts w:ascii="Times New Roman" w:cs="Times New Roman" w:eastAsia="Times New Roman" w:hAnsi="Times New Roman"/>
          <w:sz w:val="18"/>
          <w:szCs w:val="18"/>
          <w:color w:val="auto"/>
        </w:rPr>
      </w:pPr>
    </w:p>
    <w:p>
      <w:pPr>
        <w:ind w:left="640" w:right="120" w:hanging="327"/>
        <w:spacing w:after="0" w:line="284"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this Policy is designed to assist you in avoiding violation of Securities Laws, it is your personal responsibility to comply with Securities Laws while trading in Company securities. If you are unsure whether any planned trading in Company securities is in compliance with this Policy and applicable Securities Laws, you should consult with the Chief Financial Officer, who serves as the Compliance Officer for this Policy.</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Trading While in Possession of Material Non-Public Information Is Prohibited</w:t>
      </w:r>
    </w:p>
    <w:p>
      <w:pPr>
        <w:spacing w:after="0" w:line="221" w:lineRule="exact"/>
        <w:rPr>
          <w:sz w:val="20"/>
          <w:szCs w:val="20"/>
          <w:color w:val="auto"/>
        </w:rPr>
      </w:pPr>
    </w:p>
    <w:p>
      <w:pPr>
        <w:ind w:left="280" w:right="100"/>
        <w:spacing w:after="0" w:line="257" w:lineRule="auto"/>
        <w:rPr>
          <w:sz w:val="20"/>
          <w:szCs w:val="20"/>
          <w:color w:val="auto"/>
        </w:rPr>
      </w:pPr>
      <w:r>
        <w:rPr>
          <w:rFonts w:ascii="Times New Roman" w:cs="Times New Roman" w:eastAsia="Times New Roman" w:hAnsi="Times New Roman"/>
          <w:sz w:val="18"/>
          <w:szCs w:val="18"/>
          <w:color w:val="auto"/>
        </w:rPr>
        <w:t>While in possession of material non-public information, you may not offer to buy, sell, or otherwise transact in Company securities, including common stock, options and any other securities that the Company may issue, such as preferred stock, notes, bonds and convertible securities, as well as derivative securities. It is also a violation of this Policy and applicable Securities Laws to disclose Inside Information to another individual for the purpose of enabling that person to trade in Company securities on the basis of that Inside Information.</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You are required to comply with all Securities Laws and are prohibited from misusing corporate information.</w:t>
      </w:r>
    </w:p>
    <w:p>
      <w:pPr>
        <w:spacing w:after="0" w:line="219"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you may learn highly sensitive information regarding the Company and our activities. This information may not be adequately disclosed to the general public at the time you become aware of it, but nonetheless may be considered “material” to an investor’s decision about whether to trade in the Company’s securities.</w:t>
      </w: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83185</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440" w:top="119" w:right="339" w:bottom="1440" w:gutter="0" w:footer="0" w:header="0"/>
        </w:sectPr>
      </w:pPr>
    </w:p>
    <w:bookmarkStart w:id="69" w:name="page70"/>
    <w:bookmarkEnd w:id="69"/>
    <w:p>
      <w:pPr>
        <w:ind w:right="180"/>
        <w:spacing w:after="0" w:line="257" w:lineRule="auto"/>
        <w:rPr>
          <w:sz w:val="20"/>
          <w:szCs w:val="20"/>
          <w:color w:val="auto"/>
        </w:rPr>
      </w:pPr>
      <w:r>
        <w:rPr>
          <w:rFonts w:ascii="Times New Roman" w:cs="Times New Roman" w:eastAsia="Times New Roman" w:hAnsi="Times New Roman"/>
          <w:sz w:val="18"/>
          <w:szCs w:val="18"/>
          <w:color w:val="auto"/>
        </w:rPr>
        <w:t>It may be difficult to determine whether particular information is material or not. Although you may be entrusted with this information due to your relationship with the Company, the Inside Information is the property of the Company. Consequently, pursuant to this Policy as well as applicable Securities Laws, you may not use Inside Information for personal gain, either by trading in securities yourself, or through an agent, or by passing the information on to others to enable them to profit through trading.</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Policy was developed to provide you with an overview of the most significant aspects of insider trading. It also was developed generally to advise you of your legal responsibilities in handling Inside Information and the severe repercussions that may be imposed for any misuse of such information, including, among other things, imprisonment, fines, and termination of your relationship with the Company. However, it is your responsibility to comply with all Securities Laws when you trade in Company securities.</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Other Prohibited Transactions</w:t>
      </w:r>
    </w:p>
    <w:p>
      <w:pPr>
        <w:spacing w:after="0" w:line="221" w:lineRule="exact"/>
        <w:rPr>
          <w:sz w:val="20"/>
          <w:szCs w:val="20"/>
          <w:color w:val="auto"/>
        </w:rPr>
      </w:pPr>
    </w:p>
    <w:p>
      <w:pPr>
        <w:ind w:left="80" w:right="420"/>
        <w:spacing w:after="0" w:line="276" w:lineRule="auto"/>
        <w:rPr>
          <w:sz w:val="20"/>
          <w:szCs w:val="20"/>
          <w:color w:val="auto"/>
        </w:rPr>
      </w:pPr>
      <w:r>
        <w:rPr>
          <w:rFonts w:ascii="Times New Roman" w:cs="Times New Roman" w:eastAsia="Times New Roman" w:hAnsi="Times New Roman"/>
          <w:sz w:val="18"/>
          <w:szCs w:val="18"/>
          <w:color w:val="auto"/>
        </w:rPr>
        <w:t xml:space="preserve">In order to avoid even the appearance of impropriety, you are prohibited from engaging in the following activities related to Company securities </w:t>
      </w:r>
      <w:r>
        <w:rPr>
          <w:rFonts w:ascii="Times New Roman" w:cs="Times New Roman" w:eastAsia="Times New Roman" w:hAnsi="Times New Roman"/>
          <w:sz w:val="18"/>
          <w:szCs w:val="18"/>
          <w:i w:val="1"/>
          <w:iCs w:val="1"/>
          <w:color w:val="auto"/>
        </w:rPr>
        <w:t>whether or not you are in possession of material non- public information</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560" w:right="200" w:hanging="314"/>
        <w:spacing w:after="0" w:line="284" w:lineRule="auto"/>
        <w:tabs>
          <w:tab w:leader="none" w:pos="5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Hedging Company Securities.</w:t>
      </w:r>
      <w:r>
        <w:rPr>
          <w:rFonts w:ascii="Times New Roman" w:cs="Times New Roman" w:eastAsia="Times New Roman" w:hAnsi="Times New Roman"/>
          <w:sz w:val="17"/>
          <w:szCs w:val="17"/>
          <w:color w:val="auto"/>
        </w:rPr>
        <w:t xml:space="preserve"> This prohibition includes effecting any transaction designed to hedge or offset economic risks of owning Company securities. Hedging is highly speculative and may also create the appearance of a lack of confidence in the Company’s future prospects. Prohibited hedging activities include short sales of Company securities and selling security futures related to Company securities.</w:t>
      </w:r>
    </w:p>
    <w:p>
      <w:pPr>
        <w:spacing w:after="0" w:line="158" w:lineRule="exact"/>
        <w:rPr>
          <w:rFonts w:ascii="Times New Roman" w:cs="Times New Roman" w:eastAsia="Times New Roman" w:hAnsi="Times New Roman"/>
          <w:sz w:val="17"/>
          <w:szCs w:val="17"/>
          <w:color w:val="auto"/>
        </w:rPr>
      </w:pPr>
    </w:p>
    <w:p>
      <w:pPr>
        <w:ind w:left="560" w:hanging="314"/>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Options or Derivatives Related to Company Securities.</w:t>
      </w:r>
      <w:r>
        <w:rPr>
          <w:rFonts w:ascii="Times New Roman" w:cs="Times New Roman" w:eastAsia="Times New Roman" w:hAnsi="Times New Roman"/>
          <w:sz w:val="18"/>
          <w:szCs w:val="18"/>
          <w:color w:val="auto"/>
        </w:rPr>
        <w:t xml:space="preserve"> These activities are highly speculative and prohibited by this Policy.</w:t>
      </w:r>
    </w:p>
    <w:p>
      <w:pPr>
        <w:spacing w:after="0" w:line="219" w:lineRule="exact"/>
        <w:rPr>
          <w:rFonts w:ascii="Times New Roman" w:cs="Times New Roman" w:eastAsia="Times New Roman" w:hAnsi="Times New Roman"/>
          <w:sz w:val="18"/>
          <w:szCs w:val="18"/>
          <w:color w:val="auto"/>
        </w:rPr>
      </w:pPr>
    </w:p>
    <w:p>
      <w:pPr>
        <w:ind w:left="560" w:right="200" w:hanging="314"/>
        <w:spacing w:after="0" w:line="276" w:lineRule="auto"/>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of Company Securities on Margin</w:t>
      </w:r>
      <w:r>
        <w:rPr>
          <w:rFonts w:ascii="Times New Roman" w:cs="Times New Roman" w:eastAsia="Times New Roman" w:hAnsi="Times New Roman"/>
          <w:sz w:val="18"/>
          <w:szCs w:val="18"/>
          <w:color w:val="auto"/>
        </w:rPr>
        <w:t>. You may not purchase Company securities on margin (i.e., borrowing money to fund the stock purchase). This prohibition does not apply to cashless exercises of employee stock options.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Non-Public Information</w:t>
      </w:r>
    </w:p>
    <w:p>
      <w:pPr>
        <w:spacing w:after="0" w:line="221" w:lineRule="exact"/>
        <w:rPr>
          <w:sz w:val="20"/>
          <w:szCs w:val="20"/>
          <w:color w:val="auto"/>
        </w:rPr>
      </w:pPr>
    </w:p>
    <w:p>
      <w:pPr>
        <w:ind w:left="80" w:right="20"/>
        <w:spacing w:after="0" w:line="254" w:lineRule="auto"/>
        <w:rPr>
          <w:sz w:val="20"/>
          <w:szCs w:val="20"/>
          <w:color w:val="auto"/>
        </w:rPr>
      </w:pPr>
      <w:r>
        <w:rPr>
          <w:rFonts w:ascii="Times New Roman" w:cs="Times New Roman" w:eastAsia="Times New Roman" w:hAnsi="Times New Roman"/>
          <w:sz w:val="18"/>
          <w:szCs w:val="18"/>
          <w:color w:val="auto"/>
        </w:rPr>
        <w:t>Non-public information is typically information that members of the investing public may not generally be able to access. It is important to note that even after information is disclosed to the general public or the market, such information still may be considered non-public until it has been widely disseminated (such as through a press release or a filing with the Securities and Exchange Commission) and the market has had sufficient time to absorb and respond to such information. For this reason, trading may not resume until at least two full trading days have passed after such disclosures have been made.</w:t>
      </w:r>
    </w:p>
    <w:p>
      <w:pPr>
        <w:spacing w:after="0" w:line="18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83185</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740"/>
          </w:cols>
          <w:pgMar w:left="720" w:top="574" w:right="439" w:bottom="1440" w:gutter="0" w:footer="0" w:header="0"/>
        </w:sectPr>
      </w:pPr>
    </w:p>
    <w:bookmarkStart w:id="70" w:name="page71"/>
    <w:bookmarkEnd w:id="7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484505</wp:posOffset>
            </wp:positionH>
            <wp:positionV relativeFrom="page">
              <wp:posOffset>374650</wp:posOffset>
            </wp:positionV>
            <wp:extent cx="6774180" cy="3490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6774180" cy="3490595"/>
                    </a:xfrm>
                    <a:prstGeom prst="rect">
                      <a:avLst/>
                    </a:prstGeom>
                    <a:noFill/>
                  </pic:spPr>
                </pic:pic>
              </a:graphicData>
            </a:graphic>
          </wp:anchor>
        </w:drawing>
        <w:t>Material Information</w:t>
      </w:r>
    </w:p>
    <w:p>
      <w:pPr>
        <w:spacing w:after="0" w:line="221" w:lineRule="exact"/>
        <w:rPr>
          <w:sz w:val="20"/>
          <w:szCs w:val="20"/>
          <w:color w:val="auto"/>
        </w:rPr>
      </w:pPr>
    </w:p>
    <w:p>
      <w:pPr>
        <w:ind w:left="140" w:right="400"/>
        <w:spacing w:after="0" w:line="258" w:lineRule="auto"/>
        <w:rPr>
          <w:sz w:val="20"/>
          <w:szCs w:val="20"/>
          <w:color w:val="auto"/>
        </w:rPr>
      </w:pPr>
      <w:r>
        <w:rPr>
          <w:rFonts w:ascii="Times New Roman" w:cs="Times New Roman" w:eastAsia="Times New Roman" w:hAnsi="Times New Roman"/>
          <w:sz w:val="18"/>
          <w:szCs w:val="18"/>
          <w:color w:val="auto"/>
        </w:rPr>
        <w:t>In general, information is considered material if typical investors would likely consider it to be significant in arriving at a decision to buy, sell, or hold the stock of a company or would view its disclosure as significantly altering the “total mix” of information available to such</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investors. Information also is material if it would likely cause a change in the price of a company’s securities if such information became public.</w:t>
      </w:r>
    </w:p>
    <w:p>
      <w:pPr>
        <w:spacing w:after="0" w:line="200" w:lineRule="exact"/>
        <w:rPr>
          <w:sz w:val="20"/>
          <w:szCs w:val="20"/>
          <w:color w:val="auto"/>
        </w:rPr>
      </w:pPr>
    </w:p>
    <w:p>
      <w:pPr>
        <w:ind w:left="140" w:right="820"/>
        <w:spacing w:after="0" w:line="276" w:lineRule="auto"/>
        <w:rPr>
          <w:sz w:val="20"/>
          <w:szCs w:val="20"/>
          <w:color w:val="auto"/>
        </w:rPr>
      </w:pPr>
      <w:r>
        <w:rPr>
          <w:rFonts w:ascii="Times New Roman" w:cs="Times New Roman" w:eastAsia="Times New Roman" w:hAnsi="Times New Roman"/>
          <w:sz w:val="18"/>
          <w:szCs w:val="18"/>
          <w:color w:val="auto"/>
        </w:rPr>
        <w:t>While it is not possible to outline all types of material information, the following matters should be considered prior to trading in Company securities:</w:t>
      </w:r>
    </w:p>
    <w:p>
      <w:pPr>
        <w:spacing w:after="0" w:line="164" w:lineRule="exact"/>
        <w:rPr>
          <w:sz w:val="20"/>
          <w:szCs w:val="20"/>
          <w:color w:val="auto"/>
        </w:rPr>
      </w:pPr>
    </w:p>
    <w:p>
      <w:pPr>
        <w:ind w:left="300" w:right="620" w:hanging="169"/>
        <w:spacing w:after="0" w:line="258" w:lineRule="auto"/>
        <w:tabs>
          <w:tab w:leader="none" w:pos="331"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Financial results and reporting (including earnings guidance, revenues, expenses, earnings, earnings estimates, and new sales or investment returns)</w:t>
      </w:r>
    </w:p>
    <w:p>
      <w:pPr>
        <w:ind w:left="320" w:hanging="189"/>
        <w:spacing w:after="0"/>
        <w:tabs>
          <w:tab w:leader="none" w:pos="320"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Actual or anticipated signing of, or cancellation of, major contracts</w:t>
      </w:r>
    </w:p>
    <w:p>
      <w:pPr>
        <w:spacing w:after="0" w:line="7" w:lineRule="exact"/>
        <w:rPr>
          <w:rFonts w:ascii="MS PGothic" w:cs="MS PGothic" w:eastAsia="MS PGothic" w:hAnsi="MS PGothic"/>
          <w:sz w:val="18"/>
          <w:szCs w:val="18"/>
          <w:color w:val="auto"/>
        </w:rPr>
      </w:pPr>
    </w:p>
    <w:p>
      <w:pPr>
        <w:ind w:left="320" w:hanging="189"/>
        <w:spacing w:after="0"/>
        <w:tabs>
          <w:tab w:leader="none" w:pos="320"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Potential mergers, acquisitions, divestitures, and restructuring activities</w:t>
      </w:r>
    </w:p>
    <w:p>
      <w:pPr>
        <w:spacing w:after="0" w:line="6" w:lineRule="exact"/>
        <w:rPr>
          <w:rFonts w:ascii="MS PGothic" w:cs="MS PGothic" w:eastAsia="MS PGothic" w:hAnsi="MS PGothic"/>
          <w:sz w:val="18"/>
          <w:szCs w:val="18"/>
          <w:color w:val="auto"/>
        </w:rPr>
      </w:pPr>
    </w:p>
    <w:p>
      <w:pPr>
        <w:ind w:left="320" w:hanging="189"/>
        <w:spacing w:after="0"/>
        <w:tabs>
          <w:tab w:leader="none" w:pos="320"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Cybersecurity risks and incidents</w:t>
      </w:r>
    </w:p>
    <w:p>
      <w:pPr>
        <w:spacing w:after="0" w:line="6" w:lineRule="exact"/>
        <w:rPr>
          <w:rFonts w:ascii="MS PGothic" w:cs="MS PGothic" w:eastAsia="MS PGothic" w:hAnsi="MS PGothic"/>
          <w:sz w:val="18"/>
          <w:szCs w:val="18"/>
          <w:color w:val="auto"/>
        </w:rPr>
      </w:pPr>
    </w:p>
    <w:p>
      <w:pPr>
        <w:ind w:left="320" w:hanging="189"/>
        <w:spacing w:after="0"/>
        <w:tabs>
          <w:tab w:leader="none" w:pos="320"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Changes in senior management</w:t>
      </w:r>
    </w:p>
    <w:p>
      <w:pPr>
        <w:spacing w:after="0" w:line="6" w:lineRule="exact"/>
        <w:rPr>
          <w:rFonts w:ascii="MS PGothic" w:cs="MS PGothic" w:eastAsia="MS PGothic" w:hAnsi="MS PGothic"/>
          <w:sz w:val="18"/>
          <w:szCs w:val="18"/>
          <w:color w:val="auto"/>
        </w:rPr>
      </w:pPr>
    </w:p>
    <w:p>
      <w:pPr>
        <w:ind w:left="320" w:hanging="189"/>
        <w:spacing w:after="0"/>
        <w:tabs>
          <w:tab w:leader="none" w:pos="320"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Actual or threatened litigation, investigations, or related activities</w:t>
      </w:r>
    </w:p>
    <w:p>
      <w:pPr>
        <w:spacing w:after="0" w:line="6" w:lineRule="exact"/>
        <w:rPr>
          <w:rFonts w:ascii="MS PGothic" w:cs="MS PGothic" w:eastAsia="MS PGothic" w:hAnsi="MS PGothic"/>
          <w:sz w:val="18"/>
          <w:szCs w:val="18"/>
          <w:color w:val="auto"/>
        </w:rPr>
      </w:pPr>
    </w:p>
    <w:p>
      <w:pPr>
        <w:ind w:left="320" w:hanging="189"/>
        <w:spacing w:after="0"/>
        <w:tabs>
          <w:tab w:leader="none" w:pos="320"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Information related to product releases, audits, regulatory certifications, defects, or recalls</w:t>
      </w:r>
    </w:p>
    <w:p>
      <w:pPr>
        <w:spacing w:after="0" w:line="6" w:lineRule="exact"/>
        <w:rPr>
          <w:rFonts w:ascii="MS PGothic" w:cs="MS PGothic" w:eastAsia="MS PGothic" w:hAnsi="MS PGothic"/>
          <w:sz w:val="18"/>
          <w:szCs w:val="18"/>
          <w:color w:val="auto"/>
        </w:rPr>
      </w:pPr>
    </w:p>
    <w:p>
      <w:pPr>
        <w:ind w:left="320" w:hanging="189"/>
        <w:spacing w:after="0"/>
        <w:tabs>
          <w:tab w:leader="none" w:pos="320"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Offerings of Company securities</w:t>
      </w:r>
    </w:p>
    <w:p>
      <w:pPr>
        <w:spacing w:after="0" w:line="199" w:lineRule="exact"/>
        <w:rPr>
          <w:sz w:val="20"/>
          <w:szCs w:val="20"/>
          <w:color w:val="auto"/>
        </w:rPr>
      </w:pPr>
    </w:p>
    <w:p>
      <w:pPr>
        <w:ind w:left="140" w:right="560"/>
        <w:spacing w:after="0" w:line="261" w:lineRule="auto"/>
        <w:rPr>
          <w:sz w:val="20"/>
          <w:szCs w:val="20"/>
          <w:color w:val="auto"/>
        </w:rPr>
      </w:pPr>
      <w:r>
        <w:rPr>
          <w:rFonts w:ascii="Times New Roman" w:cs="Times New Roman" w:eastAsia="Times New Roman" w:hAnsi="Times New Roman"/>
          <w:sz w:val="18"/>
          <w:szCs w:val="18"/>
          <w:color w:val="auto"/>
        </w:rPr>
        <w:t>Material information is not limited to historical facts but may also include projections and forecasts. With respect to a future event, the point at which negotiations or product development are determined to be material is determined by balancing the probability that the event will occur against the magnitude of the effect the event would have on operations or stock price should it occur.</w:t>
      </w:r>
    </w:p>
    <w:p>
      <w:pPr>
        <w:spacing w:after="0" w:line="178" w:lineRule="exact"/>
        <w:rPr>
          <w:sz w:val="20"/>
          <w:szCs w:val="20"/>
          <w:color w:val="auto"/>
        </w:rPr>
      </w:pPr>
    </w:p>
    <w:p>
      <w:pPr>
        <w:ind w:left="140" w:right="500"/>
        <w:spacing w:after="0" w:line="276" w:lineRule="auto"/>
        <w:rPr>
          <w:sz w:val="20"/>
          <w:szCs w:val="20"/>
          <w:color w:val="auto"/>
        </w:rPr>
      </w:pPr>
      <w:r>
        <w:rPr>
          <w:rFonts w:ascii="Times New Roman" w:cs="Times New Roman" w:eastAsia="Times New Roman" w:hAnsi="Times New Roman"/>
          <w:sz w:val="18"/>
          <w:szCs w:val="18"/>
          <w:color w:val="auto"/>
        </w:rPr>
        <w:t>If you are in doubt about whether information you possess is considered material or non-public, you should consult the Company’s Compliance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 xml:space="preserve">To support compliance with Securities Laws and this Policy, you </w:t>
      </w:r>
      <w:r>
        <w:rPr>
          <w:rFonts w:ascii="Times New Roman" w:cs="Times New Roman" w:eastAsia="Times New Roman" w:hAnsi="Times New Roman"/>
          <w:sz w:val="18"/>
          <w:szCs w:val="18"/>
          <w:u w:val="single" w:color="auto"/>
          <w:color w:val="auto"/>
        </w:rPr>
        <w:t>may not</w:t>
      </w:r>
      <w:r>
        <w:rPr>
          <w:rFonts w:ascii="Times New Roman" w:cs="Times New Roman" w:eastAsia="Times New Roman" w:hAnsi="Times New Roman"/>
          <w:sz w:val="18"/>
          <w:szCs w:val="18"/>
          <w:color w:val="auto"/>
        </w:rPr>
        <w:t xml:space="preserve"> buy, sell, transfer, or otherwise trade in Company securities during a Blackout Period. Blackout Periods are imposed during times when individuals within the Company are likely to have Inside Information.</w:t>
      </w:r>
    </w:p>
    <w:p>
      <w:pPr>
        <w:spacing w:after="0" w:line="16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However, even during times when there is no Blackout Period, you may possess Inside Information, and are therefore prohibited from trading in Company securities at those times.</w:t>
      </w:r>
    </w:p>
    <w:p>
      <w:pPr>
        <w:spacing w:after="0" w:line="164" w:lineRule="exact"/>
        <w:rPr>
          <w:sz w:val="20"/>
          <w:szCs w:val="20"/>
          <w:color w:val="auto"/>
        </w:rPr>
      </w:pPr>
    </w:p>
    <w:p>
      <w:pPr>
        <w:ind w:left="480" w:right="200" w:hanging="327"/>
        <w:spacing w:after="0" w:line="276"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Blackout Periods</w:t>
      </w:r>
      <w:r>
        <w:rPr>
          <w:rFonts w:ascii="Times New Roman" w:cs="Times New Roman" w:eastAsia="Times New Roman" w:hAnsi="Times New Roman"/>
          <w:sz w:val="18"/>
          <w:szCs w:val="18"/>
          <w:color w:val="auto"/>
        </w:rPr>
        <w:t>. The Company has designated four Scheduled Blackout Periods associated with the Company’s fiscal quarters and subsequent financial reporting and disclosures.</w:t>
      </w:r>
    </w:p>
    <w:p>
      <w:pPr>
        <w:spacing w:after="0" w:line="159" w:lineRule="exact"/>
        <w:rPr>
          <w:sz w:val="20"/>
          <w:szCs w:val="20"/>
          <w:color w:val="auto"/>
        </w:rPr>
      </w:pPr>
    </w:p>
    <w:tbl>
      <w:tblPr>
        <w:tblLayout w:type="fixed"/>
        <w:tblInd w:w="1280" w:type="dxa"/>
        <w:tblCellMar>
          <w:top w:w="0" w:type="dxa"/>
          <w:left w:w="0" w:type="dxa"/>
          <w:bottom w:w="0" w:type="dxa"/>
          <w:right w:w="0" w:type="dxa"/>
        </w:tblCellMar>
      </w:tblPr>
      <w:tr>
        <w:trPr>
          <w:trHeight w:val="257"/>
        </w:trPr>
        <w:tc>
          <w:tcPr>
            <w:tcW w:w="372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Blackout Beginning</w:t>
            </w:r>
          </w:p>
        </w:tc>
        <w:tc>
          <w:tcPr>
            <w:tcW w:w="416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Blackout Expiration</w:t>
            </w:r>
          </w:p>
        </w:tc>
      </w:tr>
      <w:tr>
        <w:trPr>
          <w:trHeight w:val="23"/>
        </w:trPr>
        <w:tc>
          <w:tcPr>
            <w:tcW w:w="3720" w:type="dxa"/>
            <w:vAlign w:val="bottom"/>
            <w:tcBorders>
              <w:bottom w:val="single" w:sz="8" w:color="auto"/>
              <w:right w:val="single" w:sz="8" w:color="auto"/>
            </w:tcBorders>
          </w:tcPr>
          <w:p>
            <w:pPr>
              <w:spacing w:after="0" w:line="20" w:lineRule="exact"/>
              <w:rPr>
                <w:sz w:val="1"/>
                <w:szCs w:val="1"/>
                <w:color w:val="auto"/>
              </w:rPr>
            </w:pPr>
          </w:p>
        </w:tc>
        <w:tc>
          <w:tcPr>
            <w:tcW w:w="41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-187960</wp:posOffset>
            </wp:positionV>
            <wp:extent cx="4993005" cy="770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4993005" cy="770255"/>
                    </a:xfrm>
                    <a:prstGeom prst="rect">
                      <a:avLst/>
                    </a:prstGeom>
                    <a:noFill/>
                  </pic:spPr>
                </pic:pic>
              </a:graphicData>
            </a:graphic>
          </wp:anchor>
        </w:drawing>
      </w:r>
    </w:p>
    <w:p>
      <w:pPr>
        <w:sectPr>
          <w:pgSz w:w="11900" w:h="16838" w:orient="portrait"/>
          <w:cols w:equalWidth="0" w:num="1">
            <w:col w:w="10840"/>
          </w:cols>
          <w:pgMar w:left="720" w:top="652" w:right="339" w:bottom="1440" w:gutter="0" w:footer="0" w:header="0"/>
        </w:sectPr>
      </w:pP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 xml:space="preserve">On the </w:t>
      </w:r>
      <w:r>
        <w:rPr>
          <w:rFonts w:ascii="Times New Roman" w:cs="Times New Roman" w:eastAsia="Times New Roman" w:hAnsi="Times New Roman"/>
          <w:sz w:val="17"/>
          <w:szCs w:val="17"/>
          <w:b w:val="1"/>
          <w:bCs w:val="1"/>
          <w:color w:val="auto"/>
        </w:rPr>
        <w:t>16th</w:t>
      </w:r>
      <w:r>
        <w:rPr>
          <w:rFonts w:ascii="Times New Roman" w:cs="Times New Roman" w:eastAsia="Times New Roman" w:hAnsi="Times New Roman"/>
          <w:sz w:val="17"/>
          <w:szCs w:val="17"/>
          <w:color w:val="auto"/>
        </w:rPr>
        <w:t xml:space="preserve"> calendar day of the final month in</w:t>
      </w:r>
    </w:p>
    <w:p>
      <w:pPr>
        <w:spacing w:after="0" w:line="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each fiscal quarter (currently March, June,</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September,</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and December).</w:t>
      </w:r>
    </w:p>
    <w:p>
      <w:pPr>
        <w:spacing w:after="0" w:line="20" w:lineRule="exact"/>
        <w:rPr>
          <w:sz w:val="20"/>
          <w:szCs w:val="20"/>
          <w:color w:val="auto"/>
        </w:rPr>
      </w:pPr>
      <w:r>
        <w:rPr>
          <w:sz w:val="20"/>
          <w:szCs w:val="20"/>
          <w:color w:val="auto"/>
        </w:rPr>
        <w:br w:type="column"/>
      </w:r>
    </w:p>
    <w:p>
      <w:pPr>
        <w:ind w:right="1760"/>
        <w:spacing w:after="0" w:line="278" w:lineRule="auto"/>
        <w:rPr>
          <w:sz w:val="20"/>
          <w:szCs w:val="20"/>
          <w:color w:val="auto"/>
        </w:rPr>
      </w:pPr>
      <w:r>
        <w:rPr>
          <w:rFonts w:ascii="Times New Roman" w:cs="Times New Roman" w:eastAsia="Times New Roman" w:hAnsi="Times New Roman"/>
          <w:sz w:val="18"/>
          <w:szCs w:val="18"/>
          <w:color w:val="auto"/>
        </w:rPr>
        <w:t xml:space="preserve">After the completion of </w:t>
      </w:r>
      <w:r>
        <w:rPr>
          <w:rFonts w:ascii="Times New Roman" w:cs="Times New Roman" w:eastAsia="Times New Roman" w:hAnsi="Times New Roman"/>
          <w:sz w:val="18"/>
          <w:szCs w:val="18"/>
          <w:b w:val="1"/>
          <w:bCs w:val="1"/>
          <w:u w:val="single" w:color="auto"/>
          <w:color w:val="auto"/>
        </w:rPr>
        <w:t>two</w:t>
      </w:r>
      <w:r>
        <w:rPr>
          <w:rFonts w:ascii="Times New Roman" w:cs="Times New Roman" w:eastAsia="Times New Roman" w:hAnsi="Times New Roman"/>
          <w:sz w:val="18"/>
          <w:szCs w:val="18"/>
          <w:color w:val="auto"/>
        </w:rPr>
        <w:t xml:space="preserve"> full trading days following public release of the Company’s earnings.</w:t>
      </w:r>
    </w:p>
    <w:p>
      <w:pPr>
        <w:spacing w:after="0" w:line="588" w:lineRule="exact"/>
        <w:rPr>
          <w:sz w:val="20"/>
          <w:szCs w:val="20"/>
          <w:color w:val="auto"/>
        </w:rPr>
      </w:pPr>
    </w:p>
    <w:p>
      <w:pPr>
        <w:sectPr>
          <w:pgSz w:w="11900" w:h="16838" w:orient="portrait"/>
          <w:cols w:equalWidth="0" w:num="2">
            <w:col w:w="4740" w:space="400"/>
            <w:col w:w="5700"/>
          </w:cols>
          <w:pgMar w:left="720" w:top="652" w:right="339" w:bottom="1440" w:gutter="0" w:footer="0" w:header="0"/>
          <w:type w:val="continuous"/>
        </w:sectPr>
      </w:pPr>
    </w:p>
    <w:p>
      <w:pPr>
        <w:spacing w:after="0" w:line="40" w:lineRule="exact"/>
        <w:rPr>
          <w:sz w:val="20"/>
          <w:szCs w:val="20"/>
          <w:color w:val="auto"/>
        </w:rPr>
      </w:pPr>
    </w:p>
    <w:p>
      <w:pPr>
        <w:ind w:left="480" w:right="80"/>
        <w:spacing w:after="0" w:line="276" w:lineRule="auto"/>
        <w:rPr>
          <w:sz w:val="20"/>
          <w:szCs w:val="20"/>
          <w:color w:val="auto"/>
        </w:rPr>
      </w:pPr>
      <w:r>
        <w:rPr>
          <w:rFonts w:ascii="Times New Roman" w:cs="Times New Roman" w:eastAsia="Times New Roman" w:hAnsi="Times New Roman"/>
          <w:sz w:val="18"/>
          <w:szCs w:val="18"/>
          <w:color w:val="auto"/>
        </w:rPr>
        <w:t>If the Company’s financial reporting and disclosures are made after the start of any trading day, the Scheduled Blackout Period will not end until two full trading days have elapsed (beginning on the next trading day).</w:t>
      </w:r>
    </w:p>
    <w:p>
      <w:pPr>
        <w:spacing w:after="0" w:line="164" w:lineRule="exact"/>
        <w:rPr>
          <w:sz w:val="20"/>
          <w:szCs w:val="20"/>
          <w:color w:val="auto"/>
        </w:rPr>
      </w:pPr>
    </w:p>
    <w:p>
      <w:pPr>
        <w:ind w:left="480" w:right="40" w:hanging="327"/>
        <w:spacing w:after="0" w:line="254"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Blackout Periods.</w:t>
      </w:r>
      <w:r>
        <w:rPr>
          <w:rFonts w:ascii="Times New Roman" w:cs="Times New Roman" w:eastAsia="Times New Roman" w:hAnsi="Times New Roman"/>
          <w:sz w:val="18"/>
          <w:szCs w:val="18"/>
          <w:color w:val="auto"/>
        </w:rPr>
        <w:t xml:space="preserve"> From time to time, the Company may institute additional Blackout Periods for all or a subset of directors or employees (a “Special Blackout Period”). The Compliance Officer, or his/her designee, will communicate the imposition or extension of a Special Blackout Period to all affected parties. Individuals subject to a Special Blackout Period may not disclose to anyone the fact that trading has been suspended, including other employees (who may themselves not be subject to the blackout), friends, or brokers. The imposition of a Special Blackout Period is to be treated as material non-public information.</w:t>
      </w:r>
    </w:p>
    <w:p>
      <w:pPr>
        <w:spacing w:after="0" w:line="18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83185</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40"/>
          </w:cols>
          <w:pgMar w:left="720" w:top="652" w:right="339" w:bottom="1440" w:gutter="0" w:footer="0" w:header="0"/>
          <w:type w:val="continuous"/>
        </w:sectPr>
      </w:pPr>
    </w:p>
    <w:bookmarkStart w:id="71" w:name="page72"/>
    <w:bookmarkEnd w:id="71"/>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Scheduled Blackout Period Exceptions</w:t>
      </w:r>
    </w:p>
    <w:p>
      <w:pPr>
        <w:spacing w:after="0" w:line="221" w:lineRule="exact"/>
        <w:rPr>
          <w:sz w:val="20"/>
          <w:szCs w:val="20"/>
          <w:color w:val="auto"/>
        </w:rPr>
      </w:pPr>
    </w:p>
    <w:p>
      <w:pPr>
        <w:ind w:left="80" w:right="160"/>
        <w:spacing w:after="0" w:line="276" w:lineRule="auto"/>
        <w:rPr>
          <w:sz w:val="20"/>
          <w:szCs w:val="20"/>
          <w:color w:val="auto"/>
        </w:rPr>
      </w:pPr>
      <w:r>
        <w:rPr>
          <w:rFonts w:ascii="Times New Roman" w:cs="Times New Roman" w:eastAsia="Times New Roman" w:hAnsi="Times New Roman"/>
          <w:sz w:val="18"/>
          <w:szCs w:val="18"/>
          <w:color w:val="auto"/>
        </w:rPr>
        <w:t>You must seek authorization from the Company’s Compliance Officer in writing in order to trade in Company securities during a Scheduled Blackout Period.</w:t>
      </w:r>
    </w:p>
    <w:p>
      <w:pPr>
        <w:spacing w:after="0" w:line="1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particular, if you are not in possession of material non-public information, you may request an exception in the following circumstances:</w:t>
      </w:r>
    </w:p>
    <w:p>
      <w:pPr>
        <w:spacing w:after="0" w:line="219" w:lineRule="exact"/>
        <w:rPr>
          <w:sz w:val="20"/>
          <w:szCs w:val="20"/>
          <w:color w:val="auto"/>
        </w:rPr>
      </w:pPr>
    </w:p>
    <w:p>
      <w:pPr>
        <w:ind w:left="560" w:right="60" w:hanging="327"/>
        <w:spacing w:after="0" w:line="276"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 and Related Transactions.</w:t>
      </w:r>
      <w:r>
        <w:rPr>
          <w:rFonts w:ascii="Times New Roman" w:cs="Times New Roman" w:eastAsia="Times New Roman" w:hAnsi="Times New Roman"/>
          <w:sz w:val="18"/>
          <w:szCs w:val="18"/>
          <w:color w:val="auto"/>
        </w:rPr>
        <w:t xml:space="preserve"> This includes acquisitions, dispositions, and sales of Company securities for no consideration, including genuine gifts, inheritances, or transfers to family members or trusts.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Additional Restrictions for Designated Insiders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support compliance with applicable Securities Laws and this Policy, the Company has identified specific individuals (collectively “Designated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Insiders”) who must follow additional pre-clearance procedures and comply with additional trading restrictions. Designated Insiders include:</w:t>
      </w:r>
    </w:p>
    <w:p>
      <w:pPr>
        <w:spacing w:after="0" w:line="200" w:lineRule="exact"/>
        <w:rPr>
          <w:sz w:val="20"/>
          <w:szCs w:val="20"/>
          <w:color w:val="auto"/>
        </w:rPr>
      </w:pPr>
    </w:p>
    <w:p>
      <w:pPr>
        <w:ind w:left="560" w:hanging="327"/>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Company’s Board of Directors;</w:t>
      </w:r>
    </w:p>
    <w:p>
      <w:pPr>
        <w:spacing w:after="0" w:line="219" w:lineRule="exact"/>
        <w:rPr>
          <w:rFonts w:ascii="Times New Roman" w:cs="Times New Roman" w:eastAsia="Times New Roman" w:hAnsi="Times New Roman"/>
          <w:sz w:val="18"/>
          <w:szCs w:val="18"/>
          <w:color w:val="auto"/>
        </w:rPr>
      </w:pPr>
    </w:p>
    <w:p>
      <w:pPr>
        <w:ind w:left="560" w:hanging="327"/>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 (those Company employees designated as Section 16 officers in writing by the Board of Directors); and</w:t>
      </w:r>
    </w:p>
    <w:p>
      <w:pPr>
        <w:spacing w:after="0" w:line="219" w:lineRule="exact"/>
        <w:rPr>
          <w:rFonts w:ascii="Times New Roman" w:cs="Times New Roman" w:eastAsia="Times New Roman" w:hAnsi="Times New Roman"/>
          <w:sz w:val="18"/>
          <w:szCs w:val="18"/>
          <w:color w:val="auto"/>
        </w:rPr>
      </w:pPr>
    </w:p>
    <w:p>
      <w:pPr>
        <w:ind w:left="560" w:hanging="327"/>
        <w:spacing w:after="0"/>
        <w:tabs>
          <w:tab w:leader="none" w:pos="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designated by the Compliance Officer in writing.</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Pre-clearance Requirements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Designated Insiders are required to obtain written pre-clearance from the Company’s Compliance Officer prior to issuing instructions to trade in Company securities </w:t>
      </w:r>
      <w:r>
        <w:rPr>
          <w:rFonts w:ascii="Times New Roman" w:cs="Times New Roman" w:eastAsia="Times New Roman" w:hAnsi="Times New Roman"/>
          <w:sz w:val="18"/>
          <w:szCs w:val="18"/>
          <w:i w:val="1"/>
          <w:iCs w:val="1"/>
          <w:color w:val="auto"/>
        </w:rPr>
        <w:t>at any time</w:t>
      </w:r>
      <w:r>
        <w:rPr>
          <w:rFonts w:ascii="Times New Roman" w:cs="Times New Roman" w:eastAsia="Times New Roman" w:hAnsi="Times New Roman"/>
          <w:sz w:val="18"/>
          <w:szCs w:val="18"/>
          <w:color w:val="auto"/>
        </w:rPr>
        <w:t xml:space="preserve"> – even during an open trading window. In addition, Designated Insiders must obtain written pre-clearance from the Company’s Compliance Officer prior to authorizing any change in beneficial ownership in Company securities, including ownership changes through a gift to a charity or a transfer to a family trust.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Pre-clearance Conditions:</w:t>
      </w:r>
    </w:p>
    <w:p>
      <w:pPr>
        <w:spacing w:after="0" w:line="2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Designated Insiders may not provide instructions to engage in any transactions related to Company securities until and unless they receive written pre-clearance from the Company’s Compliance Officer. If the Designated Insider receives pre-clearance, the Designated Insider will have until the end of the fifth trading day following the date pre-clearance is received to provide instructions to take investment actions, unless otherwise noted by the Compliance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Completion Notification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Designated Insiders must provide the Compliance Officer with written notice of the completion of any cleared transaction within two business days of the completion of any investment action.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Filing Obligations: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Designated Insiders, including directors and Section 16 Officers, may have individual reporting requirements under the Securities Exchange Act of 1934. The Company, in its sole discretion, may provide administrative and other support services for completing and/or filing applicable regulatory filings.</w:t>
      </w:r>
    </w:p>
    <w:p>
      <w:pPr>
        <w:spacing w:after="0" w:line="17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83185</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80"/>
          </w:cols>
          <w:pgMar w:left="640" w:top="572"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Exceptions: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restrictions of this policy do not apply to the following:</w:t>
      </w:r>
    </w:p>
    <w:p>
      <w:pPr>
        <w:spacing w:after="0" w:line="219" w:lineRule="exact"/>
        <w:rPr>
          <w:sz w:val="20"/>
          <w:szCs w:val="20"/>
          <w:color w:val="auto"/>
        </w:rPr>
      </w:pPr>
    </w:p>
    <w:p>
      <w:pPr>
        <w:ind w:left="560" w:right="400" w:hanging="327"/>
        <w:spacing w:after="0" w:line="276" w:lineRule="auto"/>
        <w:tabs>
          <w:tab w:leader="none" w:pos="5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401(k) plan contributions in a Company stock fund in accordance with the Company’s 401(k) plan. However, any changes in your investment election regarding the Company’s stock are subject to trading restrictions under this policy.</w:t>
      </w:r>
    </w:p>
    <w:p>
      <w:pPr>
        <w:spacing w:after="0" w:line="163" w:lineRule="exact"/>
        <w:rPr>
          <w:rFonts w:ascii="Times New Roman" w:cs="Times New Roman" w:eastAsia="Times New Roman" w:hAnsi="Times New Roman"/>
          <w:sz w:val="18"/>
          <w:szCs w:val="18"/>
          <w:color w:val="auto"/>
        </w:rPr>
      </w:pPr>
    </w:p>
    <w:p>
      <w:pPr>
        <w:ind w:left="540" w:hanging="320"/>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Company stock through periodic, automatic payroll contributions to the Company’s Employee Stock Purchase Plan (“ESPP”). However, electing to enroll in the ESPP, making any changes in your elections under the ESPP and selling any Company stock acquired under the ESPP are subject to trading restrictions under this policy.</w:t>
      </w:r>
    </w:p>
    <w:p>
      <w:pPr>
        <w:spacing w:after="0" w:line="177" w:lineRule="exact"/>
        <w:rPr>
          <w:rFonts w:ascii="Times New Roman" w:cs="Times New Roman" w:eastAsia="Times New Roman" w:hAnsi="Times New Roman"/>
          <w:sz w:val="18"/>
          <w:szCs w:val="18"/>
          <w:color w:val="auto"/>
        </w:rPr>
      </w:pPr>
    </w:p>
    <w:p>
      <w:pPr>
        <w:ind w:left="540" w:right="480" w:hanging="320"/>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stock options granted under the Company’s stock option and equity incentive plans for cash or the delivery of previously owned Company stock. However, the sale of any shares issued on the exercise of Company-granted stock options and any cashless exercise of Company-granted stock options are subject to trading restrictions under this policy.</w:t>
      </w:r>
    </w:p>
    <w:p>
      <w:pPr>
        <w:spacing w:after="0" w:line="177" w:lineRule="exact"/>
        <w:rPr>
          <w:rFonts w:ascii="Times New Roman" w:cs="Times New Roman" w:eastAsia="Times New Roman" w:hAnsi="Times New Roman"/>
          <w:sz w:val="18"/>
          <w:szCs w:val="18"/>
          <w:color w:val="auto"/>
        </w:rPr>
      </w:pPr>
    </w:p>
    <w:p>
      <w:pPr>
        <w:ind w:left="540" w:right="140" w:hanging="320"/>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restricted stock or restricted stock units, or the exercise of a tax withholding right pursuant to which you elect to have the Company withhold shares of stock to satisfy tax withholding requirements upon the vesting of any restricted stock or restricted stock units. This policy does apply, however, to any market sale of restricted stock and restricted stock units.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10b5-1 Trading Plans</w:t>
      </w:r>
    </w:p>
    <w:p>
      <w:pPr>
        <w:spacing w:after="0" w:line="221" w:lineRule="exact"/>
        <w:rPr>
          <w:sz w:val="20"/>
          <w:szCs w:val="20"/>
          <w:color w:val="auto"/>
        </w:rPr>
      </w:pPr>
    </w:p>
    <w:p>
      <w:pPr>
        <w:ind w:left="80" w:right="60"/>
        <w:spacing w:after="0" w:line="265" w:lineRule="auto"/>
        <w:rPr>
          <w:sz w:val="20"/>
          <w:szCs w:val="20"/>
          <w:color w:val="auto"/>
        </w:rPr>
      </w:pPr>
      <w:r>
        <w:rPr>
          <w:rFonts w:ascii="Times New Roman" w:cs="Times New Roman" w:eastAsia="Times New Roman" w:hAnsi="Times New Roman"/>
          <w:sz w:val="17"/>
          <w:szCs w:val="17"/>
          <w:color w:val="auto"/>
        </w:rPr>
        <w:t>Eligible directors and employees may wish to establish a 10b5-1 Trading Plan under which transactions in Company securities may take place during a Blackout Period. However, the 10b5-1 Trading Plan may only be established during a non-Blackout Period and when the individual is not in possession of any material non-public information about the Company. All newly adopted or amended 10b5-1 Trading Plans must have a “cooling off period” during which period trades cannot occur under the 10b5-1 Trading Plan. For directors and executive officers, the applicable “cooling off period” begins upon adoption or amendment of the 10b5-1 Trading Plan and ends on the later of (x) ninety (90) days after adoption or amendment and (y) three (3) business days following the disclosure of the Company’s financial results in a Form 10-Q or Form 10-K filed with the Securities and Exchange Commission for the fiscal quarter in which the 10b5-1 Trading Plan was adopted, subject to a maximum of 120 days. For all other employees, the applicable “cooling off period” is the 30-day period after adoption or amendment of the 10b5-1 Trading Plan. Each 10b5-1 Trading Plan must be reviewed and approved by the Compliance Officer in advance of its adoption. In addition, all modifications to a 10b5-1 Trading Plan, including termination before its natural expiration, are trading decisions subject to the pre-clearance procedures outlined above for Designated Insiders. If the 10b5-1 Trading Plan is for the benefit of the Chief Financial Officer or Chief Executive Officer of the Company, such approvals shall require the pre-approval by the Chair of the Compensation Committee of the Board of Directors. Plan transactions that comply with a pre-approved trading plan will not require further pre-clearance at the time of the transaction. If you wish to establish a 10b5-1 Trading Plan, contact the Compliance Officer for approval. The Compliance Officer shall promptly notify the Chair of the Compensation Committee of the approval of any 10b5-1 Trading Plan.</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Discussion and Disclosure of Company Information</w:t>
      </w:r>
    </w:p>
    <w:p>
      <w:pPr>
        <w:spacing w:after="0" w:line="221"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Employees other than those expressly designated by the Company shall not discuss information about the Company, any subsidiary, affiliate, or business partner with the press, analysts, or other persons outside of the Company. This includes social media interactions and online content contributions.</w:t>
      </w:r>
    </w:p>
    <w:p>
      <w:pPr>
        <w:spacing w:after="0" w:line="178" w:lineRule="exact"/>
        <w:rPr>
          <w:sz w:val="20"/>
          <w:szCs w:val="20"/>
          <w:color w:val="auto"/>
        </w:rPr>
      </w:pPr>
    </w:p>
    <w:p>
      <w:pPr>
        <w:ind w:left="80" w:right="360"/>
        <w:spacing w:after="0" w:line="276" w:lineRule="auto"/>
        <w:rPr>
          <w:sz w:val="20"/>
          <w:szCs w:val="20"/>
          <w:color w:val="auto"/>
        </w:rPr>
      </w:pPr>
      <w:r>
        <w:rPr>
          <w:rFonts w:ascii="Times New Roman" w:cs="Times New Roman" w:eastAsia="Times New Roman" w:hAnsi="Times New Roman"/>
          <w:sz w:val="18"/>
          <w:szCs w:val="18"/>
          <w:color w:val="auto"/>
        </w:rPr>
        <w:t>Announcements of information regarding the Company, our subsidiaries, affiliates, and business partners may only be made by persons specifically authorized by the Company to make such announcements.</w:t>
      </w:r>
    </w:p>
    <w:p>
      <w:pPr>
        <w:spacing w:after="0" w:line="164" w:lineRule="exact"/>
        <w:rPr>
          <w:sz w:val="20"/>
          <w:szCs w:val="20"/>
          <w:color w:val="auto"/>
        </w:rPr>
      </w:pPr>
    </w:p>
    <w:p>
      <w:pPr>
        <w:jc w:val="both"/>
        <w:ind w:left="80" w:right="140"/>
        <w:spacing w:after="0" w:line="261" w:lineRule="auto"/>
        <w:rPr>
          <w:sz w:val="20"/>
          <w:szCs w:val="20"/>
          <w:color w:val="auto"/>
        </w:rPr>
      </w:pPr>
      <w:r>
        <w:rPr>
          <w:rFonts w:ascii="Times New Roman" w:cs="Times New Roman" w:eastAsia="Times New Roman" w:hAnsi="Times New Roman"/>
          <w:sz w:val="18"/>
          <w:szCs w:val="18"/>
          <w:color w:val="auto"/>
        </w:rPr>
        <w:t>Securities Laws govern the nature and timing of such announcements to outsiders or the public, and unauthorized disclosure could result in substantial liability for you, the Company, our management, and others. Inquiries by any third party about such information should be directed to our Compliance Officer.</w:t>
      </w:r>
    </w:p>
    <w:p>
      <w:pPr>
        <w:spacing w:after="0" w:line="1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83185</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574" w:right="339" w:bottom="1440" w:gutter="0" w:footer="0" w:header="0"/>
        </w:sectPr>
      </w:pPr>
    </w:p>
    <w:bookmarkStart w:id="73" w:name="page74"/>
    <w:bookmarkEnd w:id="7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Your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6774180" cy="697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6774180" cy="697865"/>
                    </a:xfrm>
                    <a:prstGeom prst="rect">
                      <a:avLst/>
                    </a:prstGeom>
                    <a:noFill/>
                  </pic:spPr>
                </pic:pic>
              </a:graphicData>
            </a:graphic>
          </wp:anchor>
        </w:drawing>
      </w:r>
    </w:p>
    <w:p>
      <w:pPr>
        <w:spacing w:after="0" w:line="201" w:lineRule="exact"/>
        <w:rPr>
          <w:sz w:val="20"/>
          <w:szCs w:val="20"/>
          <w:color w:val="auto"/>
        </w:rPr>
      </w:pPr>
    </w:p>
    <w:p>
      <w:pPr>
        <w:ind w:left="20" w:right="660"/>
        <w:spacing w:after="0" w:line="261" w:lineRule="auto"/>
        <w:rPr>
          <w:sz w:val="20"/>
          <w:szCs w:val="20"/>
          <w:color w:val="auto"/>
        </w:rPr>
      </w:pPr>
      <w:r>
        <w:rPr>
          <w:rFonts w:ascii="Times New Roman" w:cs="Times New Roman" w:eastAsia="Times New Roman" w:hAnsi="Times New Roman"/>
          <w:sz w:val="18"/>
          <w:szCs w:val="18"/>
          <w:color w:val="auto"/>
        </w:rPr>
        <w:t>The ultimate responsibility for complying with Securities Laws and this Policy rests with you. It can sometimes be difficult to know whether a potential transaction complies with the law or this Policy. When any doubt exists, you should assume that you possess material non-public information and refrain from trading in Company securities until you have consulted with the Compliance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Non-Public Information Related to Other Companies</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In the course of normal business, you may obtain material non-public information about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companies, such as vendors, customers, competitors, and potential acquisition targets. You must keep this information confidential and are prohibited from trading in related securities while in possession of this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 Members</w:t>
      </w:r>
    </w:p>
    <w:p>
      <w:pPr>
        <w:spacing w:after="0" w:line="22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You are responsible for ensuring that members of your household understand the rules regarding insider trading and comply with this Policy, including Scheduled Blackout Periods and Special Blackout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Assistance</w:t>
      </w:r>
    </w:p>
    <w:p>
      <w:pPr>
        <w:spacing w:after="0" w:line="221"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 some cases, you may have questions about whether the information you possess may be considered material or if it has been made public. In these instances, you should seek assistance from the Compliance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Violations</w:t>
      </w:r>
    </w:p>
    <w:p>
      <w:pPr>
        <w:spacing w:after="0" w:line="22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Failure to abide by applicable Securities Laws and this Policy may result in civil and criminal liabilities, as well as Company disciplinary action, up to and including termination of employment or other relationship with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Enforcement</w:t>
      </w:r>
    </w:p>
    <w:p>
      <w:pPr>
        <w:spacing w:after="0" w:line="221" w:lineRule="exact"/>
        <w:rPr>
          <w:sz w:val="20"/>
          <w:szCs w:val="20"/>
          <w:color w:val="auto"/>
        </w:rPr>
      </w:pPr>
    </w:p>
    <w:p>
      <w:pPr>
        <w:jc w:val="both"/>
        <w:ind w:right="760"/>
        <w:spacing w:after="0" w:line="261" w:lineRule="auto"/>
        <w:rPr>
          <w:sz w:val="20"/>
          <w:szCs w:val="20"/>
          <w:color w:val="auto"/>
        </w:rPr>
      </w:pPr>
      <w:r>
        <w:rPr>
          <w:rFonts w:ascii="Times New Roman" w:cs="Times New Roman" w:eastAsia="Times New Roman" w:hAnsi="Times New Roman"/>
          <w:sz w:val="18"/>
          <w:szCs w:val="18"/>
          <w:color w:val="auto"/>
        </w:rPr>
        <w:t>This Policy is enforced by the Compliance Officer with authority from the Board of Directors. The Compliance Officer may consult with the Company’s other officers and/or outside legal counsel. The Compliance Officer may designate one or more individuals who may perform the Compliance Officer’s duties in the event that the Compliance Officer is unable or unavailable to perform such duties.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Compliance Officer is responsible for ensuring that:</w:t>
      </w:r>
    </w:p>
    <w:p>
      <w:pPr>
        <w:spacing w:after="0" w:line="219" w:lineRule="exact"/>
        <w:rPr>
          <w:sz w:val="20"/>
          <w:szCs w:val="20"/>
          <w:color w:val="auto"/>
        </w:rPr>
      </w:pPr>
    </w:p>
    <w:p>
      <w:pPr>
        <w:ind w:left="480" w:hanging="327"/>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is reviewed and updated, as appropriate;</w:t>
      </w:r>
    </w:p>
    <w:p>
      <w:pPr>
        <w:spacing w:after="0" w:line="25"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requests are reviewed in a timely manner and documented in accordance with a pre- established procedure;</w:t>
      </w:r>
    </w:p>
    <w:p>
      <w:pPr>
        <w:spacing w:after="0" w:line="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employees, and contractors have been trained on this Policy; and</w:t>
      </w:r>
    </w:p>
    <w:p>
      <w:pPr>
        <w:spacing w:after="0" w:line="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non-compliance or violation of this Policy are investigated.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Application</w:t>
      </w:r>
    </w:p>
    <w:p>
      <w:pPr>
        <w:spacing w:after="0" w:line="221"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8"/>
          <w:szCs w:val="18"/>
          <w:color w:val="auto"/>
        </w:rPr>
        <w:t>This Policy applies to all our directors, employees, contractors, and part-time and temporary workers globally. This Policy also applies to those who share a household with someone otherwise subject to this Policy.</w:t>
      </w:r>
    </w:p>
    <w:p>
      <w:pPr>
        <w:spacing w:after="0" w:line="16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addition, individuals who have recently departed from the Company or otherwise terminated a relationship with the Company will be expected to comply with the terms of this Policy for a minimum of 30 days after the date of departure or termination of the relationship or for the period of time during which such individuals are in possession of Inside Information until its public release and absorption by the securities market, whichever period is longer.</w:t>
      </w:r>
    </w:p>
    <w:p>
      <w:pPr>
        <w:spacing w:after="0" w:line="1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83185</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00"/>
          </w:cols>
          <w:pgMar w:left="720" w:top="586" w:right="37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1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0" w:lineRule="exact"/>
        <w:rPr>
          <w:sz w:val="20"/>
          <w:szCs w:val="20"/>
          <w:color w:val="auto"/>
        </w:rPr>
      </w:pPr>
    </w:p>
    <w:p>
      <w:pPr>
        <w:spacing w:after="0" w:line="2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-8890</wp:posOffset>
            </wp:positionV>
            <wp:extent cx="19456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572" w:right="5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 Of Harvard Bioscience, Inc.</w:t>
            </w:r>
          </w:p>
        </w:tc>
      </w:tr>
      <w:tr>
        <w:trPr>
          <w:trHeight w:val="38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188"/>
        </w:trPr>
        <w:tc>
          <w:tcPr>
            <w:tcW w:w="38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Biochrom Limited</w:t>
            </w:r>
          </w:p>
        </w:tc>
        <w:tc>
          <w:tcPr>
            <w:tcW w:w="7360" w:type="dxa"/>
            <w:vAlign w:val="bottom"/>
            <w:gridSpan w:val="3"/>
          </w:tcPr>
          <w:p>
            <w:pPr>
              <w:ind w:left="1760"/>
              <w:spacing w:after="0" w:line="189" w:lineRule="exact"/>
              <w:rPr>
                <w:sz w:val="20"/>
                <w:szCs w:val="20"/>
                <w:color w:val="auto"/>
              </w:rPr>
            </w:pPr>
            <w:r>
              <w:rPr>
                <w:rFonts w:ascii="Times New Roman" w:cs="Times New Roman" w:eastAsia="Times New Roman" w:hAnsi="Times New Roman"/>
                <w:sz w:val="18"/>
                <w:szCs w:val="18"/>
                <w:color w:val="auto"/>
              </w:rPr>
              <w:t>United Kingdom</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Microdialysis Ab</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Sweden</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(UK) Mn, Ltd.</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Eurl</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France</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Sciences GmbH</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Germany</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DSI (Shanghai) Trading Co Ltd.</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China</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Harvard Bioscience (Shanghai) Co. Ltd.</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China</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Hugo Sachs Elektronik - Harvard Apparatus GmbH</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Germany</w:t>
            </w:r>
          </w:p>
        </w:tc>
      </w:tr>
      <w:tr>
        <w:trPr>
          <w:trHeight w:val="21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Multichannel Systems MCS GmbH</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Germany</w:t>
            </w:r>
          </w:p>
        </w:tc>
      </w:tr>
      <w:tr>
        <w:trPr>
          <w:trHeight w:val="23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Panlab S.L.</w:t>
            </w:r>
          </w:p>
        </w:tc>
        <w:tc>
          <w:tcPr>
            <w:tcW w:w="7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Spain</w:t>
            </w:r>
          </w:p>
        </w:tc>
      </w:tr>
    </w:tbl>
    <w:p>
      <w:pPr>
        <w:sectPr>
          <w:pgSz w:w="11900" w:h="16838" w:orient="portrait"/>
          <w:cols w:equalWidth="0" w:num="1">
            <w:col w:w="11240"/>
          </w:cols>
          <w:pgMar w:left="320" w:top="11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1"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We have issued our reports dated March 13, 2025, with respect to the consolidated financial statements and internal control over financial reporting included in the Annual Report of Harvard Bioscience, Inc. on Form 10-K for the year ended December 31, 2024. We consent to the incorporation by reference of said reports in the Registration Statements of Harvard Bioscience, Inc. on Forms S-8 (File No. 333-174476, File No. 333-204760, File No. 333-225365, File No. 333-249943, File No. 333-256295 and File No. 333-265487) and Form S-3 (File No. 333-283637).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ectPr>
          <w:pgSz w:w="11900" w:h="16838" w:orient="portrait"/>
          <w:cols w:equalWidth="0" w:num="1">
            <w:col w:w="11260"/>
          </w:cols>
          <w:pgMar w:left="300" w:top="11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Jennifer Cote, certify that:</w:t>
      </w:r>
    </w:p>
    <w:p>
      <w:pPr>
        <w:spacing w:after="0" w:line="219" w:lineRule="exact"/>
        <w:rPr>
          <w:sz w:val="20"/>
          <w:szCs w:val="20"/>
          <w:color w:val="auto"/>
        </w:rPr>
      </w:pPr>
    </w:p>
    <w:p>
      <w:pPr>
        <w:ind w:left="360" w:hanging="353"/>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19" w:lineRule="exact"/>
        <w:rPr>
          <w:rFonts w:ascii="Times New Roman" w:cs="Times New Roman" w:eastAsia="Times New Roman" w:hAnsi="Times New Roman"/>
          <w:sz w:val="18"/>
          <w:szCs w:val="18"/>
          <w:color w:val="auto"/>
        </w:rPr>
      </w:pPr>
    </w:p>
    <w:p>
      <w:pPr>
        <w:jc w:val="both"/>
        <w:ind w:left="360" w:hanging="353"/>
        <w:spacing w:after="0" w:line="306" w:lineRule="auto"/>
        <w:tabs>
          <w:tab w:leader="none" w:pos="3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7"/>
          <w:szCs w:val="17"/>
          <w:color w:val="auto"/>
        </w:rPr>
      </w:pPr>
    </w:p>
    <w:p>
      <w:pPr>
        <w:ind w:left="360" w:hanging="353"/>
        <w:spacing w:after="0" w:line="276"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360" w:hanging="353"/>
        <w:spacing w:after="0" w:line="261"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680" w:hanging="327"/>
        <w:spacing w:after="0" w:line="261" w:lineRule="auto"/>
        <w:tabs>
          <w:tab w:leader="none" w:pos="6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680" w:hanging="327"/>
        <w:spacing w:after="0" w:line="261" w:lineRule="auto"/>
        <w:tabs>
          <w:tab w:leader="none" w:pos="6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80" w:hanging="327"/>
        <w:spacing w:after="0" w:line="276" w:lineRule="auto"/>
        <w:tabs>
          <w:tab w:leader="none" w:pos="6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680" w:hanging="327"/>
        <w:spacing w:after="0" w:line="261" w:lineRule="auto"/>
        <w:tabs>
          <w:tab w:leader="none" w:pos="6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60" w:hanging="353"/>
        <w:spacing w:after="0" w:line="276"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680" w:hanging="327"/>
        <w:spacing w:after="0" w:line="276" w:lineRule="auto"/>
        <w:tabs>
          <w:tab w:leader="none" w:pos="6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80" w:hanging="327"/>
        <w:spacing w:after="0" w:line="276" w:lineRule="auto"/>
        <w:tabs>
          <w:tab w:leader="none" w:pos="6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88"/>
        </w:trPr>
        <w:tc>
          <w:tcPr>
            <w:tcW w:w="564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Jennifer Cote</w:t>
            </w:r>
          </w:p>
        </w:tc>
      </w:tr>
      <w:tr>
        <w:trPr>
          <w:trHeight w:val="232"/>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19" w:lineRule="exact"/>
        <w:rPr>
          <w:sz w:val="20"/>
          <w:szCs w:val="20"/>
          <w:color w:val="auto"/>
        </w:rPr>
      </w:pPr>
    </w:p>
    <w:p>
      <w:pPr>
        <w:ind w:left="360" w:hanging="353"/>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19" w:lineRule="exact"/>
        <w:rPr>
          <w:rFonts w:ascii="Times New Roman" w:cs="Times New Roman" w:eastAsia="Times New Roman" w:hAnsi="Times New Roman"/>
          <w:sz w:val="18"/>
          <w:szCs w:val="18"/>
          <w:color w:val="auto"/>
        </w:rPr>
      </w:pPr>
    </w:p>
    <w:p>
      <w:pPr>
        <w:jc w:val="both"/>
        <w:ind w:left="360" w:hanging="353"/>
        <w:spacing w:after="0" w:line="306" w:lineRule="auto"/>
        <w:tabs>
          <w:tab w:leader="none" w:pos="3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7"/>
          <w:szCs w:val="17"/>
          <w:color w:val="auto"/>
        </w:rPr>
      </w:pPr>
    </w:p>
    <w:p>
      <w:pPr>
        <w:ind w:left="360" w:hanging="353"/>
        <w:spacing w:after="0" w:line="276"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360" w:hanging="353"/>
        <w:spacing w:after="0" w:line="261"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680" w:hanging="327"/>
        <w:spacing w:after="0" w:line="261" w:lineRule="auto"/>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680" w:hanging="327"/>
        <w:spacing w:after="0" w:line="261" w:lineRule="auto"/>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80" w:hanging="327"/>
        <w:spacing w:after="0" w:line="276" w:lineRule="auto"/>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680" w:hanging="327"/>
        <w:spacing w:after="0" w:line="261" w:lineRule="auto"/>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60" w:hanging="353"/>
        <w:spacing w:after="0" w:line="276"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680" w:hanging="327"/>
        <w:spacing w:after="0" w:line="276" w:lineRule="auto"/>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80" w:hanging="327"/>
        <w:spacing w:after="0" w:line="276" w:lineRule="auto"/>
        <w:tabs>
          <w:tab w:leader="none" w:pos="6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88"/>
        </w:trPr>
        <w:tc>
          <w:tcPr>
            <w:tcW w:w="564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James Green</w:t>
            </w:r>
          </w:p>
        </w:tc>
      </w:tr>
      <w:tr>
        <w:trPr>
          <w:trHeight w:val="232"/>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undersigned officer of Harvard Bioscience, Inc. (the “Company”) hereby certifies to her knowledge that the Company’s annual report on Form 10-K for the year ended December 31, 2024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 (32)”) promulgated under the Securities Act of 1933, as amended (the “Securities Act”), and the Exchange Act. In accordance with clause (ii) of Item 601(b)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 this certification (A) shall not be deemed “filed” for purposes of Section 18 of the Exchange Act, or otherwise subject to the liability of that section, and</w:t>
      </w:r>
    </w:p>
    <w:p>
      <w:pPr>
        <w:spacing w:after="0" w:line="18" w:lineRule="exact"/>
        <w:rPr>
          <w:sz w:val="20"/>
          <w:szCs w:val="20"/>
          <w:color w:val="auto"/>
        </w:rPr>
      </w:pPr>
    </w:p>
    <w:p>
      <w:pPr>
        <w:ind w:firstLine="9"/>
        <w:spacing w:after="0" w:line="254" w:lineRule="auto"/>
        <w:tabs>
          <w:tab w:leader="none" w:pos="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deemed to be incorporated by reference into any filing under the Securities Act or the Exchange Act, except to the extent that the Company specifically incorporates it by reference.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88"/>
        </w:trPr>
        <w:tc>
          <w:tcPr>
            <w:tcW w:w="564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Jennifer Cote</w:t>
            </w:r>
          </w:p>
        </w:tc>
      </w:tr>
      <w:tr>
        <w:trPr>
          <w:trHeight w:val="232"/>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60"/>
          </w:cols>
          <w:pgMar w:left="300" w:top="11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undersigned officer of Harvard Bioscience, Inc. (the “Company”) hereby certifies to his knowledge that the Company’s annual report on Form 10-K for the year ended December 31, 2024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 (32)”) promulgated under the Securities Act of 1933, as amended (the “Securities Act”), and the Exchange Act. In accordance with clause (ii) of Item 601(b)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 this certification (A) shall not be deemed “filed” for purposes of Section 18 of the Exchange Act, or otherwise subject to the liability of that section, and</w:t>
      </w:r>
    </w:p>
    <w:p>
      <w:pPr>
        <w:spacing w:after="0" w:line="18" w:lineRule="exact"/>
        <w:rPr>
          <w:sz w:val="20"/>
          <w:szCs w:val="20"/>
          <w:color w:val="auto"/>
        </w:rPr>
      </w:pPr>
    </w:p>
    <w:p>
      <w:pPr>
        <w:ind w:firstLine="9"/>
        <w:spacing w:after="0" w:line="254" w:lineRule="auto"/>
        <w:tabs>
          <w:tab w:leader="none" w:pos="2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deemed to be incorporated by reference into any filing under the Securities Act or the Exchange Act, except to the extent that the Company specifically incorporates it by reference.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88"/>
        </w:trPr>
        <w:tc>
          <w:tcPr>
            <w:tcW w:w="5640" w:type="dxa"/>
            <w:vAlign w:val="bottom"/>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James Green</w:t>
            </w:r>
          </w:p>
        </w:tc>
      </w:tr>
      <w:tr>
        <w:trPr>
          <w:trHeight w:val="232"/>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260"/>
      </w:cols>
      <w:pgMar w:left="30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Letter"/>
      <w:start w:val="9"/>
    </w:lvl>
  </w:abstractNum>
  <w:abstractNum w:abstractNumId="10">
    <w:nsid w:val="3006C83E"/>
    <w:multiLevelType w:val="hybridMultilevel"/>
    <w:lvl w:ilvl="0">
      <w:lvlJc w:val="left"/>
      <w:lvlText w:val="(%1)"/>
      <w:numFmt w:val="lowerLetter"/>
      <w:start w:val="2"/>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Letter"/>
      <w:start w:val="2"/>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3"/>
    </w:lvl>
  </w:abstractNum>
  <w:abstractNum w:abstractNumId="15">
    <w:nsid w:val="5072367"/>
    <w:multiLevelType w:val="hybridMultilevel"/>
    <w:lvl w:ilvl="0">
      <w:lvlJc w:val="left"/>
      <w:lvlText w:val="(%1)"/>
      <w:numFmt w:val="lowerLetter"/>
      <w:start w:val="4"/>
    </w:lvl>
  </w:abstractNum>
  <w:abstractNum w:abstractNumId="16">
    <w:nsid w:val="3804823E"/>
    <w:multiLevelType w:val="hybridMultilevel"/>
    <w:lvl w:ilvl="0">
      <w:lvlJc w:val="left"/>
      <w:lvlText w:val="(%1)"/>
      <w:numFmt w:val="lowerLetter"/>
      <w:start w:val="5"/>
    </w:lvl>
  </w:abstractNum>
  <w:abstractNum w:abstractNumId="17">
    <w:nsid w:val="77465F01"/>
    <w:multiLevelType w:val="hybridMultilevel"/>
    <w:lvl w:ilvl="0">
      <w:lvlJc w:val="left"/>
      <w:lvlText w:val="(%1)"/>
      <w:numFmt w:val="lowerLetter"/>
      <w:start w:val="1"/>
    </w:lvl>
    <w:lvl w:ilvl="1">
      <w:lvlJc w:val="left"/>
      <w:lvlText w:val="(%2)"/>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2"/>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3"/>
    </w:lvl>
  </w:abstractNum>
  <w:abstractNum w:abstractNumId="22">
    <w:nsid w:val="51EAD36B"/>
    <w:multiLevelType w:val="hybridMultilevel"/>
    <w:lvl w:ilvl="0">
      <w:lvlJc w:val="left"/>
      <w:lvlText w:val="%1."/>
      <w:numFmt w:val="decimal"/>
      <w:start w:val="4"/>
    </w:lvl>
  </w:abstractNum>
  <w:abstractNum w:abstractNumId="23">
    <w:nsid w:val="2D517796"/>
    <w:multiLevelType w:val="hybridMultilevel"/>
    <w:lvl w:ilvl="0">
      <w:lvlJc w:val="left"/>
      <w:lvlText w:val="%1."/>
      <w:numFmt w:val="decimal"/>
      <w:start w:val="5"/>
    </w:lvl>
  </w:abstractNum>
  <w:abstractNum w:abstractNumId="24">
    <w:nsid w:val="580BD78F"/>
    <w:multiLevelType w:val="hybridMultilevel"/>
    <w:lvl w:ilvl="0">
      <w:lvlJc w:val="left"/>
      <w:lvlText w:val="%1."/>
      <w:numFmt w:val="decimal"/>
      <w:start w:val="7"/>
    </w:lvl>
  </w:abstractNum>
  <w:abstractNum w:abstractNumId="25">
    <w:nsid w:val="153EA438"/>
    <w:multiLevelType w:val="hybridMultilevel"/>
    <w:lvl w:ilvl="0">
      <w:lvlJc w:val="left"/>
      <w:lvlText w:val="%1."/>
      <w:numFmt w:val="decimal"/>
      <w:start w:val="8"/>
    </w:lvl>
  </w:abstractNum>
  <w:abstractNum w:abstractNumId="26">
    <w:nsid w:val="3855585C"/>
    <w:multiLevelType w:val="hybridMultilevel"/>
    <w:lvl w:ilvl="0">
      <w:lvlJc w:val="left"/>
      <w:lvlText w:val="%1."/>
      <w:numFmt w:val="decimal"/>
      <w:start w:val="9"/>
    </w:lvl>
  </w:abstractNum>
  <w:abstractNum w:abstractNumId="27">
    <w:nsid w:val="70A64E2A"/>
    <w:multiLevelType w:val="hybridMultilevel"/>
    <w:lvl w:ilvl="0">
      <w:lvlJc w:val="left"/>
      <w:lvlText w:val="%1."/>
      <w:numFmt w:val="decimal"/>
      <w:start w:val="10"/>
    </w:lvl>
  </w:abstractNum>
  <w:abstractNum w:abstractNumId="28">
    <w:nsid w:val="6A2342EC"/>
    <w:multiLevelType w:val="hybridMultilevel"/>
    <w:lvl w:ilvl="0">
      <w:lvlJc w:val="left"/>
      <w:lvlText w:val="%1."/>
      <w:numFmt w:val="decimal"/>
      <w:start w:val="11"/>
    </w:lvl>
  </w:abstractNum>
  <w:abstractNum w:abstractNumId="29">
    <w:nsid w:val="2A487CB0"/>
    <w:multiLevelType w:val="hybridMultilevel"/>
    <w:lvl w:ilvl="0">
      <w:lvlJc w:val="left"/>
      <w:lvlText w:val="%1."/>
      <w:numFmt w:val="decimal"/>
      <w:start w:val="12"/>
    </w:lvl>
  </w:abstractNum>
  <w:abstractNum w:abstractNumId="30">
    <w:nsid w:val="1D4ED43B"/>
    <w:multiLevelType w:val="hybridMultilevel"/>
    <w:lvl w:ilvl="0">
      <w:lvlJc w:val="left"/>
      <w:lvlText w:val="%1."/>
      <w:numFmt w:val="decimal"/>
      <w:start w:val="13"/>
    </w:lvl>
  </w:abstractNum>
  <w:abstractNum w:abstractNumId="31">
    <w:nsid w:val="725A06FB"/>
    <w:multiLevelType w:val="hybridMultilevel"/>
    <w:lvl w:ilvl="0">
      <w:lvlJc w:val="left"/>
      <w:lvlText w:val="%1."/>
      <w:numFmt w:val="decimal"/>
      <w:start w:val="14"/>
    </w:lvl>
  </w:abstractNum>
  <w:abstractNum w:abstractNumId="32">
    <w:nsid w:val="2CD89A32"/>
    <w:multiLevelType w:val="hybridMultilevel"/>
    <w:lvl w:ilvl="0">
      <w:lvlJc w:val="left"/>
      <w:lvlText w:val="%1."/>
      <w:numFmt w:val="decimal"/>
      <w:start w:val="15"/>
    </w:lvl>
  </w:abstractNum>
  <w:abstractNum w:abstractNumId="33">
    <w:nsid w:val="57E4CCAF"/>
    <w:multiLevelType w:val="hybridMultilevel"/>
    <w:lvl w:ilvl="0">
      <w:lvlJc w:val="left"/>
      <w:lvlText w:val="%1."/>
      <w:numFmt w:val="decimal"/>
      <w:start w:val="16"/>
    </w:lvl>
  </w:abstractNum>
  <w:abstractNum w:abstractNumId="34">
    <w:nsid w:val="7A6D8D3C"/>
    <w:multiLevelType w:val="hybridMultilevel"/>
    <w:lvl w:ilvl="0">
      <w:lvlJc w:val="left"/>
      <w:lvlText w:val="%1."/>
      <w:numFmt w:val="decimal"/>
      <w:start w:val="17"/>
    </w:lvl>
  </w:abstractNum>
  <w:abstractNum w:abstractNumId="35">
    <w:nsid w:val="4B588F54"/>
    <w:multiLevelType w:val="hybridMultilevel"/>
    <w:lvl w:ilvl="0">
      <w:lvlJc w:val="left"/>
      <w:lvlText w:val="%1."/>
      <w:numFmt w:val="decimal"/>
      <w:start w:val="18"/>
    </w:lvl>
  </w:abstractNum>
  <w:abstractNum w:abstractNumId="36">
    <w:nsid w:val="542289EC"/>
    <w:multiLevelType w:val="hybridMultilevel"/>
    <w:lvl w:ilvl="0">
      <w:lvlJc w:val="left"/>
      <w:lvlText w:val="%1."/>
      <w:numFmt w:val="decimal"/>
      <w:start w:val="19"/>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20"/>
    </w:lvl>
  </w:abstractNum>
  <w:abstractNum w:abstractNumId="39">
    <w:nsid w:val="7644A45C"/>
    <w:multiLevelType w:val="hybridMultilevel"/>
    <w:lvl w:ilvl="0">
      <w:lvlJc w:val="left"/>
      <w:lvlText w:val="+"/>
      <w:numFmt w:val="bullet"/>
      <w:start w:val="1"/>
    </w:lvl>
    <w:lvl w:ilvl="1">
      <w:lvlJc w:val="left"/>
      <w:lvlText w:val="%2"/>
      <w:numFmt w:val="decimal"/>
      <w:start w:val="104"/>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upperLetter"/>
      <w:start w:val="2"/>
    </w:lvl>
  </w:abstractNum>
  <w:abstractNum w:abstractNumId="55">
    <w:nsid w:val="275AC794"/>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jpe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83" Type="http://schemas.openxmlformats.org/officeDocument/2006/relationships/hyperlink" Target="http://www.sec.gov/Archives/edgar/data/1123494/000114420413059290/v359438_ex2-1.htm" TargetMode="External"/><Relationship Id="rId84" Type="http://schemas.openxmlformats.org/officeDocument/2006/relationships/hyperlink" Target="http://www.sec.gov/Archives/edgar/data/1123494/000091205700047957/a2029062zex-3_2.txt" TargetMode="External"/><Relationship Id="rId85" Type="http://schemas.openxmlformats.org/officeDocument/2006/relationships/hyperlink" Target="http://www.sec.gov/Archives/edgar/data/1123494/000091205700047957/a2029062zex-3_3.txt" TargetMode="External"/><Relationship Id="rId86" Type="http://schemas.openxmlformats.org/officeDocument/2006/relationships/hyperlink" Target="http://www.sec.gov/Archives/edgar/data/1123494/000119312507232564/dex31.htm" TargetMode="External"/><Relationship Id="rId87" Type="http://schemas.openxmlformats.org/officeDocument/2006/relationships/hyperlink" Target="http://www.sec.gov/Archives/edgar/data/1123494/000091205700047957/a2029062zex-4_1.txt" TargetMode="External"/><Relationship Id="rId88" Type="http://schemas.openxmlformats.org/officeDocument/2006/relationships/hyperlink" Target="http://www.sec.gov/Archives/edgar/data/1123494/000117184320001755/exh_42.htm" TargetMode="External"/><Relationship Id="rId89" Type="http://schemas.openxmlformats.org/officeDocument/2006/relationships/hyperlink" Target="http://www.sec.gov/Archives/edgar/data/1123494/000117184320005789/ex_196561.htm" TargetMode="External"/><Relationship Id="rId90" Type="http://schemas.openxmlformats.org/officeDocument/2006/relationships/hyperlink" Target="http://www.sec.gov/Archives/edgar/data/1123494/000117184322002450/def14a_040722.htm" TargetMode="External"/><Relationship Id="rId91" Type="http://schemas.openxmlformats.org/officeDocument/2006/relationships/hyperlink" Target="http://www.sec.gov/Archives/edgar/data/1123494/000117184320003556/exh_102.htm" TargetMode="External"/><Relationship Id="rId92" Type="http://schemas.openxmlformats.org/officeDocument/2006/relationships/hyperlink" Target="http://www.sec.gov/Archives/edgar/data/1123494/000117184323001566/ex_484741.htm" TargetMode="External"/><Relationship Id="rId93" Type="http://schemas.openxmlformats.org/officeDocument/2006/relationships/hyperlink" Target="http://www.sec.gov/Archives/edgar/data/1123494/000110465906017303/a06-2607_1ex10d27.htm" TargetMode="External"/><Relationship Id="rId94" Type="http://schemas.openxmlformats.org/officeDocument/2006/relationships/hyperlink" Target="http://www.sec.gov/Archives/edgar/data/1123494/000110465906017303/a06-2607_1ex10d28.htm" TargetMode="External"/><Relationship Id="rId95" Type="http://schemas.openxmlformats.org/officeDocument/2006/relationships/hyperlink" Target="http://www.sec.gov/Archives/edgar/data/1123494/000110465906017303/a06-2607_1ex10d29.htm" TargetMode="External"/><Relationship Id="rId96" Type="http://schemas.openxmlformats.org/officeDocument/2006/relationships/hyperlink" Target="http://www.sec.gov/Archives/edgar/data/1123494/000119312511068577/dex1026.htm" TargetMode="External"/><Relationship Id="rId97" Type="http://schemas.openxmlformats.org/officeDocument/2006/relationships/hyperlink" Target="http://www.sec.gov/Archives/edgar/data/1123494/000117184320001755/exh_1012.htm" TargetMode="External"/><Relationship Id="rId98" Type="http://schemas.openxmlformats.org/officeDocument/2006/relationships/hyperlink" Target="http://www.sec.gov/Archives/edgar/data/1123494/000117184319004441/exh_101.htm" TargetMode="External"/><Relationship Id="rId99" Type="http://schemas.openxmlformats.org/officeDocument/2006/relationships/hyperlink" Target="http://www.sec.gov/Archives/edgar/data/1123494/000117184323003988/exh_101.htm" TargetMode="External"/><Relationship Id="rId100" Type="http://schemas.openxmlformats.org/officeDocument/2006/relationships/hyperlink" Target="http://www.sec.gov/Archives/edgar/data/1123494/000117184320008774/exh_101.htm" TargetMode="External"/><Relationship Id="rId101" Type="http://schemas.openxmlformats.org/officeDocument/2006/relationships/hyperlink" Target="http://www.sec.gov/Archives/edgar/data/1123494/000117184320008774/exh_102.htm" TargetMode="External"/><Relationship Id="rId102" Type="http://schemas.openxmlformats.org/officeDocument/2006/relationships/hyperlink" Target="http://www.sec.gov/Archives/edgar/data/1123494/000119380522000698/e621557_ex10-1.htm" TargetMode="External"/><Relationship Id="rId103" Type="http://schemas.openxmlformats.org/officeDocument/2006/relationships/hyperlink" Target="http://www.sec.gov/Archives/edgar/data/1123494/000117184322007249/ex_444158.htm" TargetMode="External"/><Relationship Id="rId104" Type="http://schemas.openxmlformats.org/officeDocument/2006/relationships/hyperlink" Target="http://www.sec.gov/Archives/edgar/data/1123494/000117184320008774/exh_103.htm" TargetMode="External"/><Relationship Id="rId105" Type="http://schemas.openxmlformats.org/officeDocument/2006/relationships/hyperlink" Target="http://www.sec.gov/Archives/edgar/data/1123494/000117184324001791/exh_101.htm" TargetMode="External"/><Relationship Id="rId106" Type="http://schemas.openxmlformats.org/officeDocument/2006/relationships/hyperlink" Target="http://www.sec.gov/Archives/edgar/data/1123494/000117184324004564/ex_709847.htm" TargetMode="External"/><Relationship Id="rId107" Type="http://schemas.openxmlformats.org/officeDocument/2006/relationships/hyperlink" Target="http://www.sec.gov/Archives/edgar/data/1123494/000117184325001416/exh_101.htm" TargetMode="External"/><Relationship Id="rId108" Type="http://schemas.openxmlformats.org/officeDocument/2006/relationships/hyperlink" Target="http://www.sec.gov/Archives/edgar/data/1123494/000117184321003642/exh_101.htm" TargetMode="External"/><Relationship Id="rId109" Type="http://schemas.openxmlformats.org/officeDocument/2006/relationships/hyperlink" Target="http://www.sec.gov/Archives/edgar/data/1123494/000117184322001806/ex_344349.htm" TargetMode="External"/><Relationship Id="rId110" Type="http://schemas.openxmlformats.org/officeDocument/2006/relationships/hyperlink" Target="http://www.sec.gov/Archives/edgar/data/1123494/000117184322001806/ex_344351.htm" TargetMode="External"/><Relationship Id="rId111" Type="http://schemas.openxmlformats.org/officeDocument/2006/relationships/hyperlink" Target="http://www.sec.gov/Archives/edgar/data/1123494/000117184322001806/ex_344350.htm" TargetMode="External"/><Relationship Id="rId112" Type="http://schemas.openxmlformats.org/officeDocument/2006/relationships/hyperlink" Target="http://www.sec.gov/Archives/edgar/data/1123494/000117184324004564/ex_705730.htm" TargetMode="External"/><Relationship Id="rId113" Type="http://schemas.openxmlformats.org/officeDocument/2006/relationships/hyperlink" Target="http://www.sec.gov/Archives/edgar/data/1123494/000117184324004564/ex_705731.htm" TargetMode="External"/><Relationship Id="rId114" Type="http://schemas.openxmlformats.org/officeDocument/2006/relationships/hyperlink" Target="http://www.sec.gov/Archives/edgar/data/1123494/000117184324004564/ex_705729.htm" TargetMode="External"/><Relationship Id="rId115" Type="http://schemas.openxmlformats.org/officeDocument/2006/relationships/hyperlink" Target="http://www.sec.gov/Archives/edgar/data/1123494/000117184324001239/ex_6324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2025-03-14T05:24:18Z</dcterms:created>
  <dcterms:modified xsi:type="dcterms:W3CDTF">2025-03-14T05:24:18Z</dcterms:modified>
</cp:coreProperties>
</file>