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3" w:lineRule="exact"/>
        <w:rPr>
          <w:sz w:val="24"/>
          <w:szCs w:val="24"/>
          <w:color w:val="auto"/>
        </w:rPr>
      </w:pPr>
    </w:p>
    <w:p>
      <w:pPr>
        <w:ind w:left="440" w:hanging="432"/>
        <w:spacing w:after="0"/>
        <w:tabs>
          <w:tab w:leader="none" w:pos="4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6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62"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384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3947795</wp:posOffset>
            </wp:positionH>
            <wp:positionV relativeFrom="paragraph">
              <wp:posOffset>-7620</wp:posOffset>
            </wp:positionV>
            <wp:extent cx="866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001-33957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HARVARD BIOSCIENCE,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460" w:type="dxa"/>
        <w:tblCellMar>
          <w:top w:w="0" w:type="dxa"/>
          <w:left w:w="0" w:type="dxa"/>
          <w:bottom w:w="0" w:type="dxa"/>
          <w:right w:w="0" w:type="dxa"/>
        </w:tblCellMar>
      </w:tblPr>
      <w:tr>
        <w:trPr>
          <w:trHeight w:val="212"/>
        </w:trPr>
        <w:tc>
          <w:tcPr>
            <w:tcW w:w="6220" w:type="dxa"/>
            <w:vAlign w:val="bottom"/>
            <w:gridSpan w:val="3"/>
          </w:tcPr>
          <w:p>
            <w:pPr>
              <w:jc w:val="center"/>
              <w:ind w:right="3420"/>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61"/>
              <w:spacing w:after="0"/>
              <w:rPr>
                <w:sz w:val="20"/>
                <w:szCs w:val="20"/>
                <w:color w:val="auto"/>
              </w:rPr>
            </w:pPr>
            <w:r>
              <w:rPr>
                <w:rFonts w:ascii="Arial" w:cs="Arial" w:eastAsia="Arial" w:hAnsi="Arial"/>
                <w:sz w:val="18"/>
                <w:szCs w:val="18"/>
                <w:b w:val="1"/>
                <w:bCs w:val="1"/>
                <w:color w:val="auto"/>
              </w:rPr>
              <w:t>04-3306140</w:t>
            </w:r>
          </w:p>
        </w:tc>
      </w:tr>
      <w:tr>
        <w:trPr>
          <w:trHeight w:val="149"/>
        </w:trPr>
        <w:tc>
          <w:tcPr>
            <w:tcW w:w="6220" w:type="dxa"/>
            <w:vAlign w:val="bottom"/>
            <w:gridSpan w:val="3"/>
          </w:tcPr>
          <w:p>
            <w:pPr>
              <w:jc w:val="center"/>
              <w:ind w:right="34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220" w:type="dxa"/>
            <w:vAlign w:val="bottom"/>
            <w:gridSpan w:val="3"/>
          </w:tcPr>
          <w:p>
            <w:pPr>
              <w:jc w:val="center"/>
              <w:ind w:right="3400"/>
              <w:spacing w:after="0"/>
              <w:rPr>
                <w:sz w:val="20"/>
                <w:szCs w:val="20"/>
                <w:color w:val="auto"/>
              </w:rPr>
            </w:pPr>
            <w:r>
              <w:rPr>
                <w:rFonts w:ascii="Arial" w:cs="Arial" w:eastAsia="Arial" w:hAnsi="Arial"/>
                <w:sz w:val="14"/>
                <w:szCs w:val="14"/>
                <w:b w:val="1"/>
                <w:bCs w:val="1"/>
                <w:color w:val="auto"/>
                <w:w w:val="95"/>
              </w:rPr>
              <w:t>Incorporation or Organization)</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Identification No.)</w:t>
            </w:r>
          </w:p>
        </w:tc>
      </w:tr>
      <w:tr>
        <w:trPr>
          <w:trHeight w:val="543"/>
        </w:trPr>
        <w:tc>
          <w:tcPr>
            <w:tcW w:w="622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93"/>
              </w:rPr>
              <w:t>84 October Hill Road, Holliston, MA</w:t>
            </w:r>
          </w:p>
        </w:tc>
        <w:tc>
          <w:tcPr>
            <w:tcW w:w="1460" w:type="dxa"/>
            <w:vAlign w:val="bottom"/>
          </w:tcPr>
          <w:p>
            <w:pPr>
              <w:jc w:val="right"/>
              <w:ind w:right="261"/>
              <w:spacing w:after="0"/>
              <w:rPr>
                <w:sz w:val="20"/>
                <w:szCs w:val="20"/>
                <w:color w:val="auto"/>
              </w:rPr>
            </w:pPr>
            <w:r>
              <w:rPr>
                <w:rFonts w:ascii="Arial" w:cs="Arial" w:eastAsia="Arial" w:hAnsi="Arial"/>
                <w:sz w:val="18"/>
                <w:szCs w:val="18"/>
                <w:b w:val="1"/>
                <w:bCs w:val="1"/>
                <w:color w:val="auto"/>
              </w:rPr>
              <w:t>01746</w:t>
            </w:r>
          </w:p>
        </w:tc>
      </w:tr>
      <w:tr>
        <w:trPr>
          <w:trHeight w:val="153"/>
        </w:trPr>
        <w:tc>
          <w:tcPr>
            <w:tcW w:w="6220" w:type="dxa"/>
            <w:vAlign w:val="bottom"/>
            <w:gridSpan w:val="3"/>
          </w:tcPr>
          <w:p>
            <w:pPr>
              <w:jc w:val="center"/>
              <w:ind w:right="3400"/>
              <w:spacing w:after="0" w:line="153" w:lineRule="exact"/>
              <w:rPr>
                <w:sz w:val="20"/>
                <w:szCs w:val="20"/>
                <w:color w:val="auto"/>
              </w:rPr>
            </w:pPr>
            <w:r>
              <w:rPr>
                <w:rFonts w:ascii="Arial" w:cs="Arial" w:eastAsia="Arial" w:hAnsi="Arial"/>
                <w:sz w:val="14"/>
                <w:szCs w:val="14"/>
                <w:b w:val="1"/>
                <w:bCs w:val="1"/>
                <w:color w:val="auto"/>
                <w:w w:val="92"/>
              </w:rPr>
              <w:t>(Address of Principal Executive Offices)</w:t>
            </w:r>
          </w:p>
        </w:tc>
        <w:tc>
          <w:tcPr>
            <w:tcW w:w="1460" w:type="dxa"/>
            <w:vAlign w:val="bottom"/>
          </w:tcPr>
          <w:p>
            <w:pPr>
              <w:jc w:val="center"/>
              <w:ind w:left="241"/>
              <w:spacing w:after="0" w:line="153" w:lineRule="exact"/>
              <w:rPr>
                <w:sz w:val="20"/>
                <w:szCs w:val="20"/>
                <w:color w:val="auto"/>
              </w:rPr>
            </w:pPr>
            <w:r>
              <w:rPr>
                <w:rFonts w:ascii="Arial" w:cs="Arial" w:eastAsia="Arial" w:hAnsi="Arial"/>
                <w:sz w:val="14"/>
                <w:szCs w:val="14"/>
                <w:b w:val="1"/>
                <w:bCs w:val="1"/>
                <w:color w:val="auto"/>
                <w:w w:val="95"/>
              </w:rPr>
              <w:t>(Zip Code)</w:t>
            </w:r>
          </w:p>
        </w:tc>
      </w:tr>
      <w:tr>
        <w:trPr>
          <w:trHeight w:val="212"/>
        </w:trPr>
        <w:tc>
          <w:tcPr>
            <w:tcW w:w="5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(508) 893-8999</w:t>
            </w: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86"/>
        </w:trPr>
        <w:tc>
          <w:tcPr>
            <w:tcW w:w="6220" w:type="dxa"/>
            <w:vAlign w:val="bottom"/>
            <w:gridSpan w:val="3"/>
          </w:tcPr>
          <w:p>
            <w:pPr>
              <w:jc w:val="center"/>
              <w:ind w:left="22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60" w:type="dxa"/>
            <w:vAlign w:val="bottom"/>
          </w:tcPr>
          <w:p>
            <w:pPr>
              <w:spacing w:after="0"/>
              <w:rPr>
                <w:sz w:val="16"/>
                <w:szCs w:val="16"/>
                <w:color w:val="auto"/>
              </w:rPr>
            </w:pPr>
          </w:p>
        </w:tc>
      </w:tr>
      <w:tr>
        <w:trPr>
          <w:trHeight w:val="93"/>
        </w:trPr>
        <w:tc>
          <w:tcPr>
            <w:tcW w:w="312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460" w:type="dxa"/>
            <w:vAlign w:val="bottom"/>
          </w:tcPr>
          <w:p>
            <w:pPr>
              <w:spacing w:after="0"/>
              <w:rPr>
                <w:sz w:val="8"/>
                <w:szCs w:val="8"/>
                <w:color w:val="auto"/>
              </w:rPr>
            </w:pPr>
          </w:p>
        </w:tc>
      </w:tr>
    </w:tbl>
    <w:p>
      <w:pPr>
        <w:spacing w:after="0" w:line="107" w:lineRule="exact"/>
        <w:rPr>
          <w:sz w:val="24"/>
          <w:szCs w:val="24"/>
          <w:color w:val="auto"/>
        </w:rPr>
      </w:pPr>
    </w:p>
    <w:p>
      <w:pPr>
        <w:ind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24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4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44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06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80" w:type="dxa"/>
            <w:vAlign w:val="bottom"/>
          </w:tcPr>
          <w:p>
            <w:pPr>
              <w:spacing w:after="0"/>
              <w:rPr>
                <w:sz w:val="20"/>
                <w:szCs w:val="20"/>
                <w:color w:val="auto"/>
              </w:rPr>
            </w:pPr>
            <w:r>
              <w:rPr>
                <w:rFonts w:ascii="Arial" w:cs="Arial" w:eastAsia="Arial" w:hAnsi="Arial"/>
                <w:sz w:val="18"/>
                <w:szCs w:val="18"/>
                <w:color w:val="auto"/>
                <w:w w:val="96"/>
              </w:rPr>
              <w:t>Emerging growth company</w:t>
            </w:r>
          </w:p>
        </w:tc>
        <w:tc>
          <w:tcPr>
            <w:tcW w:w="44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74" w:lineRule="exact"/>
        <w:rPr>
          <w:sz w:val="24"/>
          <w:szCs w:val="24"/>
          <w:color w:val="auto"/>
        </w:rPr>
      </w:pPr>
    </w:p>
    <w:p>
      <w:pPr>
        <w:ind w:right="22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40"/>
        <w:spacing w:after="0" w:line="207" w:lineRule="exact"/>
        <w:tabs>
          <w:tab w:leader="none" w:pos="87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5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May 2, 2017, there were 34,618,897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 w:name="page2"/>
    <w:bookmarkEnd w:id="1"/>
    <w:p>
      <w:pPr>
        <w:ind w:left="4440"/>
        <w:spacing w:after="0"/>
        <w:rPr>
          <w:sz w:val="20"/>
          <w:szCs w:val="20"/>
          <w:color w:val="auto"/>
        </w:rPr>
      </w:pPr>
      <w:r>
        <w:rPr>
          <w:rFonts w:ascii="Arial" w:cs="Arial" w:eastAsia="Arial" w:hAnsi="Arial"/>
          <w:sz w:val="18"/>
          <w:szCs w:val="18"/>
          <w:b w:val="1"/>
          <w:bCs w:val="1"/>
          <w:color w:val="auto"/>
        </w:rPr>
        <w:t>HARVARD BIOSCIENCE, INC.</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2017</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5"/>
          </w:tcPr>
          <w:p>
            <w:pPr>
              <w:jc w:val="center"/>
              <w:ind w:left="150"/>
              <w:spacing w:after="0"/>
              <w:rPr>
                <w:sz w:val="20"/>
                <w:szCs w:val="20"/>
                <w:color w:val="auto"/>
              </w:rPr>
            </w:pPr>
            <w:r>
              <w:rPr>
                <w:rFonts w:ascii="Arial" w:cs="Arial" w:eastAsia="Arial" w:hAnsi="Arial"/>
                <w:sz w:val="18"/>
                <w:szCs w:val="18"/>
                <w:b w:val="1"/>
                <w:bCs w:val="1"/>
                <w:color w:val="auto"/>
                <w:w w:val="83"/>
              </w:rPr>
              <w:t>Page</w:t>
            </w:r>
          </w:p>
        </w:tc>
      </w:tr>
      <w:tr>
        <w:trPr>
          <w:trHeight w:val="392"/>
        </w:trPr>
        <w:tc>
          <w:tcPr>
            <w:tcW w:w="2960" w:type="dxa"/>
            <w:vAlign w:val="bottom"/>
            <w:gridSpan w:val="13"/>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 FINANCIAL INFORMATION</w:t>
              </w:r>
            </w:hyperlink>
          </w:p>
        </w:tc>
        <w:tc>
          <w:tcPr>
            <w:tcW w:w="7780" w:type="dxa"/>
            <w:vAlign w:val="bottom"/>
            <w:gridSpan w:val="7"/>
          </w:tcPr>
          <w:p>
            <w:pPr>
              <w:spacing w:after="0"/>
              <w:rPr>
                <w:sz w:val="24"/>
                <w:szCs w:val="24"/>
                <w:color w:val="auto"/>
              </w:rPr>
            </w:pPr>
          </w:p>
        </w:tc>
        <w:tc>
          <w:tcPr>
            <w:tcW w:w="540" w:type="dxa"/>
            <w:vAlign w:val="bottom"/>
            <w:gridSpan w:val="4"/>
          </w:tcPr>
          <w:p>
            <w:pPr>
              <w:jc w:val="center"/>
              <w:ind w:left="2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24"/>
                <w:szCs w:val="24"/>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300" w:type="dxa"/>
            <w:vAlign w:val="bottom"/>
            <w:gridSpan w:val="2"/>
          </w:tcPr>
          <w:p>
            <w:pPr>
              <w:spacing w:after="0"/>
              <w:rPr>
                <w:sz w:val="24"/>
                <w:szCs w:val="24"/>
                <w:color w:val="auto"/>
              </w:rPr>
            </w:pPr>
          </w:p>
        </w:tc>
        <w:tc>
          <w:tcPr>
            <w:tcW w:w="202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780" w:type="dxa"/>
            <w:vAlign w:val="bottom"/>
            <w:gridSpan w:val="7"/>
          </w:tcPr>
          <w:p>
            <w:pPr>
              <w:spacing w:after="0"/>
              <w:rPr>
                <w:sz w:val="24"/>
                <w:szCs w:val="24"/>
                <w:color w:val="auto"/>
              </w:rPr>
            </w:pPr>
          </w:p>
        </w:tc>
        <w:tc>
          <w:tcPr>
            <w:tcW w:w="540" w:type="dxa"/>
            <w:vAlign w:val="bottom"/>
            <w:gridSpan w:val="4"/>
          </w:tcPr>
          <w:p>
            <w:pPr>
              <w:jc w:val="center"/>
              <w:ind w:left="2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60" w:type="dxa"/>
            <w:vAlign w:val="bottom"/>
            <w:gridSpan w:val="1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Balance Sheets as of March 31, 2017 and December 31, 2016 (unaudited)</w:t>
              </w:r>
            </w:hyperlink>
          </w:p>
        </w:tc>
        <w:tc>
          <w:tcPr>
            <w:tcW w:w="3440" w:type="dxa"/>
            <w:vAlign w:val="bottom"/>
            <w:gridSpan w:val="4"/>
          </w:tcPr>
          <w:p>
            <w:pPr>
              <w:spacing w:after="0"/>
              <w:rPr>
                <w:sz w:val="24"/>
                <w:szCs w:val="24"/>
                <w:color w:val="auto"/>
              </w:rPr>
            </w:pPr>
          </w:p>
        </w:tc>
        <w:tc>
          <w:tcPr>
            <w:tcW w:w="540" w:type="dxa"/>
            <w:vAlign w:val="bottom"/>
            <w:gridSpan w:val="4"/>
          </w:tcPr>
          <w:p>
            <w:pPr>
              <w:jc w:val="center"/>
              <w:ind w:left="2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40" w:type="dxa"/>
            <w:vAlign w:val="bottom"/>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Comprehensive Loss for the Three Months Ended March 31, 2017 and 2016 (unaudited)</w:t>
              </w:r>
            </w:hyperlink>
          </w:p>
        </w:tc>
        <w:tc>
          <w:tcPr>
            <w:tcW w:w="260" w:type="dxa"/>
            <w:vAlign w:val="bottom"/>
          </w:tcPr>
          <w:p>
            <w:pPr>
              <w:spacing w:after="0"/>
              <w:rPr>
                <w:sz w:val="24"/>
                <w:szCs w:val="24"/>
                <w:color w:val="auto"/>
              </w:rPr>
            </w:pPr>
          </w:p>
        </w:tc>
        <w:tc>
          <w:tcPr>
            <w:tcW w:w="540" w:type="dxa"/>
            <w:vAlign w:val="bottom"/>
            <w:gridSpan w:val="4"/>
          </w:tcPr>
          <w:p>
            <w:pPr>
              <w:jc w:val="center"/>
              <w:ind w:left="2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4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for the Three Months Ended March 31, 2017 and 2016 (unaudited)</w:t>
              </w:r>
            </w:hyperlink>
          </w:p>
        </w:tc>
        <w:tc>
          <w:tcPr>
            <w:tcW w:w="260" w:type="dxa"/>
            <w:vAlign w:val="bottom"/>
          </w:tcPr>
          <w:p>
            <w:pPr>
              <w:spacing w:after="0"/>
              <w:rPr>
                <w:sz w:val="24"/>
                <w:szCs w:val="24"/>
                <w:color w:val="auto"/>
              </w:rPr>
            </w:pPr>
          </w:p>
        </w:tc>
        <w:tc>
          <w:tcPr>
            <w:tcW w:w="540" w:type="dxa"/>
            <w:vAlign w:val="bottom"/>
            <w:gridSpan w:val="4"/>
          </w:tcPr>
          <w:p>
            <w:pPr>
              <w:jc w:val="center"/>
              <w:ind w:left="2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2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Unaudited Consolidated Financial Statements</w:t>
              </w:r>
            </w:hyperlink>
          </w:p>
        </w:tc>
        <w:tc>
          <w:tcPr>
            <w:tcW w:w="2080" w:type="dxa"/>
            <w:vAlign w:val="bottom"/>
            <w:gridSpan w:val="2"/>
          </w:tcPr>
          <w:p>
            <w:pPr>
              <w:spacing w:after="0"/>
              <w:rPr>
                <w:sz w:val="24"/>
                <w:szCs w:val="24"/>
                <w:color w:val="auto"/>
              </w:rPr>
            </w:pPr>
          </w:p>
        </w:tc>
        <w:tc>
          <w:tcPr>
            <w:tcW w:w="540" w:type="dxa"/>
            <w:vAlign w:val="bottom"/>
            <w:gridSpan w:val="4"/>
          </w:tcPr>
          <w:p>
            <w:pPr>
              <w:jc w:val="center"/>
              <w:ind w:left="2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300" w:type="dxa"/>
            <w:vAlign w:val="bottom"/>
            <w:gridSpan w:val="2"/>
          </w:tcPr>
          <w:p>
            <w:pPr>
              <w:spacing w:after="0"/>
              <w:rPr>
                <w:sz w:val="24"/>
                <w:szCs w:val="24"/>
                <w:color w:val="auto"/>
              </w:rPr>
            </w:pP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18</w:t>
              </w:r>
            </w:hyperlink>
          </w:p>
        </w:tc>
        <w:tc>
          <w:tcPr>
            <w:tcW w:w="14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300" w:type="dxa"/>
            <w:vAlign w:val="bottom"/>
            <w:gridSpan w:val="2"/>
          </w:tcPr>
          <w:p>
            <w:pPr>
              <w:spacing w:after="0"/>
              <w:rPr>
                <w:sz w:val="24"/>
                <w:szCs w:val="24"/>
                <w:color w:val="auto"/>
              </w:rPr>
            </w:pPr>
          </w:p>
        </w:tc>
        <w:tc>
          <w:tcPr>
            <w:tcW w:w="980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540" w:type="dxa"/>
            <w:vAlign w:val="bottom"/>
            <w:gridSpan w:val="4"/>
          </w:tcPr>
          <w:p>
            <w:pPr>
              <w:jc w:val="center"/>
              <w:ind w:left="27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300" w:type="dxa"/>
            <w:vAlign w:val="bottom"/>
            <w:gridSpan w:val="2"/>
          </w:tcPr>
          <w:p>
            <w:pPr>
              <w:spacing w:after="0"/>
              <w:rPr>
                <w:sz w:val="24"/>
                <w:szCs w:val="24"/>
                <w:color w:val="auto"/>
              </w:rPr>
            </w:pPr>
          </w:p>
        </w:tc>
        <w:tc>
          <w:tcPr>
            <w:tcW w:w="4300" w:type="dxa"/>
            <w:vAlign w:val="bottom"/>
            <w:tcBorders>
              <w:top w:val="single" w:sz="8" w:color="0000EE"/>
            </w:tcBorders>
            <w:gridSpan w:val="1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550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98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1062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PART II - OTHER INFORMATION</w:t>
              </w:r>
            </w:hyperlink>
          </w:p>
        </w:tc>
        <w:tc>
          <w:tcPr>
            <w:tcW w:w="540" w:type="dxa"/>
            <w:vAlign w:val="bottom"/>
            <w:gridSpan w:val="4"/>
          </w:tcPr>
          <w:p>
            <w:pPr>
              <w:jc w:val="center"/>
              <w:ind w:left="27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14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1.</w:t>
              </w:r>
            </w:hyperlink>
          </w:p>
        </w:tc>
        <w:tc>
          <w:tcPr>
            <w:tcW w:w="300" w:type="dxa"/>
            <w:vAlign w:val="bottom"/>
            <w:tcBorders>
              <w:top w:val="single" w:sz="8" w:color="0000EE"/>
            </w:tcBorders>
            <w:gridSpan w:val="2"/>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480" w:type="dxa"/>
            <w:vAlign w:val="bottom"/>
            <w:tcBorders>
              <w:top w:val="single" w:sz="8" w:color="0000EE"/>
            </w:tcBorders>
            <w:gridSpan w:val="3"/>
          </w:tcPr>
          <w:p>
            <w:pPr>
              <w:spacing w:after="0"/>
              <w:rPr>
                <w:sz w:val="24"/>
                <w:szCs w:val="24"/>
                <w:color w:val="auto"/>
              </w:rPr>
            </w:pPr>
          </w:p>
        </w:tc>
        <w:tc>
          <w:tcPr>
            <w:tcW w:w="7980" w:type="dxa"/>
            <w:vAlign w:val="bottom"/>
            <w:gridSpan w:val="8"/>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14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w:t>
              </w:r>
            </w:hyperlink>
          </w:p>
        </w:tc>
        <w:tc>
          <w:tcPr>
            <w:tcW w:w="980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540" w:type="dxa"/>
            <w:vAlign w:val="bottom"/>
            <w:gridSpan w:val="4"/>
          </w:tcPr>
          <w:p>
            <w:pPr>
              <w:jc w:val="center"/>
              <w:ind w:left="27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8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5.</w:t>
              </w:r>
            </w:hyperlink>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Other Information</w:t>
              </w:r>
            </w:hyperlink>
          </w:p>
        </w:tc>
        <w:tc>
          <w:tcPr>
            <w:tcW w:w="848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14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300" w:type="dxa"/>
            <w:vAlign w:val="bottom"/>
            <w:gridSpan w:val="2"/>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9200" w:type="dxa"/>
            <w:vAlign w:val="bottom"/>
            <w:gridSpan w:val="14"/>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29</w:t>
              </w:r>
            </w:hyperlink>
          </w:p>
        </w:tc>
        <w:tc>
          <w:tcPr>
            <w:tcW w:w="14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1062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540" w:type="dxa"/>
            <w:vAlign w:val="bottom"/>
            <w:gridSpan w:val="4"/>
          </w:tcPr>
          <w:p>
            <w:pPr>
              <w:jc w:val="center"/>
              <w:ind w:left="27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140" w:type="dxa"/>
            <w:vAlign w:val="bottom"/>
          </w:tcPr>
          <w:p>
            <w:pPr>
              <w:spacing w:after="0"/>
              <w:rPr>
                <w:sz w:val="24"/>
                <w:szCs w:val="24"/>
                <w:color w:val="auto"/>
              </w:rPr>
            </w:pPr>
          </w:p>
        </w:tc>
      </w:tr>
      <w:tr>
        <w:trPr>
          <w:trHeight w:val="723"/>
        </w:trPr>
        <w:tc>
          <w:tcPr>
            <w:tcW w:w="1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r>
      <w:tr>
        <w:trPr>
          <w:trHeight w:val="68"/>
        </w:trPr>
        <w:tc>
          <w:tcPr>
            <w:tcW w:w="1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9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20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8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4,599</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Accounts receivable, net of allowance for doubtful accounts of $559 and $611,</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3"/>
          </w:tcPr>
          <w:p>
            <w:pPr>
              <w:ind w:left="40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15,479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Other receivables and other assets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4,761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45,121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4,268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Deferred income tax assets</w:t>
            </w:r>
          </w:p>
        </w:tc>
        <w:tc>
          <w:tcPr>
            <w:tcW w:w="2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Amortizable intangible assets, net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17,070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38,398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indefinite lived intangible assets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107,396</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Liabilities and Stockholders' Equity</w:t>
            </w:r>
          </w:p>
        </w:tc>
        <w:tc>
          <w:tcPr>
            <w:tcW w:w="5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portion, long-term debt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2,722</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1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5,835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160"/>
              <w:spacing w:after="0"/>
              <w:rPr>
                <w:sz w:val="20"/>
                <w:szCs w:val="20"/>
                <w:color w:val="auto"/>
              </w:rPr>
            </w:pPr>
            <w:r>
              <w:rPr>
                <w:rFonts w:ascii="Arial" w:cs="Arial" w:eastAsia="Arial" w:hAnsi="Arial"/>
                <w:sz w:val="18"/>
                <w:szCs w:val="18"/>
                <w:color w:val="auto"/>
              </w:rPr>
              <w:t>Accrued income taxes</w:t>
            </w:r>
          </w:p>
        </w:tc>
        <w:tc>
          <w:tcPr>
            <w:tcW w:w="2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4,324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Other liabilities - current</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478</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14,056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less current installments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10,931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Deferred income tax liabilities</w:t>
            </w:r>
          </w:p>
        </w:tc>
        <w:tc>
          <w:tcPr>
            <w:tcW w:w="2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6,460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34,681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Preferred stock, par value $0.01 per share, 5,000,000 shares authorized</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Common stock, par value $0.01 per share, 80,000,000 shares authorized; 42,364,404 and</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3"/>
          </w:tcPr>
          <w:p>
            <w:pPr>
              <w:ind w:left="340"/>
              <w:spacing w:after="0"/>
              <w:rPr>
                <w:sz w:val="20"/>
                <w:szCs w:val="20"/>
                <w:color w:val="auto"/>
              </w:rPr>
            </w:pPr>
            <w:r>
              <w:rPr>
                <w:rFonts w:ascii="Arial" w:cs="Arial" w:eastAsia="Arial" w:hAnsi="Arial"/>
                <w:sz w:val="18"/>
                <w:szCs w:val="18"/>
                <w:color w:val="auto"/>
              </w:rPr>
              <w:t>42,186,827 shares issued and 34,618,897 and 34,441,320 shares outstanding, respectively</w:t>
            </w:r>
          </w:p>
        </w:tc>
        <w:tc>
          <w:tcPr>
            <w:tcW w:w="26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Additional paid-in-capital</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215,842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1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(117,168)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Treasury stock at cost, 7,745,507 common shares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72,715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107,396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980" w:type="dxa"/>
            <w:vAlign w:val="bottom"/>
            <w:gridSpan w:val="2"/>
          </w:tcPr>
          <w:p>
            <w:pPr>
              <w:ind w:left="4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2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6660" w:type="dxa"/>
            <w:vAlign w:val="bottom"/>
          </w:tcPr>
          <w:p>
            <w:pPr>
              <w:jc w:val="center"/>
              <w:ind w:left="1990"/>
              <w:spacing w:after="0"/>
              <w:rPr>
                <w:sz w:val="20"/>
                <w:szCs w:val="20"/>
                <w:color w:val="auto"/>
              </w:rPr>
            </w:pPr>
            <w:r>
              <w:rPr>
                <w:rFonts w:ascii="Arial" w:cs="Arial" w:eastAsia="Arial" w:hAnsi="Arial"/>
                <w:sz w:val="18"/>
                <w:szCs w:val="18"/>
                <w:b w:val="1"/>
                <w:bCs w:val="1"/>
                <w:color w:val="auto"/>
              </w:rPr>
              <w:t>HARVARD BIOSCIENCE, INC.</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8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9"/>
              </w:rPr>
              <w:t>CONSOLIDATED STATEMENTS OF OPERATIONS AND COMPREHENSIVE LOSS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60" w:type="dxa"/>
            <w:vAlign w:val="bottom"/>
          </w:tcPr>
          <w:p>
            <w:pPr>
              <w:jc w:val="center"/>
              <w:ind w:left="2010"/>
              <w:spacing w:after="0"/>
              <w:rPr>
                <w:sz w:val="20"/>
                <w:szCs w:val="20"/>
                <w:color w:val="auto"/>
              </w:rPr>
            </w:pPr>
            <w:r>
              <w:rPr>
                <w:rFonts w:ascii="Arial" w:cs="Arial" w:eastAsia="Arial" w:hAnsi="Arial"/>
                <w:sz w:val="18"/>
                <w:szCs w:val="18"/>
                <w:b w:val="1"/>
                <w:bCs w:val="1"/>
                <w:color w:val="auto"/>
                <w:w w:val="89"/>
              </w:rPr>
              <w:t>(Unaudited, in thousands, except per share data)</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3"/>
              </w:rPr>
              <w:t>March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24,156</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revenues (exclusive of items shown separately below)</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12,657</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11,499</w:t>
            </w:r>
          </w:p>
        </w:tc>
        <w:tc>
          <w:tcPr>
            <w:tcW w:w="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5,048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5,206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Restructuring charges</w:t>
            </w: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599</w:t>
            </w:r>
          </w:p>
        </w:tc>
        <w:tc>
          <w:tcPr>
            <w:tcW w:w="2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12,138</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20" w:type="dxa"/>
            <w:vAlign w:val="bottom"/>
            <w:tcBorders>
              <w:left w:val="single" w:sz="8" w:color="CCEEFF"/>
            </w:tcBorders>
            <w:shd w:val="clear" w:color="auto" w:fill="CCEEFF"/>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loss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20" w:type="dxa"/>
            <w:vAlign w:val="bottom"/>
            <w:tcBorders>
              <w:left w:val="single" w:sz="8" w:color="CCEEFF"/>
            </w:tcBorders>
            <w:shd w:val="clear" w:color="auto" w:fill="CCEEFF"/>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Other (expense) income: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exchange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16"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Loss before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w:t>
            </w:r>
          </w:p>
        </w:tc>
      </w:tr>
      <w:tr>
        <w:trPr>
          <w:trHeight w:val="223"/>
        </w:trPr>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9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-462280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-179705</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420"/>
          </w:cols>
          <w:pgMar w:left="240" w:top="216"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Basic loss per common share</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7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Diluted loss per common share</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7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34,579</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34,579</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(1,066)</w:t>
            </w:r>
          </w:p>
        </w:tc>
        <w:tc>
          <w:tcPr>
            <w:tcW w:w="7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Derivatives qualifying as hedges, net of tax:</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on derivative instruments designated and qualifying as cash flow hedges</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Amounts reclassified from accumulated other comprehensive loss to net loss</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9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677"/>
        </w:trPr>
        <w:tc>
          <w:tcPr>
            <w:tcW w:w="60" w:type="dxa"/>
            <w:vAlign w:val="bottom"/>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6660" w:type="dxa"/>
            <w:vAlign w:val="bottom"/>
          </w:tcPr>
          <w:p>
            <w:pPr>
              <w:jc w:val="center"/>
              <w:ind w:left="1990"/>
              <w:spacing w:after="0"/>
              <w:rPr>
                <w:sz w:val="20"/>
                <w:szCs w:val="20"/>
                <w:color w:val="auto"/>
              </w:rPr>
            </w:pPr>
            <w:r>
              <w:rPr>
                <w:rFonts w:ascii="Arial" w:cs="Arial" w:eastAsia="Arial" w:hAnsi="Arial"/>
                <w:sz w:val="18"/>
                <w:szCs w:val="18"/>
                <w:b w:val="1"/>
                <w:bCs w:val="1"/>
                <w:color w:val="auto"/>
              </w:rPr>
              <w:t>HARVARD BIOSCIENCE, INC.</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60" w:type="dxa"/>
            <w:vAlign w:val="bottom"/>
          </w:tcPr>
          <w:p>
            <w:pPr>
              <w:jc w:val="center"/>
              <w:ind w:left="19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60" w:type="dxa"/>
            <w:vAlign w:val="bottom"/>
          </w:tcPr>
          <w:p>
            <w:pPr>
              <w:jc w:val="center"/>
              <w:ind w:left="2010"/>
              <w:spacing w:after="0"/>
              <w:rPr>
                <w:sz w:val="20"/>
                <w:szCs w:val="20"/>
                <w:color w:val="auto"/>
              </w:rPr>
            </w:pPr>
            <w:r>
              <w:rPr>
                <w:rFonts w:ascii="Arial" w:cs="Arial" w:eastAsia="Arial" w:hAnsi="Arial"/>
                <w:sz w:val="18"/>
                <w:szCs w:val="18"/>
                <w:b w:val="1"/>
                <w:bCs w:val="1"/>
                <w:color w:val="auto"/>
                <w:w w:val="90"/>
              </w:rPr>
              <w:t>(Unaudited, in thousands)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27"/>
        </w:trPr>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82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2"/>
              </w:rPr>
              <w:t>Three Months Ended</w:t>
            </w:r>
          </w:p>
        </w:tc>
        <w:tc>
          <w:tcPr>
            <w:tcW w:w="60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8"/>
                <w:szCs w:val="18"/>
                <w:b w:val="1"/>
                <w:bCs w:val="1"/>
                <w:color w:val="auto"/>
                <w:w w:val="93"/>
              </w:rPr>
              <w:t>March 31,</w:t>
            </w:r>
          </w:p>
        </w:tc>
        <w:tc>
          <w:tcPr>
            <w:tcW w:w="600" w:type="dxa"/>
            <w:vAlign w:val="bottom"/>
            <w:tcBorders>
              <w:bottom w:val="single" w:sz="8" w:color="auto"/>
            </w:tcBorders>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19"/>
                <w:szCs w:val="19"/>
                <w:color w:val="auto"/>
              </w:rPr>
            </w:pPr>
          </w:p>
        </w:tc>
      </w:tr>
      <w:tr>
        <w:trPr>
          <w:trHeight w:val="210"/>
        </w:trPr>
        <w:tc>
          <w:tcPr>
            <w:tcW w:w="80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(1,066)</w:t>
            </w:r>
          </w:p>
        </w:tc>
        <w:tc>
          <w:tcPr>
            <w:tcW w:w="12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16"/>
        </w:trPr>
        <w:tc>
          <w:tcPr>
            <w:tcW w:w="6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940" w:type="dxa"/>
            <w:vAlign w:val="bottom"/>
            <w:gridSpan w:val="2"/>
          </w:tcPr>
          <w:p>
            <w:pPr>
              <w:ind w:left="300"/>
              <w:spacing w:after="0"/>
              <w:rPr>
                <w:sz w:val="20"/>
                <w:szCs w:val="20"/>
                <w:color w:val="auto"/>
              </w:rPr>
            </w:pPr>
            <w:r>
              <w:rPr>
                <w:rFonts w:ascii="Arial" w:cs="Arial" w:eastAsia="Arial" w:hAnsi="Arial"/>
                <w:sz w:val="18"/>
                <w:szCs w:val="18"/>
                <w:color w:val="auto"/>
              </w:rPr>
              <w:t>Stock compensation expense</w:t>
            </w:r>
          </w:p>
        </w:tc>
        <w:tc>
          <w:tcPr>
            <w:tcW w:w="102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754</w:t>
            </w:r>
          </w:p>
        </w:tc>
      </w:tr>
      <w:tr>
        <w:trPr>
          <w:trHeight w:val="216"/>
        </w:trPr>
        <w:tc>
          <w:tcPr>
            <w:tcW w:w="6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Depreciation</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r>
      <w:tr>
        <w:trPr>
          <w:trHeight w:val="216"/>
        </w:trPr>
        <w:tc>
          <w:tcPr>
            <w:tcW w:w="60" w:type="dxa"/>
            <w:vAlign w:val="bottom"/>
          </w:tcPr>
          <w:p>
            <w:pPr>
              <w:spacing w:after="0"/>
              <w:rPr>
                <w:sz w:val="18"/>
                <w:szCs w:val="18"/>
                <w:color w:val="auto"/>
              </w:rPr>
            </w:pPr>
          </w:p>
        </w:tc>
        <w:tc>
          <w:tcPr>
            <w:tcW w:w="7940" w:type="dxa"/>
            <w:vAlign w:val="bottom"/>
            <w:gridSpan w:val="2"/>
          </w:tcPr>
          <w:p>
            <w:pPr>
              <w:ind w:left="300"/>
              <w:spacing w:after="0"/>
              <w:rPr>
                <w:sz w:val="20"/>
                <w:szCs w:val="20"/>
                <w:color w:val="auto"/>
              </w:rPr>
            </w:pPr>
            <w:r>
              <w:rPr>
                <w:rFonts w:ascii="Arial" w:cs="Arial" w:eastAsia="Arial" w:hAnsi="Arial"/>
                <w:sz w:val="18"/>
                <w:szCs w:val="18"/>
                <w:color w:val="auto"/>
              </w:rPr>
              <w:t>Amortization of catalog costs</w:t>
            </w:r>
          </w:p>
        </w:tc>
        <w:tc>
          <w:tcPr>
            <w:tcW w:w="102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6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(Recovery) provision for allowance for doubtful accounts</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16"/>
        </w:trPr>
        <w:tc>
          <w:tcPr>
            <w:tcW w:w="60" w:type="dxa"/>
            <w:vAlign w:val="bottom"/>
          </w:tcPr>
          <w:p>
            <w:pPr>
              <w:spacing w:after="0"/>
              <w:rPr>
                <w:sz w:val="18"/>
                <w:szCs w:val="18"/>
                <w:color w:val="auto"/>
              </w:rPr>
            </w:pPr>
          </w:p>
        </w:tc>
        <w:tc>
          <w:tcPr>
            <w:tcW w:w="7940" w:type="dxa"/>
            <w:vAlign w:val="bottom"/>
            <w:gridSpan w:val="2"/>
          </w:tcPr>
          <w:p>
            <w:pPr>
              <w:ind w:left="300"/>
              <w:spacing w:after="0"/>
              <w:rPr>
                <w:sz w:val="20"/>
                <w:szCs w:val="20"/>
                <w:color w:val="auto"/>
              </w:rPr>
            </w:pPr>
            <w:r>
              <w:rPr>
                <w:rFonts w:ascii="Arial" w:cs="Arial" w:eastAsia="Arial" w:hAnsi="Arial"/>
                <w:sz w:val="18"/>
                <w:szCs w:val="18"/>
                <w:color w:val="auto"/>
              </w:rPr>
              <w:t>Amortization of intangible assets</w:t>
            </w:r>
          </w:p>
        </w:tc>
        <w:tc>
          <w:tcPr>
            <w:tcW w:w="102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599</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680</w:t>
            </w:r>
          </w:p>
        </w:tc>
      </w:tr>
      <w:tr>
        <w:trPr>
          <w:trHeight w:val="216"/>
        </w:trPr>
        <w:tc>
          <w:tcPr>
            <w:tcW w:w="6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Amortization of deferred financing costs</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16"/>
        </w:trPr>
        <w:tc>
          <w:tcPr>
            <w:tcW w:w="60" w:type="dxa"/>
            <w:vAlign w:val="bottom"/>
          </w:tcPr>
          <w:p>
            <w:pPr>
              <w:spacing w:after="0"/>
              <w:rPr>
                <w:sz w:val="18"/>
                <w:szCs w:val="18"/>
                <w:color w:val="auto"/>
              </w:rPr>
            </w:pPr>
          </w:p>
        </w:tc>
        <w:tc>
          <w:tcPr>
            <w:tcW w:w="7940" w:type="dxa"/>
            <w:vAlign w:val="bottom"/>
            <w:gridSpan w:val="2"/>
          </w:tcPr>
          <w:p>
            <w:pPr>
              <w:ind w:left="300"/>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6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940" w:type="dxa"/>
            <w:vAlign w:val="bottom"/>
            <w:gridSpan w:val="2"/>
          </w:tcPr>
          <w:p>
            <w:pPr>
              <w:ind w:left="480"/>
              <w:spacing w:after="0"/>
              <w:rPr>
                <w:sz w:val="20"/>
                <w:szCs w:val="20"/>
                <w:color w:val="auto"/>
              </w:rPr>
            </w:pPr>
            <w:r>
              <w:rPr>
                <w:rFonts w:ascii="Arial" w:cs="Arial" w:eastAsia="Arial" w:hAnsi="Arial"/>
                <w:sz w:val="18"/>
                <w:szCs w:val="18"/>
                <w:color w:val="auto"/>
              </w:rPr>
              <w:t>Decrease (increase) in accounts receivable</w:t>
            </w:r>
          </w:p>
        </w:tc>
        <w:tc>
          <w:tcPr>
            <w:tcW w:w="102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16"/>
        </w:trPr>
        <w:tc>
          <w:tcPr>
            <w:tcW w:w="6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(Increase) decrease in inventories</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r>
      <w:tr>
        <w:trPr>
          <w:trHeight w:val="216"/>
        </w:trPr>
        <w:tc>
          <w:tcPr>
            <w:tcW w:w="60" w:type="dxa"/>
            <w:vAlign w:val="bottom"/>
          </w:tcPr>
          <w:p>
            <w:pPr>
              <w:spacing w:after="0"/>
              <w:rPr>
                <w:sz w:val="18"/>
                <w:szCs w:val="18"/>
                <w:color w:val="auto"/>
              </w:rPr>
            </w:pPr>
          </w:p>
        </w:tc>
        <w:tc>
          <w:tcPr>
            <w:tcW w:w="7940" w:type="dxa"/>
            <w:vAlign w:val="bottom"/>
            <w:gridSpan w:val="2"/>
          </w:tcPr>
          <w:p>
            <w:pPr>
              <w:ind w:left="480"/>
              <w:spacing w:after="0"/>
              <w:rPr>
                <w:sz w:val="20"/>
                <w:szCs w:val="20"/>
                <w:color w:val="auto"/>
              </w:rPr>
            </w:pPr>
            <w:r>
              <w:rPr>
                <w:rFonts w:ascii="Arial" w:cs="Arial" w:eastAsia="Arial" w:hAnsi="Arial"/>
                <w:sz w:val="18"/>
                <w:szCs w:val="18"/>
                <w:color w:val="auto"/>
              </w:rPr>
              <w:t>Increase in other receivables and other assets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16"/>
        </w:trPr>
        <w:tc>
          <w:tcPr>
            <w:tcW w:w="6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Decrease in trade accounts payable</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(2,679)</w:t>
            </w:r>
          </w:p>
        </w:tc>
      </w:tr>
      <w:tr>
        <w:trPr>
          <w:trHeight w:val="216"/>
        </w:trPr>
        <w:tc>
          <w:tcPr>
            <w:tcW w:w="60" w:type="dxa"/>
            <w:vAlign w:val="bottom"/>
          </w:tcPr>
          <w:p>
            <w:pPr>
              <w:spacing w:after="0"/>
              <w:rPr>
                <w:sz w:val="18"/>
                <w:szCs w:val="18"/>
                <w:color w:val="auto"/>
              </w:rPr>
            </w:pPr>
          </w:p>
        </w:tc>
        <w:tc>
          <w:tcPr>
            <w:tcW w:w="7940" w:type="dxa"/>
            <w:vAlign w:val="bottom"/>
            <w:gridSpan w:val="2"/>
          </w:tcPr>
          <w:p>
            <w:pPr>
              <w:ind w:left="480"/>
              <w:spacing w:after="0"/>
              <w:rPr>
                <w:sz w:val="20"/>
                <w:szCs w:val="20"/>
                <w:color w:val="auto"/>
              </w:rPr>
            </w:pPr>
            <w:r>
              <w:rPr>
                <w:rFonts w:ascii="Arial" w:cs="Arial" w:eastAsia="Arial" w:hAnsi="Arial"/>
                <w:sz w:val="18"/>
                <w:szCs w:val="18"/>
                <w:color w:val="auto"/>
              </w:rPr>
              <w:t>Decrease in accrued income taxes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(Decrease) increase in accrued expenses</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1,481</w:t>
            </w:r>
          </w:p>
        </w:tc>
      </w:tr>
      <w:tr>
        <w:trPr>
          <w:trHeight w:val="216"/>
        </w:trPr>
        <w:tc>
          <w:tcPr>
            <w:tcW w:w="60" w:type="dxa"/>
            <w:vAlign w:val="bottom"/>
          </w:tcPr>
          <w:p>
            <w:pPr>
              <w:spacing w:after="0"/>
              <w:rPr>
                <w:sz w:val="18"/>
                <w:szCs w:val="18"/>
                <w:color w:val="auto"/>
              </w:rPr>
            </w:pPr>
          </w:p>
        </w:tc>
        <w:tc>
          <w:tcPr>
            <w:tcW w:w="7940" w:type="dxa"/>
            <w:vAlign w:val="bottom"/>
            <w:gridSpan w:val="2"/>
          </w:tcPr>
          <w:p>
            <w:pPr>
              <w:ind w:left="480"/>
              <w:spacing w:after="0"/>
              <w:rPr>
                <w:sz w:val="20"/>
                <w:szCs w:val="20"/>
                <w:color w:val="auto"/>
              </w:rPr>
            </w:pPr>
            <w:r>
              <w:rPr>
                <w:rFonts w:ascii="Arial" w:cs="Arial" w:eastAsia="Arial" w:hAnsi="Arial"/>
                <w:sz w:val="18"/>
                <w:szCs w:val="18"/>
                <w:color w:val="auto"/>
              </w:rPr>
              <w:t>Increase in deferred revenue</w:t>
            </w:r>
          </w:p>
        </w:tc>
        <w:tc>
          <w:tcPr>
            <w:tcW w:w="102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30"/>
        </w:trPr>
        <w:tc>
          <w:tcPr>
            <w:tcW w:w="6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Decrease in other liabilities</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60" w:type="dxa"/>
            <w:vAlign w:val="bottom"/>
            <w:tcBorders>
              <w:bottom w:val="single" w:sz="8" w:color="CCEEFF"/>
            </w:tcBorders>
          </w:tcPr>
          <w:p>
            <w:pPr>
              <w:spacing w:after="0"/>
              <w:rPr>
                <w:sz w:val="18"/>
                <w:szCs w:val="18"/>
                <w:color w:val="auto"/>
              </w:rPr>
            </w:pPr>
          </w:p>
        </w:tc>
        <w:tc>
          <w:tcPr>
            <w:tcW w:w="794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Net cash used by operating activities</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r>
      <w:tr>
        <w:trPr>
          <w:trHeight w:val="210"/>
        </w:trPr>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216" w:right="239" w:bottom="1440" w:gutter="0" w:footer="0" w:header="0"/>
        </w:sectPr>
      </w:pPr>
    </w:p>
    <w:p>
      <w:pPr>
        <w:spacing w:after="0"/>
        <w:rPr>
          <w:sz w:val="20"/>
          <w:szCs w:val="20"/>
          <w:color w:val="auto"/>
        </w:rPr>
      </w:pPr>
      <w:r>
        <w:rPr>
          <w:rFonts w:ascii="Arial" w:cs="Arial" w:eastAsia="Arial" w:hAnsi="Arial"/>
          <w:sz w:val="18"/>
          <w:szCs w:val="18"/>
          <w:color w:val="auto"/>
        </w:rPr>
        <w:t>Cash flows used in investing activities: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Additions to catalog costs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issuance of debt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Repayments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Net taxes paid for issuance of common stock</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Decrease in 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the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the end of period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627"/>
        </w:trPr>
        <w:tc>
          <w:tcPr>
            <w:tcW w:w="162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30"/>
        </w:trPr>
        <w:tc>
          <w:tcPr>
            <w:tcW w:w="1620" w:type="dxa"/>
            <w:vAlign w:val="bottom"/>
          </w:tcPr>
          <w:p>
            <w:pPr>
              <w:jc w:val="right"/>
              <w:spacing w:after="0"/>
              <w:rPr>
                <w:sz w:val="20"/>
                <w:szCs w:val="20"/>
                <w:color w:val="auto"/>
              </w:rPr>
            </w:pPr>
            <w:r>
              <w:rPr>
                <w:rFonts w:ascii="Arial" w:cs="Arial" w:eastAsia="Arial" w:hAnsi="Arial"/>
                <w:sz w:val="18"/>
                <w:szCs w:val="18"/>
                <w:color w:val="auto"/>
              </w:rPr>
              <w:t>(1,113)</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(2,613)</w:t>
            </w:r>
          </w:p>
        </w:tc>
      </w:tr>
      <w:tr>
        <w:trPr>
          <w:trHeight w:val="230"/>
        </w:trPr>
        <w:tc>
          <w:tcPr>
            <w:tcW w:w="162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(113)</w:t>
            </w:r>
          </w:p>
        </w:tc>
      </w:tr>
    </w:tbl>
    <w:p>
      <w:pPr>
        <w:ind w:left="2840" w:hanging="1668"/>
        <w:spacing w:after="0"/>
        <w:tabs>
          <w:tab w:leader="none" w:pos="2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(1,726)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1697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r>
      <w:tr>
        <w:trPr>
          <w:trHeight w:val="209"/>
        </w:trPr>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(2,569)</w:t>
            </w:r>
          </w:p>
        </w:tc>
      </w:tr>
      <w:tr>
        <w:trPr>
          <w:trHeight w:val="230"/>
        </w:trPr>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5,596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6,744</w:t>
            </w:r>
          </w:p>
        </w:tc>
      </w:tr>
      <w:tr>
        <w:trPr>
          <w:trHeight w:val="223"/>
        </w:trPr>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4,599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4,175</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280" w:space="720"/>
            <w:col w:w="3420"/>
          </w:cols>
          <w:pgMar w:left="240" w:top="21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8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28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164</w:t>
            </w:r>
          </w:p>
        </w:tc>
        <w:tc>
          <w:tcPr>
            <w:tcW w:w="8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Cash paid for income taxes, net of refunds</w:t>
            </w:r>
          </w:p>
        </w:tc>
        <w:tc>
          <w:tcPr>
            <w:tcW w:w="28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333</w:t>
            </w:r>
          </w:p>
        </w:tc>
        <w:tc>
          <w:tcPr>
            <w:tcW w:w="8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171</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The unaudited consolidated financial statements of Harvard Bioscience, Inc. and its wholly-owned subsidiaries (collectively, “Harvard Bioscience” or the “Company”) as of March 31, 2017 and for the three months ended March 31, 2017 and 2016 have been prepared by the Company pursuant to the rules and regulations of the Securities and Exchange Commission (“SEC”). Certain information and footnote disclosures normally included in financial statements prepared in accordance with U.S. generally accepted accounting principles (“U.S. GAAP”) have been condensed or omitted pursuant to such rules and regulations. The December 31, 2016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2016, which was filed with the SEC on March 17, 2017.</w:t>
      </w:r>
    </w:p>
    <w:p>
      <w:pPr>
        <w:spacing w:after="0" w:line="166" w:lineRule="exact"/>
        <w:rPr>
          <w:sz w:val="20"/>
          <w:szCs w:val="20"/>
          <w:color w:val="auto"/>
        </w:rPr>
      </w:pPr>
    </w:p>
    <w:p>
      <w:pPr>
        <w:jc w:val="both"/>
        <w:ind w:right="100" w:firstLine="486"/>
        <w:spacing w:after="0" w:line="259" w:lineRule="auto"/>
        <w:rPr>
          <w:sz w:val="20"/>
          <w:szCs w:val="20"/>
          <w:color w:val="auto"/>
        </w:rPr>
      </w:pPr>
      <w:r>
        <w:rPr>
          <w:rFonts w:ascii="Arial" w:cs="Arial" w:eastAsia="Arial" w:hAnsi="Arial"/>
          <w:sz w:val="18"/>
          <w:szCs w:val="18"/>
          <w:color w:val="auto"/>
        </w:rPr>
        <w:t>In the opinion of management, all adjustments, which include normal recurring adjustments necessary to present a fair statement of financial position as of March 31, 2017, results of operations and comprehensive loss and cash flows for the three months ended March 31, 2017 and 2016, as applicable, have been made. The results of operations for the three months ended March 31, 2017 are not necessarily indicative of the operating results for the full fiscal year or any future periods.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accounting policies underlying the accompanying unaudited consolidated financial statements are those set forth in Note 2 to the consolidated financial statements included in the Company’s Annual Report on Form 10-K for the year ended December 31, 2016, which was filed with the SEC on March 17, 2017.</w:t>
      </w:r>
    </w:p>
    <w:p>
      <w:pPr>
        <w:spacing w:after="0" w:line="39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120" w:firstLine="441"/>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a new accounting standard that provides for a comprehensive model to use in the accounting for revenue arising from contracts with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that will replace most existing revenue recognition guidance within generally accepted accounting principles in the United States. Under this standard, revenue will be recognized to depict the transfer of promised goods or services to customers in an amount that reflects the consideration to which the Company expects to be entitled in exchange for those goods or services. The Company expects to adopt this standard as of January 1, 2018 using the modified retrospective approach. The Company intends to complete a comprehensive assessment of its contracts in 2017 concerning any unique customer contract terms or transactions that could have implications to the timing of revenue recognition under the new guidance. The Company expects this undertaking will be complete in the second half of 2017.</w:t>
      </w:r>
    </w:p>
    <w:p>
      <w:pPr>
        <w:spacing w:after="0" w:line="179"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is intended to improve financial reporting about leasing transactions. The update requires a lessee to record on the balance sheet the assets and liabilities for the rights and obligations created by lease terms of more than 12 months. The update is effective for fiscal years beginning after December 15, 2018. The Company is evaluating the requirements of this guidance and has not yet determined the impact of the adoption on its consolidated financial position, results of operations and cash flows, however, assets and liabilities will increase upon adoption for right-of-use assets and lease liabilities. The Company’s future commitments under lease obligations are summarized in Note 10.</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 xml:space="preserve">In March 2016, the FASB issued ASU 2016-09, Compensation – Stock Compensation (Topic 718): </w:t>
      </w:r>
      <w:r>
        <w:rPr>
          <w:rFonts w:ascii="Arial" w:cs="Arial" w:eastAsia="Arial" w:hAnsi="Arial"/>
          <w:sz w:val="18"/>
          <w:szCs w:val="18"/>
          <w:i w:val="1"/>
          <w:iCs w:val="1"/>
          <w:color w:val="auto"/>
        </w:rPr>
        <w:t>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simplifies the accounting for share-based payment transactions, including the income tax consequences, classification of awards as either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or liabilities and classification on the statement of cash flows.</w:t>
      </w:r>
    </w:p>
    <w:p>
      <w:pPr>
        <w:spacing w:after="0" w:line="181"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The standard requires an entity to recognize all excess tax benefits and tax deficiencies as income tax benefit or expense in the income statement as discrete items in the reporting period in which they occur, and such tax benefits and tax deficiencies are not included in the estimate of an entity’s annual effective tax rate, applied on a prospective basis. Further, the standard eliminates the requirement to defer the recognition of excess tax benefits until the benefit is realized through a reduction to taxes payable. All excess tax benefits previously unrecognized, along with any valuation allowance, should be recognized on a modified retrospective basis as a cumulative adjustment to retained earnings as of the date of adoption. Under ASU 2016-09, an entity that applies the treasury stock method in calculating diluted earnings per share is required to exclude excess tax benefits and deficiencies from the calculation of assumed proceeds since such amounts are recognized in the income statement. Excess tax benefits should also be classified as operating activities in the same manner as other cash flows related to income taxes on the statement of cash flows, as such excess tax benefits no longer represent financing activities since they are recognized in the income statement, and should be applied prospectively or retrospectively to all periods presented.</w:t>
      </w:r>
    </w:p>
    <w:p>
      <w:pPr>
        <w:sectPr>
          <w:pgSz w:w="11900" w:h="16838" w:orient="portrait"/>
          <w:cols w:equalWidth="0" w:num="1">
            <w:col w:w="11400"/>
          </w:cols>
          <w:pgMar w:left="240" w:top="233" w:right="259" w:bottom="1440" w:gutter="0" w:footer="0" w:header="0"/>
        </w:sect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The Company adopted ASU 2016-09 as of January 1, 2017. The Company recorded a cumulative increase in retained earnings of $0.5 million at the beginning of the first quarter of 2017 with a corresponding increase in deferred tax assets related to the prior years’ unrecognized excess tax benefits. An equal amount of valuation allowance was also recorded against these deferred tax assets with a corresponding decrease to retained earnings resulting in a net impact of $0. In addition, tax deficiencies related to vested restricted stock units and canceled stock options during the first quarter of 2017 have been recognized in the current period’s income statement.</w:t>
      </w:r>
    </w:p>
    <w:p>
      <w:pPr>
        <w:spacing w:after="0" w:line="188"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ASU 2016-09 also allows an entity to elect as an accounting policy either to continue to estimate the total number of awards for which the requisite service period will not be rendered or to account for forfeitures for service based awards as they occur. An entity that elects to account for forfeitures as they occur should apply the accounting change on a modified retrospective basis as a cumulative effect adjustment to retained earnings as of the date of adoption. The Company elected as an accounting policy to account for forfeitures for service based awards as they occur, and as a result, the Company recorded a cumulative effect adjustment of $0.1 million to reduce retained earnings with a corresponding increase in additional paid in capital related to the prior years’ stock-based compensation expense as required under the modified retrospective approach. The tax effect of this adjustment, which included the impact of a valuation allowance was immaterial.</w:t>
      </w: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each component of accumulated other comprehensive loss, net of tax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Foreign currency</w:t>
            </w: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color w:val="auto"/>
                <w:w w:val="92"/>
              </w:rPr>
              <w:t>Derivatives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translation</w:t>
            </w:r>
          </w:p>
        </w:tc>
        <w:tc>
          <w:tcPr>
            <w:tcW w:w="200" w:type="dxa"/>
            <w:vAlign w:val="bottom"/>
          </w:tcPr>
          <w:p>
            <w:pPr>
              <w:spacing w:after="0"/>
              <w:rPr>
                <w:sz w:val="19"/>
                <w:szCs w:val="19"/>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color w:val="auto"/>
                <w:w w:val="93"/>
              </w:rPr>
              <w:t>qualifying as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Defined benefit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adjustments</w:t>
            </w:r>
          </w:p>
        </w:tc>
        <w:tc>
          <w:tcPr>
            <w:tcW w:w="200" w:type="dxa"/>
            <w:vAlign w:val="bottom"/>
          </w:tcPr>
          <w:p>
            <w:pPr>
              <w:spacing w:after="0"/>
              <w:rPr>
                <w:sz w:val="20"/>
                <w:szCs w:val="20"/>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color w:val="auto"/>
                <w:w w:val="84"/>
              </w:rPr>
              <w:t>hedges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pension plans</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Amounts reclassified from AOCI</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942</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Balance at March 31, 2017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(13,258)</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(2,458)</w:t>
            </w: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(15,709)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- 7 -</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8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20" w:type="dxa"/>
            <w:vAlign w:val="bottom"/>
            <w:tcBorders>
              <w:bottom w:val="single" w:sz="8" w:color="0000EE"/>
            </w:tcBorders>
            <w:gridSpan w:val="2"/>
          </w:tcPr>
          <w:p>
            <w:pPr>
              <w:ind w:left="40"/>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4020" w:type="dxa"/>
            <w:vAlign w:val="bottom"/>
            <w:gridSpan w:val="2"/>
          </w:tcPr>
          <w:p>
            <w:pPr>
              <w:ind w:left="360"/>
              <w:spacing w:after="0"/>
              <w:rPr>
                <w:sz w:val="20"/>
                <w:szCs w:val="20"/>
                <w:color w:val="auto"/>
              </w:rPr>
            </w:pPr>
            <w:r>
              <w:rPr>
                <w:rFonts w:ascii="Arial" w:cs="Arial" w:eastAsia="Arial" w:hAnsi="Arial"/>
                <w:sz w:val="18"/>
                <w:szCs w:val="18"/>
                <w:b w:val="1"/>
                <w:bCs w:val="1"/>
                <w:color w:val="auto"/>
              </w:rPr>
              <w:t>Goodwill and Other Intangible Assets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20" w:type="dxa"/>
            <w:vAlign w:val="bottom"/>
            <w:gridSpan w:val="2"/>
          </w:tcPr>
          <w:p>
            <w:pPr>
              <w:ind w:left="140"/>
              <w:spacing w:after="0"/>
              <w:rPr>
                <w:sz w:val="20"/>
                <w:szCs w:val="20"/>
                <w:color w:val="auto"/>
              </w:rPr>
            </w:pPr>
            <w:r>
              <w:rPr>
                <w:rFonts w:ascii="Arial" w:cs="Arial" w:eastAsia="Arial" w:hAnsi="Arial"/>
                <w:sz w:val="18"/>
                <w:szCs w:val="18"/>
                <w:color w:val="auto"/>
              </w:rPr>
              <w:t>Intangible assets consist of the following:</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March 31, 2017</w:t>
            </w:r>
          </w:p>
        </w:tc>
        <w:tc>
          <w:tcPr>
            <w:tcW w:w="2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December 31, 2016</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440" w:type="dxa"/>
            <w:vAlign w:val="bottom"/>
          </w:tcPr>
          <w:p>
            <w:pPr>
              <w:ind w:left="40"/>
              <w:spacing w:after="0"/>
              <w:rPr>
                <w:sz w:val="20"/>
                <w:szCs w:val="20"/>
                <w:color w:val="auto"/>
              </w:rPr>
            </w:pPr>
            <w:r>
              <w:rPr>
                <w:rFonts w:ascii="Arial" w:cs="Arial" w:eastAsia="Arial" w:hAnsi="Arial"/>
                <w:sz w:val="18"/>
                <w:szCs w:val="18"/>
                <w:b w:val="1"/>
                <w:bCs w:val="1"/>
                <w:color w:val="auto"/>
              </w:rPr>
              <w:t>(a)</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4"/>
          </w:tcPr>
          <w:p>
            <w:pPr>
              <w:jc w:val="right"/>
              <w:ind w:right="730"/>
              <w:spacing w:after="0" w:line="195" w:lineRule="exact"/>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Accumulated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w w:val="90"/>
              </w:rPr>
              <w:t>Accumulated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4"/>
          </w:tcPr>
          <w:p>
            <w:pPr>
              <w:spacing w:after="0"/>
              <w:rPr>
                <w:sz w:val="20"/>
                <w:szCs w:val="20"/>
                <w:color w:val="auto"/>
              </w:rPr>
            </w:pPr>
            <w:r>
              <w:rPr>
                <w:rFonts w:ascii="Arial" w:cs="Arial" w:eastAsia="Arial" w:hAnsi="Arial"/>
                <w:sz w:val="18"/>
                <w:szCs w:val="18"/>
                <w:color w:val="auto"/>
              </w:rPr>
              <w:t>Amortizable intangible assets: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w w:val="97"/>
              </w:rPr>
              <w:t>Amortization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Existing technology</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15,287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15,082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(11,710)</w:t>
            </w:r>
          </w:p>
        </w:tc>
        <w:tc>
          <w:tcPr>
            <w:tcW w:w="1120" w:type="dxa"/>
            <w:vAlign w:val="bottom"/>
            <w:tcBorders>
              <w:top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0"/>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7,436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(3,479)</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7.8</w:t>
            </w:r>
          </w:p>
        </w:tc>
        <w:tc>
          <w:tcPr>
            <w:tcW w:w="440" w:type="dxa"/>
            <w:vAlign w:val="bottom"/>
          </w:tcPr>
          <w:p>
            <w:pPr>
              <w:ind w:left="40"/>
              <w:spacing w:after="0"/>
              <w:rPr>
                <w:sz w:val="20"/>
                <w:szCs w:val="20"/>
                <w:color w:val="auto"/>
              </w:rPr>
            </w:pPr>
            <w:r>
              <w:rPr>
                <w:rFonts w:ascii="Arial" w:cs="Arial" w:eastAsia="Arial" w:hAnsi="Arial"/>
                <w:sz w:val="18"/>
                <w:szCs w:val="18"/>
                <w:color w:val="auto"/>
                <w:w w:val="80"/>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Distribution agreements/customer relationships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(12,862)</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0"/>
              </w:rPr>
              <w:t>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12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1.9</w:t>
            </w:r>
          </w:p>
        </w:tc>
        <w:tc>
          <w:tcPr>
            <w:tcW w:w="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80"/>
              </w:rPr>
              <w:t>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left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amortizable intangible assets</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46,066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45,641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(28,170)</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38,398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38,032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indefinite-lived intangible assets</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w w:val="95"/>
              </w:rPr>
              <w:t>Total goodwill and other indefinite-lived intangible assets</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39,614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39,241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Total intangible assets, gross</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85,680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84,882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gridSpan w:val="4"/>
            <w:vMerge w:val="restart"/>
          </w:tcPr>
          <w:p>
            <w:pPr>
              <w:spacing w:after="0"/>
              <w:rPr>
                <w:sz w:val="20"/>
                <w:szCs w:val="20"/>
                <w:color w:val="auto"/>
              </w:rPr>
            </w:pPr>
            <w:r>
              <w:rPr>
                <w:rFonts w:ascii="Arial" w:cs="Arial" w:eastAsia="Arial" w:hAnsi="Arial"/>
                <w:sz w:val="18"/>
                <w:szCs w:val="18"/>
                <w:color w:val="auto"/>
              </w:rPr>
              <w:t>(a) Weighted average life as of March 31, 2017.</w:t>
            </w: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2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carrying amount of goodwill for the three months ended March 31, 2017 is as follows:</w:t>
      </w:r>
    </w:p>
    <w:p>
      <w:pPr>
        <w:spacing w:after="0" w:line="23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8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192"/>
        </w:trPr>
        <w:tc>
          <w:tcPr>
            <w:tcW w:w="48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Balance at December 31, 2016</w:t>
            </w:r>
          </w:p>
        </w:tc>
        <w:tc>
          <w:tcPr>
            <w:tcW w:w="2240" w:type="dxa"/>
            <w:vAlign w:val="bottom"/>
            <w:gridSpan w:val="2"/>
            <w:shd w:val="clear" w:color="auto" w:fill="CCEEFF"/>
          </w:tcPr>
          <w:p>
            <w:pPr>
              <w:jc w:val="right"/>
              <w:ind w:right="325"/>
              <w:spacing w:after="0" w:line="19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38,032</w:t>
            </w:r>
          </w:p>
        </w:tc>
      </w:tr>
      <w:tr>
        <w:trPr>
          <w:trHeight w:val="230"/>
        </w:trPr>
        <w:tc>
          <w:tcPr>
            <w:tcW w:w="4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Effect of change in currency translation</w:t>
            </w:r>
          </w:p>
        </w:tc>
        <w:tc>
          <w:tcPr>
            <w:tcW w:w="17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r>
      <w:tr>
        <w:trPr>
          <w:trHeight w:val="223"/>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17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38,398</w:t>
            </w:r>
          </w:p>
        </w:tc>
      </w:tr>
      <w:tr>
        <w:trPr>
          <w:trHeight w:val="20"/>
        </w:trPr>
        <w:tc>
          <w:tcPr>
            <w:tcW w:w="4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Amortization of intangible assets</w:t>
      </w:r>
    </w:p>
    <w:p>
      <w:pPr>
        <w:spacing w:after="0" w:line="225"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Intangible asset amortization expense was $0.6 million and $0.7 million for the three months ended March 31, 2017 and 2016, respectively. Amortization expense of existing amortizable intangible assets is currently estimated to be $2.4 million for the year ending December 31, 2017, $2.3 million for the year ending December 31, 2018, $2.1 million for the year ending December 31, 2019, $2.1 million for the year ending December 31, 2020 and $2.1 million for the year ending December 31, 2021.</w:t>
      </w:r>
    </w:p>
    <w:p>
      <w:pPr>
        <w:sectPr>
          <w:pgSz w:w="11900" w:h="16838" w:orient="portrait"/>
          <w:cols w:equalWidth="0" w:num="1">
            <w:col w:w="11420"/>
          </w:cols>
          <w:pgMar w:left="240" w:top="216" w:right="239" w:bottom="1440" w:gutter="0" w:footer="0" w:header="0"/>
        </w:sectPr>
      </w:pPr>
    </w:p>
    <w:p>
      <w:pPr>
        <w:spacing w:after="0" w:line="39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right"/>
        <w:ind w:right="3400"/>
        <w:spacing w:after="0"/>
        <w:rPr>
          <w:sz w:val="20"/>
          <w:szCs w:val="20"/>
          <w:color w:val="auto"/>
        </w:rPr>
      </w:pPr>
      <w:r>
        <w:rPr>
          <w:rFonts w:ascii="Arial" w:cs="Arial" w:eastAsia="Arial" w:hAnsi="Arial"/>
          <w:sz w:val="18"/>
          <w:szCs w:val="18"/>
          <w:color w:val="auto"/>
        </w:rPr>
        <w:t>Inventories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Finished goods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Work in process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Raw materials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195"/>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jc w:val="right"/>
              <w:ind w:right="950"/>
              <w:spacing w:after="0" w:line="195" w:lineRule="exact"/>
              <w:rPr>
                <w:sz w:val="20"/>
                <w:szCs w:val="20"/>
                <w:color w:val="auto"/>
              </w:rPr>
            </w:pPr>
            <w:r>
              <w:rPr>
                <w:rFonts w:ascii="Arial" w:cs="Arial" w:eastAsia="Arial" w:hAnsi="Arial"/>
                <w:sz w:val="18"/>
                <w:szCs w:val="18"/>
                <w:color w:val="auto"/>
              </w:rPr>
              <w:t>(in thousands)</w:t>
            </w:r>
          </w:p>
        </w:tc>
      </w:tr>
      <w:tr>
        <w:trPr>
          <w:trHeight w:val="216"/>
        </w:trPr>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9,686</w:t>
            </w:r>
          </w:p>
        </w:tc>
        <w:tc>
          <w:tcPr>
            <w:tcW w:w="18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9,340</w:t>
            </w:r>
          </w:p>
        </w:tc>
      </w:t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30"/>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9,792</w:t>
            </w:r>
          </w:p>
        </w:tc>
      </w:tr>
      <w:tr>
        <w:trPr>
          <w:trHeight w:val="223"/>
        </w:trPr>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19,955</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-599440</wp:posOffset>
            </wp:positionV>
            <wp:extent cx="57975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-325120</wp:posOffset>
            </wp:positionV>
            <wp:extent cx="579755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60" w:space="720"/>
            <w:col w:w="4240"/>
          </w:cols>
          <w:pgMar w:left="240" w:top="216" w:right="23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of March 31, 2017 and December 31, 2016, property, plant and equipment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10"/>
        </w:trPr>
        <w:tc>
          <w:tcPr>
            <w:tcW w:w="4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4"/>
          </w:tcPr>
          <w:p>
            <w:pPr>
              <w:jc w:val="right"/>
              <w:ind w:right="950"/>
              <w:spacing w:after="0"/>
              <w:rPr>
                <w:sz w:val="20"/>
                <w:szCs w:val="20"/>
                <w:color w:val="auto"/>
              </w:rPr>
            </w:pPr>
            <w:r>
              <w:rPr>
                <w:rFonts w:ascii="Arial" w:cs="Arial" w:eastAsia="Arial" w:hAnsi="Arial"/>
                <w:sz w:val="18"/>
                <w:szCs w:val="18"/>
                <w:color w:val="auto"/>
              </w:rPr>
              <w:t>(in thousands)</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and leasehold improvements</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7,224</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1,274</w:t>
            </w:r>
          </w:p>
        </w:tc>
      </w:tr>
      <w:tr>
        <w:trPr>
          <w:trHeight w:val="23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14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10"/>
        </w:trPr>
        <w:tc>
          <w:tcPr>
            <w:tcW w:w="4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18,904</w:t>
            </w:r>
          </w:p>
        </w:tc>
      </w:tr>
      <w:tr>
        <w:trPr>
          <w:trHeight w:val="23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(15,074)</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(14,608)</w:t>
            </w: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w:t>
            </w:r>
          </w:p>
        </w:tc>
      </w:tr>
      <w:tr>
        <w:trPr>
          <w:trHeight w:val="20"/>
        </w:trPr>
        <w:tc>
          <w:tcPr>
            <w:tcW w:w="4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As part of the acquisitions of Multi Channel Systems MCS GmbH (MCS) and Triangle BioSystems, Inc. (TBSI) in 2014, the Company signed lease agreements with the former owners of the acquired companies. The principals of such former owners of MCS and TBSI were employees of the Company as of March 31, 2017 and 2016. Pursuant to a lease agreement, the Company incurred rent expense of approximately $58 thousand to the former owners of MCS for both the three months ended March 31, 2017 and 2016, respectively. The Company incurred rent expense of approximately $11 thousand to the former owner of TBSI for both the three months ended March 31, 2017 and 2016, respectively.</w:t>
      </w:r>
    </w:p>
    <w:p>
      <w:pPr>
        <w:spacing w:after="0" w:line="38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Warranties are estimated and accrued at the time revenues are recorded. A rollforward of the Company’s product warranty accrual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w w:val="95"/>
              </w:rPr>
              <w:t>Beginning</w:t>
            </w:r>
          </w:p>
        </w:tc>
        <w:tc>
          <w:tcPr>
            <w:tcW w:w="156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Additions/</w:t>
            </w:r>
          </w:p>
        </w:tc>
        <w:tc>
          <w:tcPr>
            <w:tcW w:w="36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Balance</w:t>
            </w: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Payments</w:t>
            </w: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(Credits)</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920" w:type="dxa"/>
            <w:vAlign w:val="bottom"/>
            <w:gridSpan w:val="2"/>
          </w:tcPr>
          <w:p>
            <w:pPr>
              <w:jc w:val="right"/>
              <w:ind w:right="910"/>
              <w:spacing w:after="0"/>
              <w:rPr>
                <w:sz w:val="20"/>
                <w:szCs w:val="20"/>
                <w:color w:val="auto"/>
              </w:rPr>
            </w:pPr>
            <w:r>
              <w:rPr>
                <w:rFonts w:ascii="Arial" w:cs="Arial" w:eastAsia="Arial" w:hAnsi="Arial"/>
                <w:sz w:val="18"/>
                <w:szCs w:val="18"/>
                <w:color w:val="auto"/>
              </w:rPr>
              <w:t>(in thousands)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147</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(97)</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143</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2017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193</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ind w:right="440" w:firstLine="441"/>
        <w:spacing w:after="0" w:line="286" w:lineRule="auto"/>
        <w:rPr>
          <w:sz w:val="20"/>
          <w:szCs w:val="20"/>
          <w:color w:val="auto"/>
        </w:rPr>
      </w:pPr>
      <w:r>
        <w:rPr>
          <w:rFonts w:ascii="Arial" w:cs="Arial" w:eastAsia="Arial" w:hAnsi="Arial"/>
          <w:sz w:val="17"/>
          <w:szCs w:val="17"/>
          <w:color w:val="auto"/>
        </w:rPr>
        <w:t>One of the Company’s subsidiaries in the United Kingdom, or UK, Biochrom Limited, maintains contributory, defined benefit pension plans for substantially all of its employees. As of June 30, 2014, these defined benefit pension plans were closed to new employees, as well as closed to the future accrual of benefits for existing employees. The components of the Company’s defined benefit pension expense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4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92"/>
              </w:rPr>
              <w:t>Three Months Ended</w:t>
            </w:r>
          </w:p>
        </w:tc>
        <w:tc>
          <w:tcPr>
            <w:tcW w:w="46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4"/>
        </w:trPr>
        <w:tc>
          <w:tcPr>
            <w:tcW w:w="4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365"/>
              <w:spacing w:after="0"/>
              <w:rPr>
                <w:sz w:val="20"/>
                <w:szCs w:val="20"/>
                <w:color w:val="auto"/>
              </w:rPr>
            </w:pPr>
            <w:r>
              <w:rPr>
                <w:rFonts w:ascii="Arial" w:cs="Arial" w:eastAsia="Arial" w:hAnsi="Arial"/>
                <w:sz w:val="18"/>
                <w:szCs w:val="18"/>
                <w:b w:val="1"/>
                <w:bCs w:val="1"/>
                <w:color w:val="auto"/>
                <w:w w:val="93"/>
              </w:rPr>
              <w:t>March 31,</w:t>
            </w:r>
          </w:p>
        </w:tc>
        <w:tc>
          <w:tcPr>
            <w:tcW w:w="460" w:type="dxa"/>
            <w:vAlign w:val="bottom"/>
            <w:tcBorders>
              <w:bottom w:val="single" w:sz="8" w:color="auto"/>
            </w:tcBorders>
          </w:tcPr>
          <w:p>
            <w:pPr>
              <w:spacing w:after="0"/>
              <w:rPr>
                <w:sz w:val="20"/>
                <w:szCs w:val="20"/>
                <w:color w:val="auto"/>
              </w:rPr>
            </w:pPr>
          </w:p>
        </w:tc>
        <w:tc>
          <w:tcPr>
            <w:tcW w:w="2860" w:type="dxa"/>
            <w:vAlign w:val="bottom"/>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19"/>
                <w:szCs w:val="19"/>
                <w:color w:val="auto"/>
              </w:rPr>
            </w:pPr>
          </w:p>
        </w:tc>
        <w:tc>
          <w:tcPr>
            <w:tcW w:w="2860" w:type="dxa"/>
            <w:vAlign w:val="bottom"/>
          </w:tcPr>
          <w:p>
            <w:pPr>
              <w:spacing w:after="0"/>
              <w:rPr>
                <w:sz w:val="19"/>
                <w:szCs w:val="19"/>
                <w:color w:val="auto"/>
              </w:rPr>
            </w:pPr>
          </w:p>
        </w:tc>
      </w:tr>
      <w:tr>
        <w:trPr>
          <w:trHeight w:val="210"/>
        </w:trPr>
        <w:tc>
          <w:tcPr>
            <w:tcW w:w="4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gridSpan w:val="3"/>
          </w:tcPr>
          <w:p>
            <w:pPr>
              <w:jc w:val="center"/>
              <w:ind w:right="365"/>
              <w:spacing w:after="0"/>
              <w:rPr>
                <w:sz w:val="20"/>
                <w:szCs w:val="20"/>
                <w:color w:val="auto"/>
              </w:rPr>
            </w:pPr>
            <w:r>
              <w:rPr>
                <w:rFonts w:ascii="Arial" w:cs="Arial" w:eastAsia="Arial" w:hAnsi="Arial"/>
                <w:sz w:val="18"/>
                <w:szCs w:val="18"/>
                <w:color w:val="auto"/>
                <w:w w:val="89"/>
              </w:rPr>
              <w:t>(in thousands)</w:t>
            </w:r>
          </w:p>
        </w:tc>
        <w:tc>
          <w:tcPr>
            <w:tcW w:w="46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benefit cost:</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Interest cost</w:t>
            </w:r>
          </w:p>
        </w:tc>
        <w:tc>
          <w:tcPr>
            <w:tcW w:w="2300" w:type="dxa"/>
            <w:vAlign w:val="bottom"/>
            <w:gridSpan w:val="2"/>
          </w:tcPr>
          <w:p>
            <w:pPr>
              <w:jc w:val="center"/>
              <w:ind w:left="5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60" w:type="dxa"/>
            <w:vAlign w:val="bottom"/>
            <w:gridSpan w:val="2"/>
          </w:tcPr>
          <w:p>
            <w:pPr>
              <w:jc w:val="right"/>
              <w:ind w:right="745"/>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168</w:t>
            </w:r>
          </w:p>
        </w:tc>
        <w:tc>
          <w:tcPr>
            <w:tcW w:w="286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(181)</w:t>
            </w:r>
          </w:p>
        </w:tc>
        <w:tc>
          <w:tcPr>
            <w:tcW w:w="2860" w:type="dxa"/>
            <w:vAlign w:val="bottom"/>
          </w:tcPr>
          <w:p>
            <w:pPr>
              <w:spacing w:after="0"/>
              <w:rPr>
                <w:sz w:val="18"/>
                <w:szCs w:val="18"/>
                <w:color w:val="auto"/>
              </w:rPr>
            </w:pPr>
          </w:p>
        </w:tc>
      </w:tr>
      <w:tr>
        <w:trPr>
          <w:trHeight w:val="230"/>
        </w:trPr>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amortization loss</w:t>
            </w:r>
          </w:p>
        </w:tc>
        <w:tc>
          <w:tcPr>
            <w:tcW w:w="14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860" w:type="dxa"/>
            <w:vAlign w:val="bottom"/>
          </w:tcPr>
          <w:p>
            <w:pPr>
              <w:spacing w:after="0"/>
              <w:rPr>
                <w:sz w:val="19"/>
                <w:szCs w:val="19"/>
                <w:color w:val="auto"/>
              </w:rPr>
            </w:pPr>
          </w:p>
        </w:tc>
      </w:tr>
      <w:tr>
        <w:trPr>
          <w:trHeight w:val="223"/>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4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6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629"/>
        </w:trPr>
        <w:tc>
          <w:tcPr>
            <w:tcW w:w="4260" w:type="dxa"/>
            <w:vAlign w:val="bottom"/>
          </w:tcPr>
          <w:p>
            <w:pPr>
              <w:spacing w:after="0"/>
              <w:rPr>
                <w:sz w:val="24"/>
                <w:szCs w:val="24"/>
                <w:color w:val="auto"/>
              </w:rPr>
            </w:pPr>
          </w:p>
        </w:tc>
        <w:tc>
          <w:tcPr>
            <w:tcW w:w="2300" w:type="dxa"/>
            <w:vAlign w:val="bottom"/>
            <w:gridSpan w:val="2"/>
          </w:tcPr>
          <w:p>
            <w:pPr>
              <w:jc w:val="center"/>
              <w:ind w:left="550"/>
              <w:spacing w:after="0"/>
              <w:rPr>
                <w:sz w:val="20"/>
                <w:szCs w:val="20"/>
                <w:color w:val="auto"/>
              </w:rPr>
            </w:pPr>
            <w:r>
              <w:rPr>
                <w:rFonts w:ascii="Arial" w:cs="Arial" w:eastAsia="Arial" w:hAnsi="Arial"/>
                <w:sz w:val="18"/>
                <w:szCs w:val="18"/>
                <w:color w:val="auto"/>
                <w:w w:val="93"/>
              </w:rPr>
              <w:t>- 9 -</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68"/>
        </w:trPr>
        <w:tc>
          <w:tcPr>
            <w:tcW w:w="426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8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233" w:right="239"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441"/>
        <w:spacing w:after="0" w:line="308" w:lineRule="auto"/>
        <w:rPr>
          <w:sz w:val="20"/>
          <w:szCs w:val="20"/>
          <w:color w:val="auto"/>
        </w:rPr>
      </w:pPr>
      <w:r>
        <w:rPr>
          <w:rFonts w:ascii="Arial" w:cs="Arial" w:eastAsia="Arial" w:hAnsi="Arial"/>
          <w:sz w:val="17"/>
          <w:szCs w:val="17"/>
          <w:color w:val="auto"/>
        </w:rPr>
        <w:t>For the three months ended March 31, 2017 and 2016, the Company contributed $0.2 million, for both periods, to its defined benefit pension plans. The Company expects to contribute approximately $0.5 million to its defined benefit pension plans during the remainder of 2017.</w:t>
      </w:r>
    </w:p>
    <w:p>
      <w:pPr>
        <w:spacing w:after="0" w:line="147"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The Company had an underfunded pension liability of approximately $3.2 million and $3.0 million, as of March 31, 2017 and December 31, 2016, respectively, included in the other long term liabilities line item in the consolidated balance sheets.</w:t>
      </w:r>
    </w:p>
    <w:p>
      <w:pPr>
        <w:spacing w:after="0" w:line="38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 Company has noncancelable operating leases for office and warehouse space expiring at various dates through 2022 and thereafter. Rent expense, which is recorded on a straight-line basis, is estimated to be $1.7 million for the year ended December 31, 2017. Rent expense was approximately $0.4 million and $0.5 million for the three months ended March 31, 2017 and 2016, respectively.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Future minimum lease payments for operating leases, with initial or remaining terms in excess of one year at March 31, 2017,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Operating</w:t>
            </w:r>
          </w:p>
        </w:tc>
      </w:tr>
      <w:tr>
        <w:trPr>
          <w:trHeight w:val="234"/>
        </w:trPr>
        <w:tc>
          <w:tcPr>
            <w:tcW w:w="6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1"/>
              </w:rPr>
              <w:t>Leases</w:t>
            </w:r>
          </w:p>
        </w:tc>
      </w:tr>
      <w:tr>
        <w:trPr>
          <w:trHeight w:val="210"/>
        </w:trPr>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(in thousands)</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1,618</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1,098</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r>
      <w:tr>
        <w:trPr>
          <w:trHeight w:val="230"/>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r>
      <w:tr>
        <w:trPr>
          <w:trHeight w:val="223"/>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minimum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8,681</w:t>
            </w:r>
          </w:p>
        </w:tc>
      </w:tr>
      <w:tr>
        <w:trPr>
          <w:trHeight w:val="20"/>
        </w:trPr>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Capital Stock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On February 5, 2008, the Company’s Board of Directors adopted a Shareholder Rights Plan and declared a dividend distribution of one preferred stock purchase right for each outstanding share of the Company’s common stock to shareholders of record as of the close of business on February 6, 2008. Initially, these rights will not be exercisable and will trade with the shares of the Company’s common stock. Under the Shareholder Rights Plan, the rights generally will become exercisable if a person becomes an “acquiring person” by acquiring 20% or more of the common stock of the Company or if a person commences a tender offer that could result in that person owning 20% or more of the common stock of the Company. If a person becomes an acquiring person, each holder of a right (other than the acquiring person) would be entitled to purchase, at the then-current exercise price, such number of shares of preferred stock which are equivalent to shares of the Company’s common stock having a value of twice the exercise price of the right. Unless the Board of Directors elects to extend such plan, the Shareholder Rights Plan will expire in February 2018.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Company’s Board of Directors has the authority to issue up to 5.0 million shares of preferred stock and to determine the price privileges and other terms of the shares. The Board of Directors may exercise this authority without any further approval of stockholders. As of March 31, 2017, the Company had no preferred stock issued or outstanding.</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Employee Stock Purchase Plan (as amended, the “ESPP”)</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In 2000, the Company approved the ESPP. Under this ESPP, participating employees can authorize the Company to withhold a portion of their base pay during consecutive six-month payment periods for the purchase of shares of the Company’s common stock. At the conclusion of the period, participating employees can purchase shares of the Company’s common stock at 85% of the lower of the fair market value of the Company’s common stock at the beginning or end of the period. Shares are issued under the ESPP for the six-month periods ending June 30 and December 31. Under this plan, 750,000 shares of common stock are authorized for issuance of which 725,239 shares were issued as of March 31, 2017. There were no shares issued under the ESPP during the three months ended March 31, 2017 and 2016.</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Stock Option and Equity Incentive Plans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Third Amended and Restated 2000 Stock Option and Incentive Plan (as amended, the “Third A&amp;R Plan”)</w:t>
      </w:r>
    </w:p>
    <w:p>
      <w:pPr>
        <w:spacing w:after="0" w:line="225"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The Second Amendment to the Third A&amp;R Plan (the “Amendment”) was adopted by the Board of Directors on April 3, 2015. Such Amendment was approved by the stockholders at the Company’s 2015 Annual Meeting of Stockholders. Pursuant to the Amendment, the aggregate number of shares authorized for issuance under the Third A&amp;R Plan was increased by 2,500,000 shares to 17,508,929.</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Restricted Stock Units with a Market Condition (the “Market Condition RSU’s”)</w:t>
      </w:r>
    </w:p>
    <w:p>
      <w:pPr>
        <w:spacing w:after="0" w:line="225"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On August 3, 2015, the Compensation Committee of the Board of Directors of the Company approved and granted deferred stock awards of Market Condition RSU’s to certain members of the Company’s management team under the Third A&amp;R Plan. The vesting of these Market Condition RSU’s is cliff-based and linked to the achievement of a relative total shareholder return of the Company’s common stock from August 3, 2015 to the earlier of (i) August 3, 2018 or (ii) upon a change of control (measured relative to the Russell 3000 index and based on the 20-day trading average price before each such date). As of March 31, 2017, the target number of these restricted stock units that may be earned is 182,150 shares; the maximum amount is 150% of the target number.</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Payment Awards</w:t>
      </w:r>
    </w:p>
    <w:p>
      <w:pPr>
        <w:spacing w:after="0" w:line="225"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The Company accounts for stock-based payment awards in accordance with the provisions of FASB ASC 718, which requires it to recognize compensation expense for all stock-based payment awards made to employees and directors including stock options, restricted stock units, Market Condition RSU’s and employee stock purchases related to the ESPP.</w:t>
      </w:r>
    </w:p>
    <w:p>
      <w:pPr>
        <w:spacing w:after="0" w:line="181" w:lineRule="exact"/>
        <w:rPr>
          <w:sz w:val="20"/>
          <w:szCs w:val="20"/>
          <w:color w:val="auto"/>
        </w:rPr>
      </w:pPr>
    </w:p>
    <w:p>
      <w:pPr>
        <w:ind w:right="80" w:firstLine="486"/>
        <w:spacing w:after="0" w:line="312" w:lineRule="auto"/>
        <w:rPr>
          <w:sz w:val="20"/>
          <w:szCs w:val="20"/>
          <w:color w:val="auto"/>
        </w:rPr>
      </w:pPr>
      <w:r>
        <w:rPr>
          <w:rFonts w:ascii="Arial" w:cs="Arial" w:eastAsia="Arial" w:hAnsi="Arial"/>
          <w:sz w:val="16"/>
          <w:szCs w:val="16"/>
          <w:color w:val="auto"/>
        </w:rPr>
        <w:t>The Company adopted ASU 2016-09 as of January 1, 2017. As disclosed in footnote 2, as a result of this adoption, the Company has elected as an accounting policy to account for forfeitures for service based awards as they occur, with no adjustment for estimated forfeitures. The Company recognized as of January 1, 2017, a cumulative effect adjustment of $0.1 million to reduce retained earnings as required under the modified retrospective approach.</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Stock option and restricted stock unit activity under the Company’s Third A&amp;R Plan for the three months ended March 31, 2017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460" w:type="dxa"/>
            <w:vAlign w:val="bottom"/>
            <w:gridSpan w:val="5"/>
          </w:tcPr>
          <w:p>
            <w:pPr>
              <w:ind w:left="640"/>
              <w:spacing w:after="0"/>
              <w:rPr>
                <w:sz w:val="20"/>
                <w:szCs w:val="20"/>
                <w:color w:val="auto"/>
              </w:rPr>
            </w:pPr>
            <w:r>
              <w:rPr>
                <w:rFonts w:ascii="Arial" w:cs="Arial" w:eastAsia="Arial" w:hAnsi="Arial"/>
                <w:sz w:val="18"/>
                <w:szCs w:val="18"/>
                <w:b w:val="1"/>
                <w:bCs w:val="1"/>
                <w:color w:val="auto"/>
              </w:rPr>
              <w:t>Stock Options</w:t>
            </w:r>
          </w:p>
        </w:tc>
        <w:tc>
          <w:tcPr>
            <w:tcW w:w="236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Restricted Stock Units</w:t>
            </w:r>
          </w:p>
        </w:tc>
        <w:tc>
          <w:tcPr>
            <w:tcW w:w="100" w:type="dxa"/>
            <w:vAlign w:val="bottom"/>
          </w:tcPr>
          <w:p>
            <w:pPr>
              <w:spacing w:after="0"/>
              <w:rPr>
                <w:sz w:val="20"/>
                <w:szCs w:val="20"/>
                <w:color w:val="auto"/>
              </w:rPr>
            </w:pPr>
          </w:p>
        </w:tc>
        <w:tc>
          <w:tcPr>
            <w:tcW w:w="250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Market Condition RSU's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Restricted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Market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Stock Units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Grant Date</w:t>
            </w: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Condition RSU's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0"/>
                <w:szCs w:val="20"/>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Outstanding</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4,096,818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1,072,653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182,150</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445,690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Vested (RSUs)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(251,570)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Cancelled / forfeited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Balance at March 31, 2017</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3,968,897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1,262,583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182,150</w:t>
            </w:r>
          </w:p>
        </w:tc>
        <w:tc>
          <w:tcPr>
            <w:tcW w:w="6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color w:val="auto"/>
              </w:rPr>
              <w:t>- 11 -</w:t>
            </w: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8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weighted average fair value of the options granted under the Third A&amp;R Plan during the three months ended March 31, 2017 and 2016 was $1.27 and $1.11, respectively. The following assumptions were used to estimate the fair value, using the Black-Scholes option pricing model, of stock options granted during the three months ended March 31, 2017 and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19"/>
                <w:szCs w:val="19"/>
                <w:color w:val="auto"/>
              </w:rPr>
            </w:pPr>
          </w:p>
        </w:tc>
        <w:tc>
          <w:tcPr>
            <w:tcW w:w="3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6020" w:type="dxa"/>
            <w:vAlign w:val="bottom"/>
          </w:tcPr>
          <w:p>
            <w:pPr>
              <w:spacing w:after="0"/>
              <w:rPr>
                <w:sz w:val="20"/>
                <w:szCs w:val="20"/>
                <w:color w:val="auto"/>
              </w:rPr>
            </w:pPr>
          </w:p>
        </w:tc>
        <w:tc>
          <w:tcPr>
            <w:tcW w:w="206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b w:val="1"/>
                <w:bCs w:val="1"/>
                <w:color w:val="auto"/>
                <w:w w:val="96"/>
              </w:rPr>
              <w:t>March 31,</w:t>
            </w:r>
          </w:p>
        </w:tc>
        <w:tc>
          <w:tcPr>
            <w:tcW w:w="106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41.07 %</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40.26 %</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1.89 %</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1.48 %</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Expected holding period (in years)</w:t>
            </w:r>
          </w:p>
        </w:tc>
        <w:tc>
          <w:tcPr>
            <w:tcW w:w="20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5.20 years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 years</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Dividend yield</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Company used historical volatility to calculate the expected volatility for each grant as of the grant date. Historical volatility was determined by calculating the mean reversion of the daily adjusted closing stock price. The risk-free interest rate assumption is based upon observed U.S. Treasury bill interest rates (risk-free) appropriate for the term of the Company’s stock options and Market Condition RSU’s. The expected holding period of stock options represents the period of time options are expected to be outstanding and is based on historical experience. The vesting period ranges from one to four years and the contractual life is ten years. The correlation coefficient, used to value the Market Condition RSU’s, represents the way in which entities move in relation to the Russell 3000 index as a whole.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Stock-based compensation expense related to stock options, restricted stock units, Market Condition RSU’s and the ESPP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 was allocated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19"/>
                <w:szCs w:val="19"/>
                <w:color w:val="auto"/>
              </w:rPr>
            </w:pPr>
          </w:p>
        </w:tc>
        <w:tc>
          <w:tcPr>
            <w:tcW w:w="248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19"/>
                <w:szCs w:val="19"/>
                <w:color w:val="auto"/>
              </w:rPr>
            </w:pPr>
          </w:p>
        </w:tc>
      </w:tr>
      <w:tr>
        <w:trPr>
          <w:trHeight w:val="234"/>
        </w:trPr>
        <w:tc>
          <w:tcPr>
            <w:tcW w:w="56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right="405"/>
              <w:spacing w:after="0"/>
              <w:rPr>
                <w:sz w:val="20"/>
                <w:szCs w:val="20"/>
                <w:color w:val="auto"/>
              </w:rPr>
            </w:pPr>
            <w:r>
              <w:rPr>
                <w:rFonts w:ascii="Arial" w:cs="Arial" w:eastAsia="Arial" w:hAnsi="Arial"/>
                <w:sz w:val="18"/>
                <w:szCs w:val="18"/>
                <w:b w:val="1"/>
                <w:bCs w:val="1"/>
                <w:color w:val="auto"/>
                <w:w w:val="93"/>
              </w:rPr>
              <w:t>March 31,</w:t>
            </w:r>
          </w:p>
        </w:tc>
        <w:tc>
          <w:tcPr>
            <w:tcW w:w="420" w:type="dxa"/>
            <w:vAlign w:val="bottom"/>
            <w:tcBorders>
              <w:bottom w:val="single" w:sz="8" w:color="auto"/>
            </w:tcBorders>
          </w:tcPr>
          <w:p>
            <w:pPr>
              <w:spacing w:after="0"/>
              <w:rPr>
                <w:sz w:val="20"/>
                <w:szCs w:val="20"/>
                <w:color w:val="auto"/>
              </w:rPr>
            </w:pPr>
          </w:p>
        </w:tc>
      </w:tr>
      <w:tr>
        <w:trPr>
          <w:trHeight w:val="223"/>
        </w:trPr>
        <w:tc>
          <w:tcPr>
            <w:tcW w:w="56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r>
      <w:tr>
        <w:trPr>
          <w:trHeight w:val="210"/>
        </w:trPr>
        <w:tc>
          <w:tcPr>
            <w:tcW w:w="5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gridSpan w:val="3"/>
          </w:tcPr>
          <w:p>
            <w:pPr>
              <w:jc w:val="center"/>
              <w:ind w:right="405"/>
              <w:spacing w:after="0"/>
              <w:rPr>
                <w:sz w:val="20"/>
                <w:szCs w:val="20"/>
                <w:color w:val="auto"/>
              </w:rPr>
            </w:pPr>
            <w:r>
              <w:rPr>
                <w:rFonts w:ascii="Arial" w:cs="Arial" w:eastAsia="Arial" w:hAnsi="Arial"/>
                <w:sz w:val="18"/>
                <w:szCs w:val="18"/>
                <w:color w:val="auto"/>
                <w:w w:val="89"/>
              </w:rPr>
              <w:t>(in thousands)</w:t>
            </w:r>
          </w:p>
        </w:tc>
        <w:tc>
          <w:tcPr>
            <w:tcW w:w="42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100" w:type="dxa"/>
            <w:vAlign w:val="bottom"/>
            <w:gridSpan w:val="2"/>
            <w:shd w:val="clear" w:color="auto" w:fill="CCEEFF"/>
          </w:tcPr>
          <w:p>
            <w:pPr>
              <w:jc w:val="right"/>
              <w:ind w:right="78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18"/>
                <w:szCs w:val="18"/>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30"/>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0"/>
        </w:trPr>
        <w:tc>
          <w:tcPr>
            <w:tcW w:w="5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did not capitalize any stock-based compensation.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Basic earnings per share is based upon net income divided by the number of weighted average common shares outstanding during the period. The calculation of diluted earnings per share assumes conversion of stock options, restricted stock units and Market Condition RSU’s into common stock using the treasury method. The weighted average number of shares used to compute basic and diluted earnings per share consists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3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300" w:type="dxa"/>
            <w:vAlign w:val="bottom"/>
            <w:tcBorders>
              <w:bottom w:val="single" w:sz="8" w:color="auto"/>
            </w:tcBorders>
            <w:gridSpan w:val="3"/>
          </w:tcPr>
          <w:p>
            <w:pPr>
              <w:jc w:val="center"/>
              <w:ind w:left="1070"/>
              <w:spacing w:after="0"/>
              <w:rPr>
                <w:sz w:val="20"/>
                <w:szCs w:val="20"/>
                <w:color w:val="auto"/>
              </w:rPr>
            </w:pPr>
            <w:r>
              <w:rPr>
                <w:rFonts w:ascii="Arial" w:cs="Arial" w:eastAsia="Arial" w:hAnsi="Arial"/>
                <w:sz w:val="18"/>
                <w:szCs w:val="18"/>
                <w:b w:val="1"/>
                <w:bCs w:val="1"/>
                <w:color w:val="auto"/>
                <w:w w:val="93"/>
              </w:rPr>
              <w:t>March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34,579,473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34,013,352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tcPr>
          <w:p>
            <w:pPr>
              <w:spacing w:after="0" w:line="201" w:lineRule="exact"/>
              <w:rPr>
                <w:sz w:val="20"/>
                <w:szCs w:val="20"/>
                <w:color w:val="auto"/>
              </w:rPr>
            </w:pPr>
            <w:r>
              <w:rPr>
                <w:rFonts w:ascii="Arial" w:cs="Arial" w:eastAsia="Arial" w:hAnsi="Arial"/>
                <w:sz w:val="18"/>
                <w:szCs w:val="18"/>
                <w:color w:val="auto"/>
                <w:w w:val="93"/>
              </w:rPr>
              <w:t>Effect of assumed conversion of employee and director stock options, restricted stock units</w:t>
            </w: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and Market Condition RSU's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34,579,473</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34,013,352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Excluded from the shares used in calculating the diluted earnings per common share in the above table are options, restricted stock units and Market Condition RSU’s of approximately 5,413,630 and 5,461,017 shares of common stock for the three months ended March 31, 2017 and 2016, respectively, as the impact of these shares would be anti-dilutive.</w:t>
      </w: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233" w:right="379"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w:t>
      </w:r>
    </w:p>
    <w:p>
      <w:pPr>
        <w:spacing w:after="0" w:line="229"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On August 7, 2009, the Company entered into an Amended and Restated Revolving Credit Loan Agreement related to a $20.0 million revolving credit facility with Bank of America, as agent, and Bank of America and Brown Brothers Harriman &amp; Co as lenders (as amended, the “2009 Credit Agreement”). On March 29, 2013, the Company entered into a Second Amended and Restated Revolving Credit Agreement (as amended, the “2013 Credit Agreement”) with Bank of America, as agent, and Bank of America and Brown Brothers Harriman &amp; Co, as lenders that amended and restated the 2009 Credit Agreement. Between September 2011 and March 2016, the Company entered into a series of amendments that among other things did the following:</w:t>
      </w:r>
    </w:p>
    <w:p>
      <w:pPr>
        <w:spacing w:after="0" w:line="158" w:lineRule="exact"/>
        <w:rPr>
          <w:sz w:val="20"/>
          <w:szCs w:val="20"/>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September 30, 2011, reduced interest rates to the London Interbank Offered Rate plus 3.0%;</w:t>
      </w:r>
    </w:p>
    <w:p>
      <w:pPr>
        <w:spacing w:after="0" w:line="23" w:lineRule="exact"/>
        <w:rPr>
          <w:rFonts w:ascii="Arial" w:cs="Arial" w:eastAsia="Arial" w:hAnsi="Arial"/>
          <w:sz w:val="18"/>
          <w:szCs w:val="18"/>
          <w:color w:val="auto"/>
        </w:rPr>
      </w:pPr>
    </w:p>
    <w:p>
      <w:pPr>
        <w:ind w:left="1140" w:right="140" w:hanging="322"/>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March 29, 2013, converted existing loan advances into a term loan in the principal amount of $15.0 million (the “2013 Term Loan”), provided a revolving credit facility in the maximum principal amount of $25.0 million (the “2013 Revolving Line”) and a delayed draw term loan (the “2013 DDTL”) of up to $15.0 million (all with a maturity date of March 29, 2018);</w:t>
      </w:r>
    </w:p>
    <w:p>
      <w:pPr>
        <w:spacing w:after="0" w:line="1"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October 31, 2013, reduced the 2013 DDTL from up to $15.0 million to up to $10.0 million;</w:t>
      </w:r>
    </w:p>
    <w:p>
      <w:pPr>
        <w:spacing w:after="0" w:line="9" w:lineRule="exact"/>
        <w:rPr>
          <w:rFonts w:ascii="Arial" w:cs="Arial" w:eastAsia="Arial" w:hAnsi="Arial"/>
          <w:sz w:val="18"/>
          <w:szCs w:val="18"/>
          <w:color w:val="auto"/>
        </w:rPr>
      </w:pPr>
    </w:p>
    <w:p>
      <w:pPr>
        <w:ind w:left="1140" w:right="540" w:hanging="322"/>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April 24, 2015, extended the maturity date of the 2013 Revolving Line to March 29, 2018 and reduced the interest rates on the 2013 Revolving Line, 2013 Term Loan and 2013 DDTL;</w:t>
      </w: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June 30, 2015, amended our quarterly minimum fixed charge coverage financial covenant; and</w:t>
      </w:r>
    </w:p>
    <w:p>
      <w:pPr>
        <w:spacing w:after="0" w:line="9" w:lineRule="exact"/>
        <w:rPr>
          <w:rFonts w:ascii="Arial" w:cs="Arial" w:eastAsia="Arial" w:hAnsi="Arial"/>
          <w:sz w:val="18"/>
          <w:szCs w:val="18"/>
          <w:color w:val="auto"/>
        </w:rPr>
      </w:pPr>
    </w:p>
    <w:p>
      <w:pPr>
        <w:ind w:left="1140" w:right="40" w:hanging="322"/>
        <w:spacing w:after="0" w:line="261"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March 9, 2016, amended the principal payment amortization of the 2013 Term Loan and 2013 DDTL to five years, as well as amended our quarterly minimum fixed charge coverage financial covenant.</w:t>
      </w:r>
    </w:p>
    <w:p>
      <w:pPr>
        <w:spacing w:after="0" w:line="184"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The maximum amount available under the 2013 Credit Agreement is $50.0 million as borrowings against the 2013 DDTL in excess of $10.0 million results in a dollar for dollar reduction in the 2013 Revolving Line capacity. The 2013 Revolving Line, 2013 Term Loan and 2013 DDTL each have a maturity date of March 29, 2018. Borrowings under the 2013 Term Loan and the 2013 DDTL accrue interest at a rate based on either the effective London Interbank Offered Rate (LIBOR) for certain interest periods selected by the Company, or a daily floating rate based on the British Bankers’ Association (BBA) LIBOR as published by Reuters (or other commercially available source providing quotations of BBA LIBOR), plus in either case, a margin of 2.75%. Additionally, the 2013 Revolving Line accrues interest at a rate based on either the effective LIBOR for certain interest periods selected by the Company, or a daily floating rate based on the BBA LIBOR, plus in either case, a margin of 2.25%. The Company was required to fix the rate of interest on at least 50% of the 2013 Term Loan and the 2013 DDTL through the purchase of interest rate swaps.</w:t>
      </w:r>
    </w:p>
    <w:p>
      <w:pPr>
        <w:spacing w:after="0" w:line="17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loans evidenced by the 2013 Credit Agreement, or the 2013 Loans, are guaranteed by all of the Company’s direct and indirect domestic subsidiaries, and secured by substantially all of the assets of the Company and the guarantors. The 2013 Loans are subject to restrictive covenants under the 2013 Credit Agreement, and financial covenants that require the Company and its subsidiaries to maintain certain financial ratios on a consolidated basis, including a maximum leverage, minimum fixed charge coverage and minimum working capital. Prepayment of the 2013 Loans is allowed by the 2013 Credit Agreement at any time during the terms of the 2013 Loans. The 2013 Loans also contain limitations on the Company’s ability to incur additional indebtedness and requires lender approval for acquisitions funded with cash, promissory notes and/or other consideration in excess of $6.0 million and for acquisitions funded solely with equity in excess of $10.0 million.</w:t>
      </w:r>
    </w:p>
    <w:p>
      <w:pPr>
        <w:spacing w:after="0" w:line="189"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As of March 31, 2017 and December 31, 2016, the Company had net borrowings of $13.7 million, respectively, outstanding under its 2013 Credit Agreement. The carrying value of the debt approximates fair value because the interest rate under the obligation approximates market rates of interest available to the Company for similar instruments. As of March 31, 2017, the Company was in compliance with all financial covenants contained in the 2013 Credit Agreement, was subject to covenant and working capital borrowing restrictions and had available borrowing capacity under its 2013 Credit Agreement of $5.2 million.</w:t>
      </w:r>
    </w:p>
    <w:p>
      <w:pPr>
        <w:spacing w:after="0" w:line="188"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As of March 31, 2017, the weighted effective interest rates, net of the impact of the Company’s interest rate swaps, on its 2013 Term Loan, 2013 DDTL and 2013 Revolving Line borrowings were 3.96%, 3.83% and 3.23%,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2017 and December 31, 2016, the Company’s borrowings were comprised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6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r>
      <w:tr>
        <w:trPr>
          <w:trHeight w:val="210"/>
        </w:trPr>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4"/>
          </w:tcPr>
          <w:p>
            <w:pPr>
              <w:jc w:val="right"/>
              <w:ind w:right="1150"/>
              <w:spacing w:after="0"/>
              <w:rPr>
                <w:sz w:val="20"/>
                <w:szCs w:val="20"/>
                <w:color w:val="auto"/>
              </w:rPr>
            </w:pPr>
            <w:r>
              <w:rPr>
                <w:rFonts w:ascii="Arial" w:cs="Arial" w:eastAsia="Arial" w:hAnsi="Arial"/>
                <w:sz w:val="18"/>
                <w:szCs w:val="18"/>
                <w:color w:val="auto"/>
              </w:rPr>
              <w:t>(in thousands)</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Term loan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5,062</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5,400</w:t>
            </w: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DDTL</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4,400</w:t>
            </w: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Revolving line</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4,050</w:t>
            </w:r>
          </w:p>
        </w:tc>
      </w:tr>
      <w:tr>
        <w:trPr>
          <w:trHeight w:val="230"/>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unamortized deferred financing costs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0"/>
        </w:trPr>
        <w:tc>
          <w:tcPr>
            <w:tcW w:w="6800" w:type="dxa"/>
            <w:vAlign w:val="bottom"/>
          </w:tcPr>
          <w:p>
            <w:pPr>
              <w:spacing w:after="0"/>
              <w:rPr>
                <w:sz w:val="20"/>
                <w:szCs w:val="20"/>
                <w:color w:val="auto"/>
              </w:rPr>
            </w:pPr>
            <w:r>
              <w:rPr>
                <w:rFonts w:ascii="Arial" w:cs="Arial" w:eastAsia="Arial" w:hAnsi="Arial"/>
                <w:sz w:val="18"/>
                <w:szCs w:val="18"/>
                <w:color w:val="auto"/>
              </w:rPr>
              <w:t>Total debt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13,746</w:t>
            </w: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current installments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r>
      <w:tr>
        <w:trPr>
          <w:trHeight w:val="230"/>
        </w:trPr>
        <w:tc>
          <w:tcPr>
            <w:tcW w:w="6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Current unamortized deferred financing costs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r>
      <w:tr>
        <w:trPr>
          <w:trHeight w:val="223"/>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10,931</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11,374</w:t>
            </w:r>
          </w:p>
        </w:tc>
      </w:tr>
      <w:tr>
        <w:trPr>
          <w:trHeight w:val="20"/>
        </w:trPr>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On May 2, 2017, the Company entered into a Third Amended and Restated Revolving Credit Agreement (as amended, the “Credit Agreement”) with Bank of America, as agent, and Bank of America and Brown Brothers Harriman &amp; Co, as lenders that amended and restated the 2013 Credit Agreement. As a result of the Credit Agreement, the amounts outstanding under the 2013 Credit Agreement with maturities subsequent to March 31, 2018 are classified as long term. The Credit Agreement was entered into to, among other things, consolidate, combine and restate the outstanding indebtedness, on the date of the Credit Agreement, into a Term Loan in the principal amount of $14.0 million, and also provide for a $25.0 million revolving line of credit (the “Revolving Line”). The Term Loan and the Revolving Line each have a maturity date of May 1, 2022. Borrowings under the Term Loan accrue interest at a rate based on either the effective LIBOR for certain interest periods selected by the Company, or a daily floating rate based on the BBA LIBOR as published by Reuters (or other commercially available source providing quotations of BBA LIBOR), plus in either case, a margin of 2.75%. Additionally, the Revolving Line accrues interest at a rate based on either the effective LIBOR for certain interest periods selected by the Company, or a daily floating rate based on the BBA LIBOR, plus in either case, a margin of 2.25%.</w:t>
      </w:r>
    </w:p>
    <w:p>
      <w:pPr>
        <w:spacing w:after="0" w:line="178"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Term Loan and loans under the Revolving Line evidenced by the Credit Agreement, or the Loans, are guaranteed by all of the Company’s direct and indirect domestic subsidiaries, and secured by substantially all of the assets of the Company and the guarantors. The Loans are subject to restrictive covenants under the Credit Agreement, and financial covenants that require the Company and its subsidiaries to maintain certain financial ratios on a consolidated basis, including a maximum leverage, minimum fixed charge coverage and minimum working capital. Prepayment of the Loans is allowed by the Credit Agreement at any time during the terms of the Loans. The Loans also contain limitations on the Company’s ability to incur additional indebtedness and requires lender approval for acquisitions funded with cash, promissory notes and/or other consideration in excess of $6.0 million and for acquisitions funded solely with equity in excess of $10.0 million.</w:t>
      </w: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The Company uses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w:t>
      </w:r>
    </w:p>
    <w:p>
      <w:pPr>
        <w:spacing w:after="0" w:line="181"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By using derivative financial instruments to hedge exposures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minimizes counterparty credit risk in derivative instruments by entering into transactions with carefully selected major financial institutions based upon their credit profile.</w:t>
      </w:r>
    </w:p>
    <w:p>
      <w:pPr>
        <w:spacing w:after="0" w:line="158" w:lineRule="exact"/>
        <w:rPr>
          <w:sz w:val="20"/>
          <w:szCs w:val="20"/>
          <w:color w:val="auto"/>
        </w:rPr>
      </w:pPr>
    </w:p>
    <w:p>
      <w:pPr>
        <w:ind w:right="400" w:firstLine="441"/>
        <w:spacing w:after="0" w:line="342" w:lineRule="auto"/>
        <w:rPr>
          <w:sz w:val="20"/>
          <w:szCs w:val="20"/>
          <w:color w:val="auto"/>
        </w:rPr>
      </w:pPr>
      <w:r>
        <w:rPr>
          <w:rFonts w:ascii="Arial" w:cs="Arial" w:eastAsia="Arial" w:hAnsi="Arial"/>
          <w:sz w:val="16"/>
          <w:szCs w:val="16"/>
          <w:color w:val="auto"/>
        </w:rPr>
        <w:t>Market risk is the adverse effect on the value of a derivative instrument that results from a change in interest rates. The market risk associated with interest-rate contracts is managed by establishing and monitoring parameters that limit the types and degree of market risk that may be undertaken.</w:t>
      </w:r>
    </w:p>
    <w:p>
      <w:pPr>
        <w:spacing w:after="0" w:line="124"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The Company assesses interest rate risk by continually identifying and monitoring changes in interest rate exposures that may adversely impact expected future cash flows and by evaluating hedging opportunities. The Company maintains risk management control systems to monitor interest rate risk attributable to both the Company’s outstanding or forecasted debt obligations as well as the Company’s offsetting hedge positions. The risk management control systems involve the use of analytical techniques, including cash flow sensitivity analysis, to estimate the expected impact of changes in interest rates on the Company’s future cash flows.</w:t>
      </w:r>
    </w:p>
    <w:p>
      <w:pPr>
        <w:spacing w:after="0" w:line="188"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 xml:space="preserve">The Company uses variable-rate London Interbank Offered Rate (LIBOR) debt to finance its operations. The debt obligations expose the Company to variability in interest payments due to changes in interest rates. Management believes that it is prudent to limit the variability of a portion of its interest payments. To meet this objective, management enters into LIBOR based interest rate swap agreements to manage fluctuations in cash flows resulting from changes in the benchmark interest rate of LIBOR. These swaps change the variable-rate cash flow exposure on the debt obligations to fixed cash flows. Under the terms of the interest rate swaps, the Company receives LIBOR based variable interest rate payments and makes fixed interest rate payments, thereby creating the equivalent of fixed-rate debt for the notional amount of its debt hedged. In accordance with its Credit Agreement, the Company was required to fix the rate of interest on at least 50% of its Term Loan and the DDTL through the purchase of interest rate swaps. On June 5, 2013, the Company entered into an interest rate swap contract with an original notional amount of $15.0 million and a maturity date of March 29, 2018 in order to hedge the risk of changes in the effective benchmark interest rate (LIBOR) associated with the Company’s Term Loan. On November 29, 2013, the Company entered into a second interest rate swap contract with an original notional amount of $5.0 million and a maturity date of March 29, 2018 in order to hedge the risk of changes in the effective benchmark interest rate (LIBOR) associated with the DDTL. The notional amount of the Company’s derivative instruments as of March 31, 2017 was $4.5 million. The Term Loan swap contract effectively converted specific variable-rate debt into fixed-rate debt and fixed the LIBOR rate associated with the Term Loan at 0.96% plus a bank margin of 2.75%. The DDTL swap contract effectively converted specific variable-rate debt into fixed-rate debt and fixed the LIBOR rate associated with the Term Loan at 0.93% plus a bank margin of 2.75%.The interest rate swaps were designated as cash flow hedges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w:t>
      </w:r>
    </w:p>
    <w:p>
      <w:pPr>
        <w:sectPr>
          <w:pgSz w:w="11900" w:h="16838" w:orient="portrait"/>
          <w:cols w:equalWidth="0" w:num="1">
            <w:col w:w="11420"/>
          </w:cols>
          <w:pgMar w:left="240" w:top="233" w:right="2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firstLine="441"/>
        <w:spacing w:after="0" w:line="272" w:lineRule="auto"/>
        <w:rPr>
          <w:sz w:val="20"/>
          <w:szCs w:val="20"/>
          <w:color w:val="auto"/>
        </w:rPr>
      </w:pPr>
      <w:r>
        <w:rPr>
          <w:rFonts w:ascii="Arial" w:cs="Arial" w:eastAsia="Arial" w:hAnsi="Arial"/>
          <w:sz w:val="17"/>
          <w:szCs w:val="17"/>
          <w:color w:val="auto"/>
        </w:rPr>
        <w:t>As disclosed in Note 12, on May 2, 2017, the Company entered into the Credit Agreement to amend its credit facility with Bank of America, as agent, and Bank of America and Brown Brothers Harriman &amp; Co. as lenders. Immediately after entering into this Credit Agreement, the Company entered into a new interest rate swap contract with Bank of America with a notional amount of $14.0 million and a maturity date of March 30, 2022 in order to hedge the risk of changes in the effective benchmark interest rate (LIBOR) associated with the Company’s Term Loan. The swap contract converted specific variable-rate debt into fixed-rate debt and fixed the LIBOR rate associated with the Term Loan at 1.86%. The interest rate swap was designated as a cash flow hedge instrument in accordance with ASC 815 “Derivatives and Hedging”. As a result of entering into the new interest rate swap contract, the Company unwound the previous interest rate swap contracts, and received an immaterial amount in proceeds.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notional amount and fair value of the Company’s derivative instruments as of March 31, 2017 and December 31, 2016.</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designated as hedging instruments</w:t>
      </w:r>
    </w:p>
    <w:p>
      <w:pPr>
        <w:spacing w:after="0" w:line="2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under ASC 815</w:t>
      </w:r>
      <w:r>
        <w:rPr>
          <w:sz w:val="20"/>
          <w:szCs w:val="20"/>
          <w:color w:val="auto"/>
        </w:rPr>
        <w:tab/>
      </w:r>
      <w:r>
        <w:rPr>
          <w:rFonts w:ascii="Arial" w:cs="Arial" w:eastAsia="Arial" w:hAnsi="Arial"/>
          <w:sz w:val="15"/>
          <w:szCs w:val="15"/>
          <w:b w:val="1"/>
          <w:bCs w:val="1"/>
          <w:color w:val="auto"/>
        </w:rPr>
        <w:t>Balance sheet classification</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Interest rate swaps</w:t>
      </w:r>
      <w:r>
        <w:rPr>
          <w:sz w:val="20"/>
          <w:szCs w:val="20"/>
          <w:color w:val="auto"/>
        </w:rPr>
        <w:tab/>
      </w:r>
      <w:r>
        <w:rPr>
          <w:rFonts w:ascii="Arial" w:cs="Arial" w:eastAsia="Arial" w:hAnsi="Arial"/>
          <w:sz w:val="16"/>
          <w:szCs w:val="16"/>
          <w:color w:val="auto"/>
        </w:rPr>
        <w:t>Other liabilities-non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designated as hedging instruments</w:t>
      </w:r>
    </w:p>
    <w:p>
      <w:pPr>
        <w:spacing w:after="0" w:line="2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under ASC 815</w:t>
      </w:r>
      <w:r>
        <w:rPr>
          <w:sz w:val="20"/>
          <w:szCs w:val="20"/>
          <w:color w:val="auto"/>
        </w:rPr>
        <w:tab/>
      </w:r>
      <w:r>
        <w:rPr>
          <w:rFonts w:ascii="Arial" w:cs="Arial" w:eastAsia="Arial" w:hAnsi="Arial"/>
          <w:sz w:val="15"/>
          <w:szCs w:val="15"/>
          <w:b w:val="1"/>
          <w:bCs w:val="1"/>
          <w:color w:val="auto"/>
        </w:rPr>
        <w:t>Balance sheet classification</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Interest rate swaps</w:t>
      </w:r>
      <w:r>
        <w:rPr>
          <w:sz w:val="20"/>
          <w:szCs w:val="20"/>
          <w:color w:val="auto"/>
        </w:rPr>
        <w:tab/>
      </w:r>
      <w:r>
        <w:rPr>
          <w:rFonts w:ascii="Arial" w:cs="Arial" w:eastAsia="Arial" w:hAnsi="Arial"/>
          <w:sz w:val="16"/>
          <w:szCs w:val="16"/>
          <w:color w:val="auto"/>
        </w:rPr>
        <w:t>Other liabilities-non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85" w:lineRule="exact"/>
        <w:rPr>
          <w:sz w:val="20"/>
          <w:szCs w:val="20"/>
          <w:color w:val="auto"/>
        </w:rPr>
      </w:pPr>
    </w:p>
    <w:p>
      <w:pPr>
        <w:ind w:left="440" w:right="820" w:hanging="432"/>
        <w:spacing w:after="0" w:line="563" w:lineRule="auto"/>
        <w:tabs>
          <w:tab w:leader="none" w:pos="244"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See Note 14 for the fair value measurements related to these financial instruments. All of the Company’s derivative instruments are designated as hedging instruments.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15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March 31, 2017</w:t>
            </w:r>
          </w:p>
        </w:tc>
        <w:tc>
          <w:tcPr>
            <w:tcW w:w="220" w:type="dxa"/>
            <w:vAlign w:val="bottom"/>
          </w:tcPr>
          <w:p>
            <w:pPr>
              <w:spacing w:after="0"/>
              <w:rPr>
                <w:sz w:val="19"/>
                <w:szCs w:val="19"/>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March 31, 2017</w:t>
            </w:r>
          </w:p>
        </w:tc>
      </w:tr>
      <w:tr>
        <w:trPr>
          <w:trHeight w:val="234"/>
        </w:trPr>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Notional Amount</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3"/>
              </w:rPr>
              <w:t>Fair Value (a)</w:t>
            </w:r>
          </w:p>
        </w:tc>
        <w:tc>
          <w:tcPr>
            <w:tcW w:w="220" w:type="dxa"/>
            <w:vAlign w:val="bottom"/>
            <w:tcBorders>
              <w:bottom w:val="single" w:sz="8" w:color="auto"/>
            </w:tcBorders>
          </w:tcPr>
          <w:p>
            <w:pPr>
              <w:spacing w:after="0"/>
              <w:rPr>
                <w:sz w:val="20"/>
                <w:szCs w:val="20"/>
                <w:color w:val="auto"/>
              </w:rPr>
            </w:pPr>
          </w:p>
        </w:tc>
      </w:tr>
      <w:tr>
        <w:trPr>
          <w:trHeight w:val="412"/>
        </w:trPr>
        <w:tc>
          <w:tcPr>
            <w:tcW w:w="100" w:type="dxa"/>
            <w:vAlign w:val="bottom"/>
          </w:tcPr>
          <w:p>
            <w:pPr>
              <w:spacing w:after="0"/>
              <w:rPr>
                <w:sz w:val="24"/>
                <w:szCs w:val="24"/>
                <w:color w:val="auto"/>
              </w:rPr>
            </w:pPr>
          </w:p>
        </w:tc>
        <w:tc>
          <w:tcPr>
            <w:tcW w:w="3080" w:type="dxa"/>
            <w:vAlign w:val="bottom"/>
            <w:gridSpan w:val="3"/>
          </w:tcPr>
          <w:p>
            <w:pPr>
              <w:jc w:val="right"/>
              <w:ind w:right="87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4"/>
                <w:szCs w:val="24"/>
                <w:color w:val="auto"/>
              </w:rPr>
            </w:pPr>
          </w:p>
        </w:tc>
      </w:tr>
      <w:tr>
        <w:trPr>
          <w:trHeight w:val="243"/>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4,500</w:t>
            </w:r>
          </w:p>
        </w:tc>
        <w:tc>
          <w:tcPr>
            <w:tcW w:w="1580" w:type="dxa"/>
            <w:vAlign w:val="bottom"/>
            <w:gridSpan w:val="2"/>
          </w:tcPr>
          <w:p>
            <w:pPr>
              <w:jc w:val="right"/>
              <w:ind w:right="119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7</w:t>
            </w:r>
          </w:p>
        </w:tc>
      </w:tr>
      <w:tr>
        <w:trPr>
          <w:trHeight w:val="20"/>
        </w:trPr>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r>
      <w:tr>
        <w:trPr>
          <w:trHeight w:val="435"/>
        </w:trPr>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 2016</w:t>
            </w:r>
          </w:p>
        </w:tc>
        <w:tc>
          <w:tcPr>
            <w:tcW w:w="220" w:type="dxa"/>
            <w:vAlign w:val="bottom"/>
          </w:tcPr>
          <w:p>
            <w:pPr>
              <w:spacing w:after="0"/>
              <w:rPr>
                <w:sz w:val="24"/>
                <w:szCs w:val="24"/>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2016</w:t>
            </w:r>
          </w:p>
        </w:tc>
      </w:tr>
      <w:tr>
        <w:trPr>
          <w:trHeight w:val="234"/>
        </w:trPr>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Notional Amount</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3"/>
              </w:rPr>
              <w:t>Fair Value (a)</w:t>
            </w:r>
          </w:p>
        </w:tc>
        <w:tc>
          <w:tcPr>
            <w:tcW w:w="220" w:type="dxa"/>
            <w:vAlign w:val="bottom"/>
            <w:tcBorders>
              <w:bottom w:val="single" w:sz="8" w:color="auto"/>
            </w:tcBorders>
          </w:tcPr>
          <w:p>
            <w:pPr>
              <w:spacing w:after="0"/>
              <w:rPr>
                <w:sz w:val="20"/>
                <w:szCs w:val="20"/>
                <w:color w:val="auto"/>
              </w:rPr>
            </w:pPr>
          </w:p>
        </w:tc>
      </w:tr>
      <w:tr>
        <w:trPr>
          <w:trHeight w:val="412"/>
        </w:trPr>
        <w:tc>
          <w:tcPr>
            <w:tcW w:w="100" w:type="dxa"/>
            <w:vAlign w:val="bottom"/>
          </w:tcPr>
          <w:p>
            <w:pPr>
              <w:spacing w:after="0"/>
              <w:rPr>
                <w:sz w:val="24"/>
                <w:szCs w:val="24"/>
                <w:color w:val="auto"/>
              </w:rPr>
            </w:pPr>
          </w:p>
        </w:tc>
        <w:tc>
          <w:tcPr>
            <w:tcW w:w="3080" w:type="dxa"/>
            <w:vAlign w:val="bottom"/>
            <w:gridSpan w:val="3"/>
          </w:tcPr>
          <w:p>
            <w:pPr>
              <w:jc w:val="right"/>
              <w:ind w:right="87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4"/>
                <w:szCs w:val="24"/>
                <w:color w:val="auto"/>
              </w:rPr>
            </w:pPr>
          </w:p>
        </w:tc>
      </w:tr>
      <w:tr>
        <w:trPr>
          <w:trHeight w:val="243"/>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5,500</w:t>
            </w:r>
          </w:p>
        </w:tc>
        <w:tc>
          <w:tcPr>
            <w:tcW w:w="1580" w:type="dxa"/>
            <w:vAlign w:val="bottom"/>
            <w:gridSpan w:val="2"/>
          </w:tcPr>
          <w:p>
            <w:pPr>
              <w:jc w:val="right"/>
              <w:ind w:right="119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bl>
    <w:p>
      <w:pPr>
        <w:spacing w:after="0" w:line="1092" w:lineRule="exact"/>
        <w:rPr>
          <w:sz w:val="20"/>
          <w:szCs w:val="20"/>
          <w:color w:val="auto"/>
        </w:rPr>
      </w:pPr>
    </w:p>
    <w:p>
      <w:pPr>
        <w:sectPr>
          <w:pgSz w:w="11900" w:h="16838" w:orient="portrait"/>
          <w:cols w:equalWidth="0" w:num="2">
            <w:col w:w="7300" w:space="720"/>
            <w:col w:w="3400"/>
          </w:cols>
          <w:pgMar w:left="240" w:top="233" w:right="239" w:bottom="1440" w:gutter="0" w:footer="0" w:header="0"/>
          <w:type w:val="continuous"/>
        </w:sectPr>
      </w:pPr>
    </w:p>
    <w:p>
      <w:pPr>
        <w:ind w:right="120" w:firstLine="441"/>
        <w:spacing w:after="0" w:line="255" w:lineRule="auto"/>
        <w:rPr>
          <w:sz w:val="20"/>
          <w:szCs w:val="20"/>
          <w:color w:val="auto"/>
        </w:rPr>
      </w:pPr>
      <w:r>
        <w:rPr>
          <w:rFonts w:ascii="Arial" w:cs="Arial" w:eastAsia="Arial" w:hAnsi="Arial"/>
          <w:sz w:val="18"/>
          <w:szCs w:val="18"/>
          <w:color w:val="auto"/>
        </w:rPr>
        <w:t>The Company has structured its interest rate swap agreements to be 100% effective and as a result, there was no impact to earnings resulting from hedge ineffectiveness. Changes in the fair value of interest rate swaps designated as hedging instruments that effectively offset the variability of cash flows associated with variable-rate, long-term debt obligations are reported in accumulated other comprehensive income (“AOCI”). These amounts subsequently are reclassified into interest expense as a yield adjustment of the hedged interest payments in the same period in which the related interest affects earnings. The Company’s interest rate swap agreement was deemed to be fully effective in accordance with ASC 815, and, as such, unrealized gains and losses related to these derivatives were recorded as AOCI.</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following table summarizes the effect of derivatives designated as cash flow hedging instruments and their classification within comprehensive loss for the three months ended March 31, 2017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3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88"/>
              </w:rPr>
              <w:t>Amount of gain (loss)</w:t>
            </w:r>
          </w:p>
        </w:tc>
        <w:tc>
          <w:tcPr>
            <w:tcW w:w="380" w:type="dxa"/>
            <w:vAlign w:val="bottom"/>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23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1"/>
              </w:rPr>
              <w:t>recognized in OCI on</w:t>
            </w:r>
          </w:p>
        </w:tc>
        <w:tc>
          <w:tcPr>
            <w:tcW w:w="38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Derivatives in Hedging Relationships</w:t>
            </w:r>
          </w:p>
        </w:tc>
        <w:tc>
          <w:tcPr>
            <w:tcW w:w="27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derivative (effective portion)</w:t>
            </w:r>
          </w:p>
        </w:tc>
      </w:tr>
      <w:tr>
        <w:trPr>
          <w:trHeight w:val="191"/>
        </w:trPr>
        <w:tc>
          <w:tcPr>
            <w:tcW w:w="5280" w:type="dxa"/>
            <w:vAlign w:val="bottom"/>
          </w:tcPr>
          <w:p>
            <w:pPr>
              <w:spacing w:after="0"/>
              <w:rPr>
                <w:sz w:val="16"/>
                <w:szCs w:val="16"/>
                <w:color w:val="auto"/>
              </w:rPr>
            </w:pPr>
          </w:p>
        </w:tc>
        <w:tc>
          <w:tcPr>
            <w:tcW w:w="2320" w:type="dxa"/>
            <w:vAlign w:val="bottom"/>
            <w:gridSpan w:val="3"/>
          </w:tcPr>
          <w:p>
            <w:pPr>
              <w:jc w:val="center"/>
              <w:ind w:left="270"/>
              <w:spacing w:after="0" w:line="191" w:lineRule="exact"/>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rPr>
                <w:sz w:val="16"/>
                <w:szCs w:val="16"/>
                <w:color w:val="auto"/>
              </w:rPr>
            </w:pPr>
          </w:p>
        </w:tc>
      </w:tr>
      <w:tr>
        <w:trPr>
          <w:trHeight w:val="234"/>
        </w:trPr>
        <w:tc>
          <w:tcPr>
            <w:tcW w:w="5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350"/>
              <w:spacing w:after="0"/>
              <w:rPr>
                <w:sz w:val="20"/>
                <w:szCs w:val="20"/>
                <w:color w:val="auto"/>
              </w:rPr>
            </w:pPr>
            <w:r>
              <w:rPr>
                <w:rFonts w:ascii="Arial" w:cs="Arial" w:eastAsia="Arial" w:hAnsi="Arial"/>
                <w:sz w:val="18"/>
                <w:szCs w:val="18"/>
                <w:b w:val="1"/>
                <w:bCs w:val="1"/>
                <w:color w:val="auto"/>
                <w:w w:val="96"/>
              </w:rPr>
              <w:t>March 31,</w:t>
            </w:r>
          </w:p>
        </w:tc>
        <w:tc>
          <w:tcPr>
            <w:tcW w:w="38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19"/>
                <w:szCs w:val="19"/>
                <w:color w:val="auto"/>
              </w:rPr>
            </w:pPr>
          </w:p>
        </w:tc>
      </w:tr>
      <w:tr>
        <w:trPr>
          <w:trHeight w:val="210"/>
        </w:trPr>
        <w:tc>
          <w:tcPr>
            <w:tcW w:w="5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2"/>
          </w:tcPr>
          <w:p>
            <w:pPr>
              <w:jc w:val="center"/>
              <w:ind w:right="350"/>
              <w:spacing w:after="0"/>
              <w:rPr>
                <w:sz w:val="20"/>
                <w:szCs w:val="20"/>
                <w:color w:val="auto"/>
              </w:rPr>
            </w:pPr>
            <w:r>
              <w:rPr>
                <w:rFonts w:ascii="Arial" w:cs="Arial" w:eastAsia="Arial" w:hAnsi="Arial"/>
                <w:sz w:val="18"/>
                <w:szCs w:val="18"/>
                <w:color w:val="auto"/>
                <w:w w:val="91"/>
              </w:rPr>
              <w:t>(in thousands)</w:t>
            </w:r>
          </w:p>
        </w:tc>
        <w:tc>
          <w:tcPr>
            <w:tcW w:w="3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9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summarizes the reclassifications out of accumulated other comprehensive loss for the three months ended March 31,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820" w:type="dxa"/>
            <w:vAlign w:val="bottom"/>
            <w:gridSpan w:val="3"/>
          </w:tcPr>
          <w:p>
            <w:pPr>
              <w:jc w:val="center"/>
              <w:ind w:left="293"/>
              <w:spacing w:after="0"/>
              <w:rPr>
                <w:sz w:val="20"/>
                <w:szCs w:val="20"/>
                <w:color w:val="auto"/>
              </w:rPr>
            </w:pPr>
            <w:r>
              <w:rPr>
                <w:rFonts w:ascii="Arial" w:cs="Arial" w:eastAsia="Arial" w:hAnsi="Arial"/>
                <w:sz w:val="18"/>
                <w:szCs w:val="18"/>
                <w:b w:val="1"/>
                <w:bCs w:val="1"/>
                <w:color w:val="auto"/>
                <w:w w:val="90"/>
              </w:rPr>
              <w:t>Amount reclassified from</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820" w:type="dxa"/>
            <w:vAlign w:val="bottom"/>
            <w:gridSpan w:val="3"/>
          </w:tcPr>
          <w:p>
            <w:pPr>
              <w:jc w:val="center"/>
              <w:ind w:left="293"/>
              <w:spacing w:after="0"/>
              <w:rPr>
                <w:sz w:val="20"/>
                <w:szCs w:val="20"/>
                <w:color w:val="auto"/>
              </w:rPr>
            </w:pPr>
            <w:r>
              <w:rPr>
                <w:rFonts w:ascii="Arial" w:cs="Arial" w:eastAsia="Arial" w:hAnsi="Arial"/>
                <w:sz w:val="18"/>
                <w:szCs w:val="18"/>
                <w:b w:val="1"/>
                <w:bCs w:val="1"/>
                <w:color w:val="auto"/>
                <w:w w:val="92"/>
              </w:rPr>
              <w:t>AOCI into income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r>
              <w:rPr>
                <w:rFonts w:ascii="Arial" w:cs="Arial" w:eastAsia="Arial" w:hAnsi="Arial"/>
                <w:sz w:val="18"/>
                <w:szCs w:val="18"/>
                <w:b w:val="1"/>
                <w:bCs w:val="1"/>
                <w:color w:val="auto"/>
              </w:rPr>
              <w:t>Details about AOCI Components</w:t>
            </w:r>
          </w:p>
        </w:tc>
        <w:tc>
          <w:tcPr>
            <w:tcW w:w="2820" w:type="dxa"/>
            <w:vAlign w:val="bottom"/>
            <w:tcBorders>
              <w:bottom w:val="single" w:sz="8" w:color="auto"/>
            </w:tcBorders>
            <w:gridSpan w:val="3"/>
          </w:tcPr>
          <w:p>
            <w:pPr>
              <w:jc w:val="center"/>
              <w:ind w:left="333"/>
              <w:spacing w:after="0"/>
              <w:rPr>
                <w:sz w:val="20"/>
                <w:szCs w:val="20"/>
                <w:color w:val="auto"/>
              </w:rPr>
            </w:pPr>
            <w:r>
              <w:rPr>
                <w:rFonts w:ascii="Arial" w:cs="Arial" w:eastAsia="Arial" w:hAnsi="Arial"/>
                <w:sz w:val="18"/>
                <w:szCs w:val="18"/>
                <w:b w:val="1"/>
                <w:bCs w:val="1"/>
                <w:color w:val="auto"/>
                <w:w w:val="89"/>
              </w:rPr>
              <w:t>(effective portion)</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Location of amount</w:t>
            </w: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80" w:type="dxa"/>
            <w:vAlign w:val="bottom"/>
            <w:gridSpan w:val="2"/>
          </w:tcPr>
          <w:p>
            <w:pPr>
              <w:jc w:val="center"/>
              <w:ind w:right="470"/>
              <w:spacing w:after="0" w:line="191" w:lineRule="exact"/>
              <w:rPr>
                <w:sz w:val="20"/>
                <w:szCs w:val="20"/>
                <w:color w:val="auto"/>
              </w:rPr>
            </w:pPr>
            <w:r>
              <w:rPr>
                <w:rFonts w:ascii="Arial" w:cs="Arial" w:eastAsia="Arial" w:hAnsi="Arial"/>
                <w:sz w:val="18"/>
                <w:szCs w:val="18"/>
                <w:b w:val="1"/>
                <w:bCs w:val="1"/>
                <w:color w:val="auto"/>
                <w:w w:val="91"/>
              </w:rPr>
              <w:t>Three Months</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right="430"/>
              <w:spacing w:after="0"/>
              <w:rPr>
                <w:sz w:val="20"/>
                <w:szCs w:val="20"/>
                <w:color w:val="auto"/>
              </w:rPr>
            </w:pPr>
            <w:r>
              <w:rPr>
                <w:rFonts w:ascii="Arial" w:cs="Arial" w:eastAsia="Arial" w:hAnsi="Arial"/>
                <w:sz w:val="18"/>
                <w:szCs w:val="18"/>
                <w:b w:val="1"/>
                <w:bCs w:val="1"/>
                <w:color w:val="auto"/>
                <w:w w:val="92"/>
              </w:rPr>
              <w:t>Ended March 31,</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1"/>
              </w:rPr>
              <w:t>reclassified from AOCI</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into income (effective portion)</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gridSpan w:val="2"/>
          </w:tcPr>
          <w:p>
            <w:pPr>
              <w:jc w:val="center"/>
              <w:ind w:right="430"/>
              <w:spacing w:after="0"/>
              <w:rPr>
                <w:sz w:val="20"/>
                <w:szCs w:val="20"/>
                <w:color w:val="auto"/>
              </w:rPr>
            </w:pPr>
            <w:r>
              <w:rPr>
                <w:rFonts w:ascii="Arial" w:cs="Arial" w:eastAsia="Arial" w:hAnsi="Arial"/>
                <w:sz w:val="18"/>
                <w:szCs w:val="18"/>
                <w:color w:val="auto"/>
                <w:w w:val="91"/>
              </w:rPr>
              <w:t>(in thousands)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940" w:type="dxa"/>
            <w:vAlign w:val="bottom"/>
            <w:shd w:val="clear" w:color="auto" w:fill="CCEEFF"/>
          </w:tcPr>
          <w:p>
            <w:pPr>
              <w:jc w:val="right"/>
              <w:ind w:right="77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2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441"/>
        <w:spacing w:after="0" w:line="286" w:lineRule="auto"/>
        <w:rPr>
          <w:sz w:val="20"/>
          <w:szCs w:val="20"/>
          <w:color w:val="auto"/>
        </w:rPr>
      </w:pPr>
      <w:r>
        <w:rPr>
          <w:rFonts w:ascii="Arial" w:cs="Arial" w:eastAsia="Arial" w:hAnsi="Arial"/>
          <w:sz w:val="17"/>
          <w:szCs w:val="17"/>
          <w:color w:val="auto"/>
        </w:rPr>
        <w:t>As of March 31, 2017, $7 thousand of deferred losses on derivative instruments accumulated in AOCI are expected to be reclassified to earnings during the next twelve months. Transactions and events expected to occur over the next twelve months that will necessitate reclassifying these derivatives’ losses to earnings include the repricing of variable-rate debt. There were no cash flow hedges discontinued during 2017 or 2016.</w:t>
      </w:r>
    </w:p>
    <w:p>
      <w:pPr>
        <w:spacing w:after="0" w:line="378"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Fair value measurement is defined as the price that would be received to sell an asset or paid to transfer a liability in the principal or most advantageous market for the asset or liability in an orderly transaction between market participants at the measurement date. A fair value hierarchy is established, which prioritizes the inputs used in measuring fair value into three broad levels as follows: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3—Unobservable inputs based on the Company’s own assumptions.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the fair value hierarchy for those liabilities measured at fair value on a recurring basis: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1"/>
              </w:rPr>
              <w:t>Fair Value as of March 31, 2017</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1</w:t>
            </w: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Level 2</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3</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Interest rate swap agreements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3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Fair Value as of December 31, 2016</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1</w:t>
            </w: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Level 2</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3</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Interest rate swap agreements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5320" w:type="dxa"/>
            <w:vAlign w:val="bottom"/>
          </w:tcPr>
          <w:p>
            <w:pPr>
              <w:spacing w:after="0"/>
              <w:rPr>
                <w:sz w:val="24"/>
                <w:szCs w:val="24"/>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- 16 -</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32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 Company uses the market approach technique to value its financial liabilities. The Company’s financial liabilities carried at fair value include derivative instruments used to hedge the Company’s interest rate risks. The fair value of the Company’s interest rate swap agreements was based on LIBOR yield curves at the reporting date.</w:t>
      </w:r>
    </w:p>
    <w:p>
      <w:pPr>
        <w:spacing w:after="0" w:line="39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Income tax was an expense of approximately $23 thousand and $0.2 million for the three months ended March 31, 2017 and 2016, respectively. The tax expense for the three months ended March 31, 2017 reflects the expense recorded for the three months ended March 31, 2017 associated with the actual results for the three-month period, as described below.</w:t>
      </w:r>
    </w:p>
    <w:p>
      <w:pPr>
        <w:spacing w:after="0" w:line="18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Discrete items included in the tax expense for the three months ended March 31, 2017 included changes to reserves for uncertain tax positions and tax deficiencies related to stock-based compensation. Tax expense for the three months ended March 31, 2016 included foreign currency gains and losses and the tax impact of the amortization of certain indefinite-lived intangible assets which are amortized for tax purposes only, against which a valuation allowance is not established.</w:t>
      </w:r>
    </w:p>
    <w:p>
      <w:pPr>
        <w:spacing w:after="0" w:line="18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The effective income tax rate was (2.2%) for the three months ended March 31, 2017, compared with (43.6%) for the same period in 2016. The tax rates for the three months ended March 31, 2017 and 2016 were based on actual results for the three-month period rather than an effective tax rate estimated for the entire year. In 2017 and 2016 the Company determined that using a year-to-date approach resulted in a better estimate of income tax expense/benefit based on its forecast of pre-tax income/loss, the mix of taxable income/loss across several jurisdictions with different statutory tax rates, and the impact of the full valuation allowance against U.S. deferred tax assets.</w:t>
      </w:r>
    </w:p>
    <w:p>
      <w:pPr>
        <w:spacing w:after="0" w:line="188" w:lineRule="exact"/>
        <w:rPr>
          <w:sz w:val="20"/>
          <w:szCs w:val="20"/>
          <w:color w:val="auto"/>
        </w:rPr>
      </w:pPr>
    </w:p>
    <w:p>
      <w:pPr>
        <w:jc w:val="both"/>
        <w:ind w:right="200" w:firstLine="441"/>
        <w:spacing w:after="0" w:line="286" w:lineRule="auto"/>
        <w:rPr>
          <w:sz w:val="20"/>
          <w:szCs w:val="20"/>
          <w:color w:val="auto"/>
        </w:rPr>
      </w:pPr>
      <w:r>
        <w:rPr>
          <w:rFonts w:ascii="Arial" w:cs="Arial" w:eastAsia="Arial" w:hAnsi="Arial"/>
          <w:sz w:val="17"/>
          <w:szCs w:val="17"/>
          <w:color w:val="auto"/>
        </w:rPr>
        <w:t>The difference between the Company’s effective tax rate period over period was primarily attributable to higher pre-tax income at certain individual subsidiaries in 2016 versus 2017, despite an overall pre-tax loss in both periods. In addition, both periods included the tax impact of amortization of certain indefinite-lived intangibles which are amortized for tax purposes only, against which a valuation allowance is not established.</w:t>
      </w:r>
    </w:p>
    <w:p>
      <w:pPr>
        <w:spacing w:after="0" w:line="16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On April 14, 2017, anticipated representatives for the estate of an individual plaintiff filed a wrongful death complaint with the Suffolk Superior Court, in the County of Suffolk, Massachusetts, against the Company and other defendants, including Biostage, Inc. (f/k/a Harvard Apparatus Regenerative Technology, Inc.), its subsidiary that was spun off in 2013, as well as another third party. The complaint seeks payment for an unspecified amount of damages and alleges that the plaintiff sustained terminal injuries allegedly caused by products, including synthetic trachea scaffolds and bioreactors, provided by certain of the named defendants and utilized in connection with surgeries performed by third parties in 2012 and 2013. The litigation is at an early stage and the Company intends to vigorously defend this case. While the Company believe that such claim is without merit, the Company is unable to predict the ultimate outcome of such litigation.</w:t>
      </w:r>
    </w:p>
    <w:p>
      <w:pPr>
        <w:spacing w:after="0" w:line="189" w:lineRule="exact"/>
        <w:rPr>
          <w:sz w:val="20"/>
          <w:szCs w:val="20"/>
          <w:color w:val="auto"/>
        </w:rPr>
      </w:pPr>
    </w:p>
    <w:p>
      <w:pPr>
        <w:jc w:val="both"/>
        <w:ind w:right="480" w:firstLine="441"/>
        <w:spacing w:after="0" w:line="264" w:lineRule="auto"/>
        <w:rPr>
          <w:sz w:val="20"/>
          <w:szCs w:val="20"/>
          <w:color w:val="auto"/>
        </w:rPr>
      </w:pPr>
      <w:r>
        <w:rPr>
          <w:rFonts w:ascii="Arial" w:cs="Arial" w:eastAsia="Arial" w:hAnsi="Arial"/>
          <w:sz w:val="18"/>
          <w:szCs w:val="18"/>
          <w:color w:val="auto"/>
        </w:rPr>
        <w:t>On May 2, 2017, the Company entered into the Credit Agreement which restated the 2013 Agreement. See Note 12 for a discussion of the Credit Agreement. Additionally, immediately after entering into the Credit Agreement, the Company entered into a new interest swap agreement with Bank of America. See Note 13 for a discussion of the interest swap agreement.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41"/>
        <w:spacing w:after="0" w:line="266" w:lineRule="auto"/>
        <w:rPr>
          <w:sz w:val="20"/>
          <w:szCs w:val="20"/>
          <w:color w:val="auto"/>
        </w:rPr>
      </w:pPr>
      <w:r>
        <w:rPr>
          <w:rFonts w:ascii="Arial" w:cs="Arial" w:eastAsia="Arial" w:hAnsi="Arial"/>
          <w:sz w:val="17"/>
          <w:szCs w:val="17"/>
          <w:i w:val="1"/>
          <w:iCs w:val="1"/>
          <w:color w:val="auto"/>
        </w:rPr>
        <w:t>This Quarterly Report on Form 10-Q contains statements that are not statements of historical fact and are forward-looking statements within the meaning of Section 27A of the Securities Act of 1933 and Section 21E of the Securities Exchange Act of 1934 (the “Exchange Act”). The forward-looking statements are principally, but not exclusively, contained in “Item 2: Management’s Discussion and Analysis of Financial Condition and Results of Operations.”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management’s confidence or expectations, and our plans, objectives, expectations and intentions that are not historical facts. In some cases, you can identify forward-looking statements by terms such as “may,” “will,” “should,” “could,” “would,” “seek,” “expects,” “plans,” “aim,” “anticipates,” “believes,” “estimates,” “projects,” “predicts,” “intends,” “think,” “potential,” “objectives,” “optimistic,” “strategy,” “goals,” “sees,” “new,” “guidance,” “future,” “continue,” “drive,” “growth,” “long-term,” “projects,” “develop,” “possible,” “emerging,” “opportunity,” “pursue”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Factors that may cause our actual results to differ materially from those in the forward-looking statements include reductions in customers’ research budgets or government funding; domestic and global economic conditions; economic, political and other risks associated with international revenues and operations; currency exchange rate fluctuations; economic and political conditions generally and those affecting pharmaceutical and biotechnology industries; the seasonal nature of purchasing in Europe; our failure to expand into foreign countries and international markets; our failure to realize the expected benefits of facility consolidations; our inability to manage our growth; competition from our competitors; material weakness in our internal control over financial reporting; ineffective disclosure controls and procedures; failure or inadequacy of the our information technology structure; impact of difficulties implementing our enterprise resource planning systems; our failure to identify potential acquisition candidates and successfully close such acquisitions with favorable pricing or integrate acquired businesses or technologies; unanticipated costs relating to acquisitions and known and unknown costs arising in connection with our consolidation of business functions and any restructuring initiatives; our inability to effectively sell spectrophotometer products following the retirement of the GE Healthcare brand; failure of any banking institution in which we deposit our funds or its failure to provide services; our substantial debt and our ability to meet the financial covenants contained in our credit facility; our failure to raise or generate capital necessary to implement our acquisition and expansion strategy; the failure of our spin-off of Biostage, Inc., f/k/a Harvard Apparatus Regenerative Technology, Inc., to qualify as a transaction that is generally tax-free for U.S. federal income tax purposes; the failure of Biostage to indemnify us for any liabilities associated with Biostage’s business; impact of any impairment of our goodwill or intangible assets; our ability to retain key personnel; failure or inadequacy or our information technology structure; rising commodity and precious metals costs; our ability to protect our intellectual property and operate without infringing on others’ intellectual property; exposure to product and other liability claims; global stock market volatility, currency exchange rate fluctuations and regulatory changes caused by the United Kingdom’s likely exit from the European Union; plus other factors described under the heading “Item 1A. Risk Factors” in our Annual Report on Form 10-K for the year ended December 31, 2016, or described in our other public filings. Our results may also be affected by factors of which we are not currently aware. We may not update these forward-looking statements, even though our situation may change in the future, unless we have obligations under the federal securities laws to update and disclose material developments related to previously disclosed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Harvard Bioscience, Inc., a Delaware corporation, is a global developer, manufacturer and marketer of a broad range of scientific instruments, systems and lab consumables used to advance life science for basic research, drug discovery, clinical and environmental testing. Our products are sold to thousands of researchers in over 100 countries through our global sales organization, websites, catalogs, and through distributors including Thermo Fisher Scientific Inc., VWR, and other specialized distributors. We have sales and manufacturing operations in the United States, the United Kingdom, Germany, Sweden, Spain, France, Canada, and China.</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Our vision is to be a world leading life science company that excels in meeting the needs of our customers by providing a wide breadth of innovative products and solutions, while providing exemplary customer service. Our business strategy is to grow our top-line and bottom-line, and build shareholder value through a commitment to:</w:t>
      </w:r>
    </w:p>
    <w:p>
      <w:pPr>
        <w:spacing w:after="0" w:line="181" w:lineRule="exact"/>
        <w:rPr>
          <w:sz w:val="20"/>
          <w:szCs w:val="20"/>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 excellence;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product development;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acquisitions;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operational efficiencies.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Income</w:t>
      </w:r>
    </w:p>
    <w:p>
      <w:pPr>
        <w:spacing w:after="0" w:line="229"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We generate revenues by selling apparatus, instruments, devices and consumables through our distributors, direct sales force, websites and</w:t>
      </w:r>
      <w:r>
        <w:rPr>
          <w:rFonts w:ascii="Arial" w:cs="Arial" w:eastAsia="Arial" w:hAnsi="Arial"/>
          <w:sz w:val="16"/>
          <w:szCs w:val="16"/>
          <w:i w:val="1"/>
          <w:iCs w:val="1"/>
          <w:color w:val="auto"/>
        </w:rPr>
        <w:t xml:space="preserve"> </w:t>
      </w:r>
      <w:r>
        <w:rPr>
          <w:rFonts w:ascii="Arial" w:cs="Arial" w:eastAsia="Arial" w:hAnsi="Arial"/>
          <w:sz w:val="16"/>
          <w:szCs w:val="16"/>
          <w:color w:val="auto"/>
        </w:rPr>
        <w:t>catalogs. Our websites and catalogs serve as the primary sales tools for our Cell and Animal Physiology product line. This product line includes both proprietary manufactured products and complementary products from various suppliers. Our reputation as a leading producer in many of our manufactured products creates traffic to our website, enables cross-selling and facilitates the introduction of new products. We have field sales teams in the U.S., Canada, the United Kingdom, Germany, France, Spain and China. In those regions where we do not have a direct sales team, we use distributors. Revenues from direct sales to end users represented approximately 67% and 61% of our revenues for the three months ended March 31, 2017 and 2016, respectively.</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Products in our Molecular Separation and Analysis product line are generally sold by distributors, and are typically priced in the range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$5,000-$15,000. They are mainly scientific instruments like spectrophotometers and plate readers that analyze light to detect and quantify a wide range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molecular and cellular processes, or apparatus like gel electrophoresis units. We also use distributors for both our catalog products and our higher priced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as well as for sales in locations where we do not have subsidiaries or where we have existing distributors in place from acquired businesses.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three months ended March 31, 2017 and 2016, approximately 33% and 39% of our total revenues, respectively, were derived from sales to distributors.</w:t>
      </w:r>
    </w:p>
    <w:p>
      <w:pPr>
        <w:spacing w:after="0" w:line="222"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For the three months ended March 31, 2017 and 2016, approximately 61% of our revenues, for both periods, was derived from products we manufacture, approximately 14% and 16%, respectively, were derived from complementary products we distribute in order to provide the researcher with a single source for all equipment needed to conduct a particular experiment, and approximately 25% and 23%, respectively, were derived from distributed products sold under our brand names.</w:t>
      </w:r>
    </w:p>
    <w:p>
      <w:pPr>
        <w:spacing w:after="0" w:line="187" w:lineRule="exact"/>
        <w:rPr>
          <w:sz w:val="20"/>
          <w:szCs w:val="20"/>
          <w:color w:val="auto"/>
        </w:rPr>
      </w:pPr>
    </w:p>
    <w:p>
      <w:pPr>
        <w:ind w:right="280" w:firstLine="492"/>
        <w:spacing w:after="0" w:line="286" w:lineRule="auto"/>
        <w:rPr>
          <w:sz w:val="20"/>
          <w:szCs w:val="20"/>
          <w:color w:val="auto"/>
        </w:rPr>
      </w:pPr>
      <w:r>
        <w:rPr>
          <w:rFonts w:ascii="Arial" w:cs="Arial" w:eastAsia="Arial" w:hAnsi="Arial"/>
          <w:sz w:val="17"/>
          <w:szCs w:val="17"/>
          <w:color w:val="auto"/>
        </w:rPr>
        <w:t>For the three months ended March 31, 2017 and 2016, approximately 33% and 38% of our revenues, respectively, were derived from sales made by our non-United States operations. As discussed later under “Selected Results of Operations”, the decrease in revenues derived by our non-United States operations is primarily attributable to currency translation and the sale of our AHN Biotechnologie GmbH subsidiary (AHN).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Changes in the relative proportion of our revenue sources between direct sales and distribution sales are primarily the result of changes in geographic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mix.</w:t>
      </w:r>
    </w:p>
    <w:p>
      <w:pPr>
        <w:spacing w:after="0" w:line="211" w:lineRule="exact"/>
        <w:rPr>
          <w:sz w:val="20"/>
          <w:szCs w:val="20"/>
          <w:color w:val="auto"/>
        </w:rPr>
      </w:pPr>
    </w:p>
    <w:p>
      <w:pPr>
        <w:ind w:right="220" w:firstLine="486"/>
        <w:spacing w:after="0" w:line="293"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includes material, labor and manufacturing overhead costs, obsolescence charges, packaging costs, warranty</w:t>
      </w:r>
      <w:r>
        <w:rPr>
          <w:rFonts w:ascii="Arial" w:cs="Arial" w:eastAsia="Arial" w:hAnsi="Arial"/>
          <w:sz w:val="16"/>
          <w:szCs w:val="16"/>
          <w:i w:val="1"/>
          <w:iCs w:val="1"/>
          <w:color w:val="auto"/>
        </w:rPr>
        <w:t xml:space="preserve"> </w:t>
      </w:r>
      <w:r>
        <w:rPr>
          <w:rFonts w:ascii="Arial" w:cs="Arial" w:eastAsia="Arial" w:hAnsi="Arial"/>
          <w:sz w:val="16"/>
          <w:szCs w:val="16"/>
          <w:color w:val="auto"/>
        </w:rPr>
        <w:t>costs, shipping costs and royalties. Our cost of revenues may vary over time based on the mix of products sold. We sell products that we manufacture and products that we purchase from third parties. The products that we purchase from third parties typically have a higher cost of revenues as a percent of revenues because the profit is effectively shared with the original manufacturer. We anticipate that our manufactured products will continue to have a lower cost of revenues as a percentage of revenues as compared with the cost of non-manufactured products for the foreseeable future. Additionally, our cost of revenues as a percent of revenues will vary based on mix of direct to end user sales and distributor sales, mix by product line and mix by geography.</w:t>
      </w:r>
    </w:p>
    <w:p>
      <w:pPr>
        <w:spacing w:after="0" w:line="165"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 consists primarily of salaries and related expenses for personnel in sales, marketing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support functions. We also incur costs for travel, trade shows, demonstration equipment, public relations and marketing materials, consisting primarily of the printing and distribution of our catalogs, supplements and the maintenance of our websites. We may from time to time expand our marketing efforts by employing additional technical marketing specialists in an effort to increase sales of selected categories of products. We may also from time to time expand our direct sales organizations in an effort to concentrate on key accounts or promote certain product lines.</w:t>
      </w:r>
    </w:p>
    <w:p>
      <w:pPr>
        <w:spacing w:after="0" w:line="158"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 consists primarily of salaries and other related costs for personnel in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finance, accounting, information technology and human resource functions. Other costs include professional fees for legal and accounting services, information technology infrastructure, facility costs, investor relations, insurance and provision for doubtful accounts.</w:t>
      </w:r>
    </w:p>
    <w:p>
      <w:pPr>
        <w:sectPr>
          <w:pgSz w:w="11900" w:h="16838" w:orient="portrait"/>
          <w:cols w:equalWidth="0" w:num="1">
            <w:col w:w="11420"/>
          </w:cols>
          <w:pgMar w:left="240" w:top="233" w:right="2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 consists primarily of salaries and related expenses for personnel and</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to develop and enhance our products. Other research and development expense includes fees for consultants and outside service providers, and material costs for prototype and test units. We expense research and development costs as incurred. Grants received from governmental entities related to research projects are accounted for as a reduction in research and development expense over the period of the project. We believe that investment in product development is a competitive necessity and plan to continue to make these investments in order to realize the potential of new technologies that we develop, license or acquire for existing markets.</w:t>
      </w:r>
    </w:p>
    <w:p>
      <w:pPr>
        <w:spacing w:after="0" w:line="19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i w:val="1"/>
          <w:iCs w:val="1"/>
          <w:color w:val="auto"/>
        </w:rPr>
        <w:t xml:space="preserve">Stock-based compensation expenses. </w:t>
      </w:r>
      <w:r>
        <w:rPr>
          <w:rFonts w:ascii="Arial" w:cs="Arial" w:eastAsia="Arial" w:hAnsi="Arial"/>
          <w:sz w:val="18"/>
          <w:szCs w:val="18"/>
          <w:color w:val="auto"/>
        </w:rPr>
        <w:t>Stock-based compensation expense for the three months ended March 31, 2017 and 2016 was $0.9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$0.8 million, respectively. The stock-based compensation expense related to stock options, restricted stock units, restricted stock units with a market condition and the employee stock purchase plan and was recorded as a component of cost of revenues, sales and marketing expenses, general and administrative expenses and research and development expenses.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compared to Three Months Ended March 31, 2016</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4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b w:val="1"/>
                <w:bCs w:val="1"/>
                <w:color w:val="auto"/>
                <w:w w:val="93"/>
              </w:rPr>
              <w:t>March 31,</w:t>
            </w:r>
          </w:p>
        </w:tc>
        <w:tc>
          <w:tcPr>
            <w:tcW w:w="8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Dollar</w:t>
            </w: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23"/>
        </w:trPr>
        <w:tc>
          <w:tcPr>
            <w:tcW w:w="49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2016</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0" w:type="dxa"/>
            <w:vAlign w:val="bottom"/>
            <w:gridSpan w:val="3"/>
          </w:tcPr>
          <w:p>
            <w:pPr>
              <w:jc w:val="right"/>
              <w:ind w:right="630"/>
              <w:spacing w:after="0"/>
              <w:rPr>
                <w:sz w:val="20"/>
                <w:szCs w:val="20"/>
                <w:color w:val="auto"/>
              </w:rPr>
            </w:pPr>
            <w:r>
              <w:rPr>
                <w:rFonts w:ascii="Arial" w:cs="Arial" w:eastAsia="Arial" w:hAnsi="Arial"/>
                <w:sz w:val="18"/>
                <w:szCs w:val="18"/>
                <w:color w:val="auto"/>
                <w:w w:val="96"/>
              </w:rPr>
              <w:t>(dollars in thousands)</w:t>
            </w:r>
          </w:p>
        </w:tc>
        <w:tc>
          <w:tcPr>
            <w:tcW w:w="11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24,156</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26,963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(2,807)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12,657</w:t>
            </w:r>
          </w:p>
        </w:tc>
        <w:tc>
          <w:tcPr>
            <w:tcW w:w="46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14,018</w:t>
            </w:r>
          </w:p>
        </w:tc>
        <w:tc>
          <w:tcPr>
            <w:tcW w:w="3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(1,361)</w:t>
            </w: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Gross margin percentage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8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5,048</w:t>
            </w:r>
          </w:p>
        </w:tc>
        <w:tc>
          <w:tcPr>
            <w:tcW w:w="46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5,102</w:t>
            </w:r>
          </w:p>
        </w:tc>
        <w:tc>
          <w:tcPr>
            <w:tcW w:w="3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(54)</w:t>
            </w: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5,206</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5,948</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(742)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1,285</w:t>
            </w:r>
          </w:p>
        </w:tc>
        <w:tc>
          <w:tcPr>
            <w:tcW w:w="46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1,425</w:t>
            </w:r>
          </w:p>
        </w:tc>
        <w:tc>
          <w:tcPr>
            <w:tcW w:w="3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(140)</w:t>
            </w: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599</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680</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bl>
    <w:p>
      <w:pPr>
        <w:spacing w:after="0" w:line="202"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Each reporting period, we face currency exposure that arises from translating the results of our worldwide operations to the United States dollar at exchange rates that fluctuate from the beginning of such period. We evaluate our results of operations on both a reported and a foreign currency-neutral basis, which excludes the impact of fluctuations in foreign currency exchange rates. We believe that disclosing this non-GAAP financial information provides investors with an enhanced understanding of the underlying operations of the business. This non-GAAP financial information is used by our management to internally evaluate our operating results. The non-GAAP financial information provided below should be considered in addition to, not as a substitute for, the financial information provided and presented in accordance with accounting principles generally accepted in the United States, or GAAP and may be different than other companies’ non-GAAP financial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Revenues for the three months ended March 31, 2017 were $24.2 million, a decrease of approximately 10.4%, or $2.8 million, compared to revenues of $27.0 million for the three months ended March 31, 2016.</w:t>
      </w:r>
    </w:p>
    <w:p>
      <w:pPr>
        <w:spacing w:after="0" w:line="170"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Excluding the effects of currency translation, primarily from the weakening of the British Pound against the U.S. dollar, our revenues decreased 7.9% or $2.1 million, from the previous year. The remainder of the decline in revenues was primarily the result of softness in the European funding environment and slower than expected NIH budget funding, as well as the loss of approximately $0.7 million in revenues from our AHN subsidiary, following its sale in October 2016. AHN, located in Nordhausen, Germany, was a manufacturer of liquid handling products.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31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3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650"/>
        </w:trPr>
        <w:tc>
          <w:tcPr>
            <w:tcW w:w="1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6640" w:type="dxa"/>
            <w:vAlign w:val="bottom"/>
            <w:gridSpan w:val="2"/>
          </w:tcPr>
          <w:p>
            <w:pPr>
              <w:jc w:val="right"/>
              <w:ind w:right="2050"/>
              <w:spacing w:after="0"/>
              <w:rPr>
                <w:sz w:val="20"/>
                <w:szCs w:val="20"/>
                <w:color w:val="auto"/>
              </w:rPr>
            </w:pPr>
            <w:r>
              <w:rPr>
                <w:rFonts w:ascii="Arial" w:cs="Arial" w:eastAsia="Arial" w:hAnsi="Arial"/>
                <w:sz w:val="18"/>
                <w:szCs w:val="18"/>
                <w:b w:val="1"/>
                <w:bCs w:val="1"/>
                <w:color w:val="auto"/>
                <w:w w:val="92"/>
              </w:rPr>
              <w:t>Reconciliation of Changes In Revenues Compared to the</w:t>
            </w:r>
          </w:p>
        </w:tc>
      </w:tr>
      <w:tr>
        <w:trPr>
          <w:trHeight w:val="234"/>
        </w:trPr>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640" w:type="dxa"/>
            <w:vAlign w:val="bottom"/>
            <w:gridSpan w:val="2"/>
          </w:tcPr>
          <w:p>
            <w:pPr>
              <w:jc w:val="right"/>
              <w:ind w:right="3030"/>
              <w:spacing w:after="0"/>
              <w:rPr>
                <w:sz w:val="20"/>
                <w:szCs w:val="20"/>
                <w:color w:val="auto"/>
              </w:rPr>
            </w:pPr>
            <w:r>
              <w:rPr>
                <w:rFonts w:ascii="Arial" w:cs="Arial" w:eastAsia="Arial" w:hAnsi="Arial"/>
                <w:sz w:val="18"/>
                <w:szCs w:val="18"/>
                <w:b w:val="1"/>
                <w:bCs w:val="1"/>
                <w:color w:val="auto"/>
              </w:rPr>
              <w:t>Same Period of the Prior Year</w:t>
            </w:r>
          </w:p>
        </w:tc>
      </w:tr>
      <w:tr>
        <w:trPr>
          <w:trHeight w:val="427"/>
        </w:trPr>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34"/>
        </w:trPr>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March 31, 2017</w:t>
            </w:r>
          </w:p>
        </w:tc>
      </w:tr>
      <w:tr>
        <w:trPr>
          <w:trHeight w:val="210"/>
        </w:trPr>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w:t>
            </w:r>
          </w:p>
        </w:tc>
        <w:tc>
          <w:tcPr>
            <w:tcW w:w="6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Foreign exchange effect</w:t>
            </w:r>
          </w:p>
        </w:tc>
        <w:tc>
          <w:tcPr>
            <w:tcW w:w="6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240" w:type="dxa"/>
            <w:vAlign w:val="bottom"/>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r>
      <w:tr>
        <w:trPr>
          <w:trHeight w:val="223"/>
        </w:trPr>
        <w:tc>
          <w:tcPr>
            <w:tcW w:w="1240" w:type="dxa"/>
            <w:vAlign w:val="bottom"/>
          </w:tcPr>
          <w:p>
            <w:pPr>
              <w:spacing w:after="0"/>
              <w:rPr>
                <w:sz w:val="19"/>
                <w:szCs w:val="19"/>
                <w:color w:val="auto"/>
              </w:rPr>
            </w:pPr>
          </w:p>
        </w:tc>
        <w:tc>
          <w:tcPr>
            <w:tcW w:w="1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 change</w:t>
            </w:r>
          </w:p>
        </w:tc>
        <w:tc>
          <w:tcPr>
            <w:tcW w:w="434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Cost of revenues were $12.7 million for the three months ended March 31, 2017, a decrease of $1.3 million, or 9.7%, compared with $14.0 million for the three months ended March 31, 2016. The decrease in cost of revenues was primarily due to the decrease in revenues and also included the effect on cost of revenues of the sale of AHN. Gross profit margin as a percentage of revenues decreased to 47.6% for the three months ended March 31, 2017 compared with 48.0% for 2016. The decrease in gross profit margin was a result of a higher proportion of fixed charges to sales in comparison to the prior period and also included the effect of foreign currency fluctuation.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Sales and marketing expenses were relatively flat, decreasing $0.1 million or 1.1% to $5.0 million for the three months ended March 31, 2017 compared to $5.1 million during the same period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General and administrative expenses were $5.2 million for the three months ended March 31, 2017, a decrease of $0.7 million, or 12.5%, compared with $5.9 million for the three months ended March 31, 2016. The decrease was primarily due to forensic investigation costs incurred during the three months ended March 31, 2016, partially offset by increased audit remediation costs incurred during the three months ended March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Research and development expenses were $1.3 million for the three months ended March 31, 2017, a decrease of $0.1 million, or 9.8%, compared with $1.4 million for the three months ended March 31, 2016. The decrease in expense was primarily all due to an increase in the amount of research grants earned. Research grants are accounted for as a reduction in research and development expense over the period of research performed.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Amortization of intangible asset expenses was $0.6 million as compared to $0.7 million for the three months ended March 31, 2017 and 2016, respectively. The decrease in amortization expense was primarily due to the effect of some long-lived intangible assets becoming fully amortized towards the end of fiscal year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jc w:val="both"/>
        <w:ind w:right="20" w:firstLine="441"/>
        <w:spacing w:after="0" w:line="279" w:lineRule="auto"/>
        <w:rPr>
          <w:sz w:val="20"/>
          <w:szCs w:val="20"/>
          <w:color w:val="auto"/>
        </w:rPr>
      </w:pPr>
      <w:r>
        <w:rPr>
          <w:rFonts w:ascii="Arial" w:cs="Arial" w:eastAsia="Arial" w:hAnsi="Arial"/>
          <w:sz w:val="17"/>
          <w:szCs w:val="17"/>
          <w:color w:val="auto"/>
        </w:rPr>
        <w:t>Other expense, net, was $0.4 million and $0.2 million for the three months ended March 31, 2017 and 2016, respectively. Included in other expense, net for three months ended March 31, 2017 and 2016 was interest expense of $0.2 million, for both periods. The increase in other expense, net was primarily due to an increase in foreign exchange losses. Currency exchange rate fluctuations included as a component of net loss resulted in approximately $0.1 million and $9 thousand in currency losses for the three months ended March 31, 2017 and 2016,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Income tax was an expense of approximately $23 thousand and $0.2 million for the three months ended March 31, 2017 and 2016, respectively. The effective income tax rate was (2.2%) for the three months ended March 31, 2017 compared with (43.6%) for the same period in 2016. The tax expense for the three months ended March 31, 2017 reflects the expense recorded for the three months ended March 31, 2017 associated with the actual results for the three-month period. Discrete items included in the tax expense for the three months ended March 31, 2017 included changes to reserves for uncertain tax positions and tax deficiencies related to stock-based compensation. Tax expense for the three months ended March 31, 2016 included foreign currency gains and losses and the tax impact of amortization of certain indefinite-lived intangible assets which are amortized for tax purposes only, against which a valuation allowance is not established.</w:t>
      </w:r>
    </w:p>
    <w:p>
      <w:pPr>
        <w:sectPr>
          <w:pgSz w:w="11900" w:h="16838" w:orient="portrait"/>
          <w:cols w:equalWidth="0" w:num="1">
            <w:col w:w="11420"/>
          </w:cols>
          <w:pgMar w:left="240" w:top="216"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We have operations in the UK and several European countries where we historically had material current and deferred income tax balances related to those activities. As such, the UK’s 2016 decision to withdraw from the European Union or the EU could have a material effect on our current and deferred income taxes. In March 2017, the UK initiated, through letter submission to the EU, a formal two-year process to officially withdraw its membership. During this two-year period, the UK and EU member states are expected to negotiate many provisions in the UK bilateral agreements and tax treaties with EU member states as well as EU rules governing the income tax treatment of deferred intercompany profits. The final outcome of these negotiations will not be known until both the EU and the UK approve them and the UK enacts the related changes in its tax laws. EU law will cease to apply in the UK at the end of the two-year process in March 2019, unless the negotiations are extended. The letter submission in March 2017 is an administrative step required to begin the formal withdrawal process and is not considered a tax law enactment under ASC 740. Consequently, we plan to adjust our current and deferred taxes when tax law changes related to UK’s withdrawal from the EU are actually enacted and/or when EU law ceases to apply in the UK.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300" w:firstLine="441"/>
        <w:spacing w:after="0" w:line="308" w:lineRule="auto"/>
        <w:rPr>
          <w:sz w:val="20"/>
          <w:szCs w:val="20"/>
          <w:color w:val="auto"/>
        </w:rPr>
      </w:pPr>
      <w:r>
        <w:rPr>
          <w:rFonts w:ascii="Arial" w:cs="Arial" w:eastAsia="Arial" w:hAnsi="Arial"/>
          <w:sz w:val="17"/>
          <w:szCs w:val="17"/>
          <w:color w:val="auto"/>
        </w:rPr>
        <w:t>Historically, we have financed our business through cash provided by operating activities, the issuance of common stock, and bank borrowings. Our liquidity requirements arise primarily from investing activities, including funding of acquisitions, and other capital expenditures.</w:t>
      </w:r>
    </w:p>
    <w:p>
      <w:pPr>
        <w:spacing w:after="0" w:line="147"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As of March 31, 2017, we held cash and cash equivalents of $4.6 million, compared with $5.6 million at December 31, 2016. As of March 31, 2017 and December 31, 2016, we had $13.7 million of borrowings outstanding under our credit facility, net of deferred financing costs. Total debt, net of cash and cash equivalents was $9.1 million at March 31, 2017, compared to $8.1 million at December 31, 2016. In addition, we had an underfunded United Kingdom pension liability of approximately $3.2 million and $3.0 million at March 31, 2017 and December 31, 2016, respectively.</w:t>
      </w:r>
    </w:p>
    <w:p>
      <w:pPr>
        <w:spacing w:after="0" w:line="171"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As of March 31, 2017 and December 31, 2016, cash and cash equivalents held by our foreign subsidiaries was $3.8 million and $4.5 million, respectively. Funds held by our foreign subsidiaries are not available for domestic operations unless the funds are repatriated. If we planned to or did repatriate these funds, then United States federal and state income taxes would have to be recorded on such amounts. Our reinvestment determination is based on the future operational and capital requirements of our U.S. and non-U.S. operations. As of December 31, 2015, we determined that the assertion of permanent reinvestment at our foreign subsidiaries in Canada and France was no longer appropriate and we repatriated approximately $3.2 million during the three months ended March 31, 2016. We did not repatriate any funds during the three months ended March 31, 2017. Cash balances did not exceed the level required for normal business operations at our subsidiaries in Canada and France as of March 31, 2017. With no funds available to repatriate, no deferred tax liability was recorded as of that date. The total tax liability associated with the repatriation of undistributed earnings in Canada and France during the three months ended March 31, 2016 was approximately $1.7 million, however the liability was entirely offset by the foreign tax credits generated from the repatriation. We currently have no plans to repatriate any of our undistributed foreign earnings in any other countries outside of Canada and France. These balances are considered permanently reinvested and will be used for foreign items including foreign acquisitions, capital investments, pension obligations and operations. It is impracticable to estimate the total tax liability, if any, which would be created by the future distribution of these earnings.</w:t>
      </w:r>
    </w:p>
    <w:p>
      <w:pPr>
        <w:spacing w:after="0" w:line="169"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We currently intend to retain all of our earnings to finance the expansion and development of our business and do not anticipate paying any cash dividends to holders of our common stock in the near future. As a result, capital appreciation, if any, of our common stock will be a stockholder’s sole source of gain for the near future.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60" w:type="dxa"/>
            <w:vAlign w:val="bottom"/>
            <w:gridSpan w:val="2"/>
          </w:tcPr>
          <w:p>
            <w:pPr>
              <w:ind w:left="4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372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8"/>
              </w:rPr>
              <w:t>Condensed Cash Flow Statements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7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1"/>
              </w:rPr>
              <w:t>(unaudited)</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6"/>
              </w:rPr>
              <w:t>March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(in thousands)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from operations:</w:t>
            </w:r>
          </w:p>
        </w:tc>
        <w:tc>
          <w:tcPr>
            <w:tcW w:w="3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160"/>
              <w:spacing w:after="0"/>
              <w:rPr>
                <w:sz w:val="20"/>
                <w:szCs w:val="20"/>
                <w:color w:val="auto"/>
              </w:rPr>
            </w:pPr>
            <w:r>
              <w:rPr>
                <w:rFonts w:ascii="Arial" w:cs="Arial" w:eastAsia="Arial" w:hAnsi="Arial"/>
                <w:sz w:val="18"/>
                <w:szCs w:val="18"/>
                <w:color w:val="auto"/>
              </w:rPr>
              <w:t>Net loss</w:t>
            </w:r>
          </w:p>
        </w:tc>
        <w:tc>
          <w:tcPr>
            <w:tcW w:w="3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(1,066)</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4"/>
              </w:rPr>
              <w:t>Other adjustments to operating cash flows</w:t>
            </w:r>
          </w:p>
        </w:tc>
        <w:tc>
          <w:tcPr>
            <w:tcW w:w="3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Changes in assets and liabilities</w:t>
            </w:r>
          </w:p>
        </w:tc>
        <w:tc>
          <w:tcPr>
            <w:tcW w:w="3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lef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Borders>
              <w:left w:val="single" w:sz="8" w:color="CCEEFF"/>
            </w:tcBorders>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00"/>
          </w:cols>
          <w:pgMar w:left="240" w:top="216" w:right="259" w:bottom="705" w:gutter="0" w:footer="0" w:header="0"/>
        </w:sectPr>
      </w:pPr>
    </w:p>
    <w:p>
      <w:pPr>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15759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investing activities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15759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5759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repayments of debt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15759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15759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5759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Decrease in cash and cash equivalents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460" w:hanging="1539"/>
        <w:spacing w:after="0"/>
        <w:tabs>
          <w:tab w:leader="none" w:pos="2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(201)</w:t>
      </w:r>
    </w:p>
    <w:p>
      <w:pPr>
        <w:spacing w:after="0" w:line="35" w:lineRule="exact"/>
        <w:rPr>
          <w:sz w:val="20"/>
          <w:szCs w:val="20"/>
          <w:color w:val="auto"/>
        </w:rPr>
      </w:pPr>
    </w:p>
    <w:p>
      <w:pPr>
        <w:jc w:val="both"/>
        <w:ind w:left="1020"/>
        <w:spacing w:after="0"/>
        <w:tabs>
          <w:tab w:leader="none" w:pos="262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color w:val="auto"/>
        </w:rPr>
        <w:t>(4)</w:t>
      </w:r>
    </w:p>
    <w:p>
      <w:pPr>
        <w:spacing w:after="0" w:line="23" w:lineRule="exact"/>
        <w:rPr>
          <w:sz w:val="20"/>
          <w:szCs w:val="20"/>
          <w:color w:val="auto"/>
        </w:rPr>
      </w:pPr>
    </w:p>
    <w:p>
      <w:pPr>
        <w:ind w:left="2460" w:hanging="1539"/>
        <w:spacing w:after="0"/>
        <w:tabs>
          <w:tab w:leader="none" w:pos="2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(205)</w:t>
      </w:r>
    </w:p>
    <w:p>
      <w:pPr>
        <w:spacing w:after="0" w:line="200" w:lineRule="exact"/>
        <w:rPr>
          <w:sz w:val="20"/>
          <w:szCs w:val="20"/>
          <w:color w:val="auto"/>
        </w:rPr>
      </w:pPr>
    </w:p>
    <w:p>
      <w:pPr>
        <w:spacing w:after="0" w:line="252" w:lineRule="exact"/>
        <w:rPr>
          <w:sz w:val="20"/>
          <w:szCs w:val="20"/>
          <w:color w:val="auto"/>
        </w:rPr>
      </w:pPr>
    </w:p>
    <w:p>
      <w:pPr>
        <w:ind w:left="2320" w:hanging="1392"/>
        <w:spacing w:after="0"/>
        <w:tabs>
          <w:tab w:leader="none" w:pos="2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(1,613)</w:t>
      </w:r>
    </w:p>
    <w:p>
      <w:pPr>
        <w:spacing w:after="0" w:line="35" w:lineRule="exact"/>
        <w:rPr>
          <w:sz w:val="20"/>
          <w:szCs w:val="20"/>
          <w:color w:val="auto"/>
        </w:rPr>
      </w:pPr>
    </w:p>
    <w:p>
      <w:pPr>
        <w:ind w:left="2460" w:hanging="1539"/>
        <w:spacing w:after="0"/>
        <w:tabs>
          <w:tab w:leader="none" w:pos="2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(113)</w:t>
      </w:r>
    </w:p>
    <w:p>
      <w:pPr>
        <w:spacing w:after="0" w:line="34" w:lineRule="exact"/>
        <w:rPr>
          <w:sz w:val="20"/>
          <w:szCs w:val="20"/>
          <w:color w:val="auto"/>
        </w:rPr>
      </w:pPr>
    </w:p>
    <w:p>
      <w:pPr>
        <w:ind w:left="2320" w:hanging="1399"/>
        <w:spacing w:after="0"/>
        <w:tabs>
          <w:tab w:leader="none" w:pos="2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(1,726)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18351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29" w:lineRule="exact"/>
        <w:rPr>
          <w:sz w:val="20"/>
          <w:szCs w:val="20"/>
          <w:color w:val="auto"/>
        </w:rPr>
      </w:pPr>
    </w:p>
    <w:p>
      <w:pPr>
        <w:ind w:left="980"/>
        <w:spacing w:after="0"/>
        <w:tabs>
          <w:tab w:leader="none" w:pos="26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88</w:t>
      </w:r>
    </w:p>
    <w:p>
      <w:pPr>
        <w:spacing w:after="0" w:line="266" w:lineRule="exact"/>
        <w:rPr>
          <w:sz w:val="20"/>
          <w:szCs w:val="20"/>
          <w:color w:val="auto"/>
        </w:rPr>
      </w:pPr>
    </w:p>
    <w:p>
      <w:pPr>
        <w:spacing w:after="0"/>
        <w:tabs>
          <w:tab w:leader="none" w:pos="900" w:val="left"/>
          <w:tab w:leader="none" w:pos="1520" w:val="left"/>
          <w:tab w:leader="none" w:pos="2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(997)</w:t>
        <w:tab/>
        <w:t>$</w:t>
      </w:r>
      <w:r>
        <w:rPr>
          <w:sz w:val="20"/>
          <w:szCs w:val="20"/>
          <w:color w:val="auto"/>
        </w:rPr>
        <w:tab/>
      </w:r>
      <w:r>
        <w:rPr>
          <w:rFonts w:ascii="Arial" w:cs="Arial" w:eastAsia="Arial" w:hAnsi="Arial"/>
          <w:sz w:val="17"/>
          <w:szCs w:val="17"/>
          <w:color w:val="auto"/>
        </w:rPr>
        <w:t>(2,569)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8351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3515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00" w:space="720"/>
            <w:col w:w="4580"/>
          </w:cols>
          <w:pgMar w:left="240" w:top="216" w:right="259" w:bottom="705" w:gutter="0" w:footer="0" w:header="0"/>
          <w:type w:val="continuous"/>
        </w:sectPr>
      </w:pPr>
    </w:p>
    <w:p>
      <w:pPr>
        <w:spacing w:after="0" w:line="66"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Our operating activities used cash of $0.6 million and $0.7 million of cash for the three months ended March 31, 2017 and 2016, respectively. Net cash used in operations for both periods was primarily due to the effect of a net loss and changes in working capital quarter over quarter.</w:t>
      </w:r>
    </w:p>
    <w:p>
      <w:pPr>
        <w:spacing w:after="0" w:line="147" w:lineRule="exact"/>
        <w:rPr>
          <w:sz w:val="20"/>
          <w:szCs w:val="20"/>
          <w:color w:val="auto"/>
        </w:rPr>
      </w:pPr>
    </w:p>
    <w:p>
      <w:pPr>
        <w:jc w:val="both"/>
        <w:ind w:right="540" w:firstLine="441"/>
        <w:spacing w:after="0" w:line="264" w:lineRule="auto"/>
        <w:rPr>
          <w:sz w:val="20"/>
          <w:szCs w:val="20"/>
          <w:color w:val="auto"/>
        </w:rPr>
      </w:pPr>
      <w:r>
        <w:rPr>
          <w:rFonts w:ascii="Arial" w:cs="Arial" w:eastAsia="Arial" w:hAnsi="Arial"/>
          <w:sz w:val="18"/>
          <w:szCs w:val="18"/>
          <w:color w:val="auto"/>
        </w:rPr>
        <w:t>Our investing activities used cash of $0.2 million for both the three months ended March 31, 2017 and 2016. Investing activities during the three months ended March 31, 2017 and 2016 primarily included cash used for purchases of property, plant and equipment. We spent $0.2 million on capital expenditures during both the three months ended March 31, 2017 and 2016, respectively.</w:t>
      </w:r>
    </w:p>
    <w:p>
      <w:pPr>
        <w:spacing w:after="0" w:line="18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Our financing activities have historically consisted of borrowings and repayments under our revolving credit facility and term loans, payments of debt issuance costs and the issuance of common stock. During the three months ended March 31, 2017, financing activities used cash of $0.3 million, compared with $1.7 million of cash used by financing activities for the three months ended March 31, 2016. During the three months ended March 31, 2017, we borrowed $1.0 million under our credit facility, repaid $1.1 million of debt under our credit facility and term loans and ended the quarter with $13.7 million of borrowings, net of deferred financing costs of $0.1 million. Net cash paid for tax withholdings from the issuance of common stock for the three months ended March 31, 2017 were $0.2 million, which related to the vesting of restricted stock units. During the three months ended March 31, 2016, we borrowed $1.0 million under our credit facility, repaid $2.6 million of debt under our credit facility and term loans and ended with $17.1 million of borrowings at March 31, 2016, net of deferred financing costs of $0.1 million. Net cash paid for tax withholdings from the issuance of common stock for the three months ended March 31, 2016 were $0.1 million, which related to the vesting of restricted stock units.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Arrangements</w:t>
      </w:r>
    </w:p>
    <w:p>
      <w:pPr>
        <w:spacing w:after="0" w:line="225"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On August 7, 2009, we entered into an Amended and Restated Revolving Credit Loan Agreement related to a $20.0 million revolving credit facility with Bank of America, as agent, and Bank of America and Brown Brothers Harriman &amp; Co as lenders (as amended, the “2009 Credit Agreement”). On March 29, 2013, we entered into a Second Amended and Restated Revolving Credit Agreement (as amended, the “2013 Credit Agreement”) with Bank of America, as agent, and Bank of America and Brown Brothers Harriman &amp; Co, as lenders that amended and restated the 2009 Credit Agreement. Between September 2011 and March 2016, we entered into a series of amendments that among other things did the following:</w:t>
      </w:r>
    </w:p>
    <w:p>
      <w:pPr>
        <w:spacing w:after="0" w:line="173" w:lineRule="exact"/>
        <w:rPr>
          <w:sz w:val="20"/>
          <w:szCs w:val="20"/>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September 30, 2011, reduced interest rates to the London Interbank Offered Rate plus 3.0%;</w:t>
      </w:r>
    </w:p>
    <w:p>
      <w:pPr>
        <w:spacing w:after="0" w:line="23" w:lineRule="exact"/>
        <w:rPr>
          <w:rFonts w:ascii="Arial" w:cs="Arial" w:eastAsia="Arial" w:hAnsi="Arial"/>
          <w:sz w:val="18"/>
          <w:szCs w:val="18"/>
          <w:color w:val="auto"/>
        </w:rPr>
      </w:pPr>
    </w:p>
    <w:p>
      <w:pPr>
        <w:ind w:left="1140" w:right="20" w:hanging="322"/>
        <w:spacing w:after="0" w:line="250"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March 29, 2013, converted existing loan advances into a term loan in the principal amount of $15.0 million (the “2013 Term Loan”), provided a revolving credit facility in the maximum principal amount of $25.0 million (“2013 Revolving Line”) and a delayed draw term loan (“2013 DDTL”) of up to $15.0 million (all with a maturity date of March 29, 2018);</w:t>
      </w:r>
    </w:p>
    <w:p>
      <w:pPr>
        <w:spacing w:after="0" w:line="1"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October 31, 2013, reduced the 2013 DDTL from up to $15.0 million to up to $10.0 million;</w:t>
      </w:r>
    </w:p>
    <w:p>
      <w:pPr>
        <w:spacing w:after="0" w:line="9" w:lineRule="exact"/>
        <w:rPr>
          <w:rFonts w:ascii="Arial" w:cs="Arial" w:eastAsia="Arial" w:hAnsi="Arial"/>
          <w:sz w:val="18"/>
          <w:szCs w:val="18"/>
          <w:color w:val="auto"/>
        </w:rPr>
      </w:pPr>
    </w:p>
    <w:p>
      <w:pPr>
        <w:ind w:left="1140" w:right="520" w:hanging="322"/>
        <w:spacing w:after="0" w:line="250"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April 24, 2015, extended the maturity date of the 2013 Revolving Line to March 29, 2018 and reduced the interest rates on the 2013 Revolving Line, 2013 Term Loan and 2013 DDTL;</w:t>
      </w: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June 30, 2015, amended our quarterly minimum fixed charge coverage financial covenant; and</w:t>
      </w:r>
    </w:p>
    <w:p>
      <w:pPr>
        <w:spacing w:after="0" w:line="9" w:lineRule="exact"/>
        <w:rPr>
          <w:rFonts w:ascii="Arial" w:cs="Arial" w:eastAsia="Arial" w:hAnsi="Arial"/>
          <w:sz w:val="18"/>
          <w:szCs w:val="18"/>
          <w:color w:val="auto"/>
        </w:rPr>
      </w:pPr>
    </w:p>
    <w:p>
      <w:pPr>
        <w:ind w:left="1140" w:right="20" w:hanging="322"/>
        <w:spacing w:after="0" w:line="26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March 9, 2016, amended the principal payment amortization of the 2013 Term Loan and 2013 DDTL to five years, as well as amended our quarterly minimum fixed charge coverage financial covenant.</w:t>
      </w:r>
    </w:p>
    <w:p>
      <w:pPr>
        <w:sectPr>
          <w:pgSz w:w="11900" w:h="16838" w:orient="portrait"/>
          <w:cols w:equalWidth="0" w:num="1">
            <w:col w:w="11400"/>
          </w:cols>
          <w:pgMar w:left="240" w:top="216" w:right="259" w:bottom="705" w:gutter="0" w:footer="0" w:header="0"/>
          <w:type w:val="continuous"/>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16" w:right="259" w:bottom="705"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The maximum amount available under the 2013 Credit Agreement is $50.0 million as borrowings against the 2013 DDTL in excess of $10.0 million results in a dollar for dollar reduction in the 2013 Revolving Line capacity. The 2013 Revolving Line, 2013 Term Loan and 2013 DDTL each have a maturity date of March 29, 2018. Borrowings under the 2013 Term Loan and the 2013 DDTL accrue interest at a rate based on either the effective London Interbank Offered Rate (LIBOR) for certain interest periods selected by us, or a daily floating rate based on the British Bankers’ Association (BBA) LIBOR as published by Reuters (or other commercially available source providing quotations of BBA LIBOR), plus in either case, a margin of 2.75%. Additionally, the 2013 Revolving Line accrues interest at a rate based on either the effective LIBOR for certain interest periods selected by us, or a daily floating rate based on the BBA LIBOR, plus in either case, a margin of 2.25%. We were required to fix the rate of interest on at least 50% of the 2013 Term Loan and the 2013 DDTL through the purchase of interest rate swaps.</w:t>
      </w:r>
    </w:p>
    <w:p>
      <w:pPr>
        <w:spacing w:after="0" w:line="179"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The loans evidenced by the 2013 Credit Agreement, or the 2013 Loans, are guaranteed by all of our direct and indirect domestic subsidiaries, and secured by substantially all of our assets and the guarantors. The 2013 Loans are subject to restrictive covenants under the 2013 Credit Agreement, and financial covenants that require us to maintain certain financial ratios on a consolidated basis, including a maximum leverage, minimum fixed charge coverage and minimum working capital. Prepayment of the 2013 Loans is allowed by the 2013 Credit Agreement at any time during the terms of the 2013 Loans. The 2013 Loans also contain limitations on our ability to incur additional indebtedness and requires lender approval for acquisitions funded with cash, promissory notes and/or other consideration in excess of $6.0 million and for acquisitions funded solely with equity in excess of $10.0 million.</w:t>
      </w:r>
    </w:p>
    <w:p>
      <w:pPr>
        <w:spacing w:after="0" w:line="165"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At March 31, 2017, the weighted effective interest rates on the 2013 Term Loan, 2013 DDTL and 2013 Revolving Line borrowings were 3.96%, 3.83% and 3.23%, respectively. The 2013 Credit Agreement includes covenants relating to income, debt coverage and cash flow, as well as minimum working capital requirements. The 2013 Credit Agreement also contains limitations on our ability to incur additional indebtedness and requires lender approval for acquisitions funded with cash, promissory notes and/or other consideration in excess of $6.0 million and for acquisitions funded solely with equity in excess of $10.0 million. As of March 31, 2017, we were in compliance with all financial covenants contained in the 2013 Credit Agreement; we were subject to covenant and working capital borrowing restrictions, and had available borrowing capacity under the 2013 Credit Agreement of $5.2 million.</w:t>
      </w:r>
    </w:p>
    <w:p>
      <w:pPr>
        <w:spacing w:after="0" w:line="165" w:lineRule="exact"/>
        <w:rPr>
          <w:sz w:val="20"/>
          <w:szCs w:val="20"/>
          <w:color w:val="auto"/>
        </w:rPr>
      </w:pPr>
    </w:p>
    <w:p>
      <w:pPr>
        <w:ind w:right="60" w:firstLine="441"/>
        <w:spacing w:after="0" w:line="253" w:lineRule="auto"/>
        <w:rPr>
          <w:sz w:val="20"/>
          <w:szCs w:val="20"/>
          <w:color w:val="auto"/>
        </w:rPr>
      </w:pPr>
      <w:r>
        <w:rPr>
          <w:rFonts w:ascii="Arial" w:cs="Arial" w:eastAsia="Arial" w:hAnsi="Arial"/>
          <w:sz w:val="18"/>
          <w:szCs w:val="18"/>
          <w:color w:val="auto"/>
        </w:rPr>
        <w:t>On May 2, 2017, we entered into a Third Amended and Restated Revolving Credit Agreement (as amended, the “Credit Agreement”) with Bank of America, as agent, and Bank of America and Brown Brothers Harriman &amp; Co, as lenders that amended and restated the 2013 Credit Agreement. The Credit Agreement was entered into to, among other things, consolidate, combine and restate the outstanding indebtedness, on the date of the Credit Agreement, into a Term Loan in the principal amount of $14.0 million, and also provide for a $25.0 million revolving line of credit (the “Revolving Line”). The Term Loan and the Revolving Line each have a maturity date of May 1, 2022. Borrowings under the Term Loan accrue interest at a rate based on either the effective LIBOR for certain interest periods selected by us, or a daily floating rate based on the BBA LIBOR as published by Reuters (or other commercially available source providing quotations of BBA LIBOR), plus in either case, a margin of 2.75%. Additionally, the Revolving Line accrues interest at a rate based on either the effective LIBOR for certain interest periods selected by us, or a daily floating rate based on the BBA LIBOR, plus in either case, a margin of 2.25%.</w:t>
      </w:r>
    </w:p>
    <w:p>
      <w:pPr>
        <w:spacing w:after="0" w:line="19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The Term Loan and loans under the Revolving Line as evidenced by the Credit Agreement, or the Loans, are guaranteed by all of our direct and indirect domestic subsidiaries, and secured by substantially all of our assets and the guarantors. The Loans are subject to restrictive covenants under the Credit Agreement, and financial covenants that require us and our subsidiaries to maintain certain financial ratios on a consolidated basis, including a maximum leverage, minimum fixed charge coverage and minimum working capital. Prepayment of the Loans is allowed by the Credit Agreement at any time during the terms of the Loans. The Loans also contain limitations on our ability to incur additional indebtedness and requires lender approval for acquisitions funded with cash, promissory notes and/or other consideration in excess of $6.0 million and for acquisitions funded solely with equity in excess of $10.0 million.</w:t>
      </w:r>
    </w:p>
    <w:p>
      <w:pPr>
        <w:spacing w:after="0" w:line="165"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Our forecast of the period of time through which our financial resources will be adequate to support our operations is a forward-looking statement that involves risks and uncertainties, and actual results could vary as a result of a number of factors. Based on our current operations and current operating plans, we expect that our available cash, cash generated from current operations and debt capacity will be sufficient to finance current operations, any potential future acquisitions and capital expenditures for the next 12 months and beyond. This may involve incurring additional debt or raising equity capital for our business. Additional capital raising activities will dilute the ownership interests of existing stockholders to the extent we raise capital by issuing equity securities and we cannot guarantee that we will be successful in raising additional capital on favorable terms or at all.</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441"/>
        <w:spacing w:after="0" w:line="308" w:lineRule="auto"/>
        <w:rPr>
          <w:sz w:val="20"/>
          <w:szCs w:val="20"/>
          <w:color w:val="auto"/>
        </w:rPr>
      </w:pPr>
      <w:r>
        <w:rPr>
          <w:rFonts w:ascii="Arial" w:cs="Arial" w:eastAsia="Arial" w:hAnsi="Arial"/>
          <w:sz w:val="17"/>
          <w:szCs w:val="17"/>
          <w:color w:val="auto"/>
        </w:rPr>
        <w:t>The critical accounting policies underlying the accompanying unaudited consolidated financial statements are those set forth in Part II, Item 7 included in our Annual Report on Form 10-K for the fiscal year ended December 31, 2016, which was filed with the SEC on March 17,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Foreign Currencies</w:t>
      </w:r>
    </w:p>
    <w:p>
      <w:pPr>
        <w:spacing w:after="0" w:line="229" w:lineRule="exact"/>
        <w:rPr>
          <w:sz w:val="20"/>
          <w:szCs w:val="20"/>
          <w:color w:val="auto"/>
        </w:rPr>
      </w:pPr>
    </w:p>
    <w:p>
      <w:pPr>
        <w:jc w:val="both"/>
        <w:ind w:right="340" w:firstLine="441"/>
        <w:spacing w:after="0" w:line="264" w:lineRule="auto"/>
        <w:rPr>
          <w:sz w:val="20"/>
          <w:szCs w:val="20"/>
          <w:color w:val="auto"/>
        </w:rPr>
      </w:pPr>
      <w:r>
        <w:rPr>
          <w:rFonts w:ascii="Arial" w:cs="Arial" w:eastAsia="Arial" w:hAnsi="Arial"/>
          <w:sz w:val="18"/>
          <w:szCs w:val="18"/>
          <w:color w:val="auto"/>
        </w:rPr>
        <w:t>Our international operations in some instances operate in a natural hedge as we sell our products in many countries and a substantial portion of our revenues, costs and expenses are denominated in foreign currencies, especially the British pound sterling, the Euro, the Canadian dollar and the Swedish krona.</w:t>
      </w:r>
    </w:p>
    <w:p>
      <w:pPr>
        <w:spacing w:after="0" w:line="181" w:lineRule="exact"/>
        <w:rPr>
          <w:sz w:val="20"/>
          <w:szCs w:val="20"/>
          <w:color w:val="auto"/>
        </w:rPr>
      </w:pPr>
    </w:p>
    <w:p>
      <w:pPr>
        <w:ind w:right="300" w:firstLine="486"/>
        <w:spacing w:after="0" w:line="302" w:lineRule="auto"/>
        <w:rPr>
          <w:sz w:val="20"/>
          <w:szCs w:val="20"/>
          <w:color w:val="auto"/>
        </w:rPr>
      </w:pPr>
      <w:r>
        <w:rPr>
          <w:rFonts w:ascii="Arial" w:cs="Arial" w:eastAsia="Arial" w:hAnsi="Arial"/>
          <w:sz w:val="16"/>
          <w:szCs w:val="16"/>
          <w:color w:val="auto"/>
        </w:rPr>
        <w:t>During the three months ended March 31, 2017, changes in foreign currency exchange rates resulted in an unfavorable translation effect on our consolidated revenues and our consolidated net loss. Changes in foreign currency exchange rates resulted in an unfavorable effect on revenues of approximately $0.7 million and a favorable effect on expenses of approximately $0.6 million. During the three months ended March 31, 2016, changes in foreign currency exchange rates resulted in an unfavorable effect on revenues of $0.3 million and a favorable effect on expenses of $0.3 million.</w:t>
      </w:r>
    </w:p>
    <w:p>
      <w:pPr>
        <w:spacing w:after="0" w:line="154"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The gain associated with the translation of foreign equity into U.S. dollars included as a component of comprehensive loss during the three months ended March 31, 2017, was approximately $0.9 million, compared to a gain of $0.6 million for the three months ended March 31, 2016.</w:t>
      </w:r>
    </w:p>
    <w:p>
      <w:pPr>
        <w:spacing w:after="0" w:line="147"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In addition, currency exchange rate fluctuations included as a component of net loss resulted in approximately $0.1 million and $9 thousand in currency losses during the three months ended March 31,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a new accounting standard that provides for a comprehensive model to use in the accounting for revenue arising from contracts with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that will replace most existing revenue recognition guidance within generally accepted accounting principles in the United States. Under this standard, revenue will be recognized to depict the transfer of promised goods or services to customers in an amount that reflects the consideration to which we expect to be entitled in exchange for those goods or services. We expect to adopt this standard as of January 1, 2018 using the modified retrospective approach. We intend to complete a comprehensive assessment of its contracts in 2017 concerning any unique customer contract terms or transactions that could have implications to the timing of revenue recognition under the new guidance. We expect this undertaking will be complete in the second half of 2017.</w:t>
      </w:r>
    </w:p>
    <w:p>
      <w:pPr>
        <w:spacing w:after="0" w:line="167"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is intended to improve financial reporting about leasing transactions. The update requires a lessee to record on the balance sheet the assets and liabilities for the rights and obligations created by lease terms of more than 12 months. The update is effective for fiscal years beginning after December 15, 2018. We are evaluating the requirements of this guidance and have not yet determined the impact of the adoption on its consolidated financial position, results of operations and cash flows, however, assets and liabilities will increase upon adoption for right-of-use assets and lease liabilities. Our future commitments under lease obligations are summarized in Note 10.</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 xml:space="preserve">In March 2016, the FASB issued ASU 2016-09, Compensation – Stock Compensation (Topic 718): </w:t>
      </w:r>
      <w:r>
        <w:rPr>
          <w:rFonts w:ascii="Arial" w:cs="Arial" w:eastAsia="Arial" w:hAnsi="Arial"/>
          <w:sz w:val="18"/>
          <w:szCs w:val="18"/>
          <w:i w:val="1"/>
          <w:iCs w:val="1"/>
          <w:color w:val="auto"/>
        </w:rPr>
        <w:t>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simplifies the accounting for share-based payment transactions, including the income tax consequences, classification of awards as either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or liabilities and classification on the statement of cash flows.</w:t>
      </w:r>
    </w:p>
    <w:p>
      <w:pPr>
        <w:spacing w:after="0" w:line="181"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The standard requires an entity to recognize all excess tax benefits and tax deficiencies as income tax benefit or expense in the income statement as discrete items in the reporting period in which they occur, and such tax benefits and tax deficiencies are not included in the estimate of an entity’s annual effective tax rate, applied on a prospective basis. Further, the standard eliminates the requirement to defer the recognition of excess tax benefits until the benefit is realized through a reduction to taxes payable. All excess tax benefits previously unrecognized, along with any valuation allowance, should be recognized on a modified retrospective basis as a cumulative adjustment to retained earnings as of the date of adoption. Under ASU 2016-09, an entity that applies the treasury stock method in calculating diluted earnings per share is required to exclude excess tax benefits and deficiencies from the calculation of assumed proceeds since such amounts are recognized in the income statement. Excess tax benefits should also be classified as operating activities in the same manner as other cash flows related to income taxes on the statement of cash flows, as such excess tax benefits no longer represent financing activities since they are recognized in the income statement, and should be applied prospectively or retrospectively to all periods presented.</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We adopted ASU 2016-09 as of January 1, 2017. We recorded a cumulative increase in retained earnings of $0.5 million at the beginning of the first quarter of 2017 with a corresponding increase in deferred tax assets related to the prior years’ unrecognized excess tax benefits. An equal amount of valuation allowance was also recorded against these deferred tax assets with a corresponding decrease to retained earnings resulting in a net impact of $0. In addition, tax deficiencies related to vested restricted stock units and canceled stock options during the first quarter of 2017 have been recognized in the current period’s income statement.</w:t>
      </w:r>
    </w:p>
    <w:p>
      <w:pPr>
        <w:spacing w:after="0" w:line="188"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ASU 2016-09 also allows an entity to elect as an accounting policy either to continue to estimate the total number of awards for which the requisite service period will not be rendered or to account for forfeitures for service based awards as they occur. An entity that elects to account for forfeitures as they occur should apply the accounting change on a modified retrospective basis as a cumulative effect adjustment to retained earnings as of the date of adoption. We elected as an accounting policy to account for forfeitures for service based awards as they occur, and as a result, we recorded a cumulative effect adjustment of $0.1 million to reduce retained earnings with a corresponding increase in additional paid in capital related to the prior years as required under the modified retrospective approach. The tax effect of this adjustment, which included the impact of a valuation allowance was immaterial.</w:t>
      </w:r>
    </w:p>
    <w:p>
      <w:pPr>
        <w:spacing w:after="0" w:line="3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majority of our manufacturing and testing of products occurs in our facilities in the United States, Germany, Sweden and Spain. We sell our products globally through our distributors, direct sales force, websites and catalogs. As a result, our financial results are affected by factors such as changes in foreign currency exchange rates and weak economic conditions in foreign markets.</w:t>
      </w:r>
    </w:p>
    <w:p>
      <w:pPr>
        <w:spacing w:after="0" w:line="18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We collect amounts representing a substantial portion of our revenues and pay amounts representing a substantial portion of our operating expenses in foreign currencies. As a result, changes in currency exchange rates from time to time may affect our operating results.</w:t>
      </w:r>
    </w:p>
    <w:p>
      <w:pPr>
        <w:spacing w:after="0" w:line="170"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We are exposed to market risk from changes in interest rates primarily through our financing activities. As of March 31, 2017, we had $13.7 million outstanding under our Credit Agreement, net of deferred financing costs.</w:t>
      </w:r>
    </w:p>
    <w:p>
      <w:pPr>
        <w:spacing w:after="0" w:line="170"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On April 24, 2015, we entered an amendment to our 2013 Credit Agreement (Third Amendment), which extended the maturity date of the 2013 Revolving Line to March 29, 2018 and reduced the interest rate to the London Interbank Offered Rate plus 2.25%, 2.75% and 2.75% on the 2013 Revolving Line, 2013 Term Loan and 2013 DDTL, respectively.</w:t>
      </w:r>
    </w:p>
    <w:p>
      <w:pPr>
        <w:spacing w:after="0" w:line="181"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Prior to the Third Amendment, borrowings under the 2013 Term Loan and the 2013 DDTL accrued interest at a rate based on either the effective London Interbank Offered Rate (LIBOR) for certain interest periods selected by us, or a daily floating rate based on the BBA LIBOR as published by Reuters (or other commercially available source providing quotations of BBA LIBOR), plus in either case, a margin of 3.0%. Prior to the Third Amendment, the 2013 Revolving Line accrued interest at a rate based on either the effective LIBOR for certain interest periods selected by us, or a daily floating rate based on the BBA LIBOR, plus in either case, a margin of 2.5%. We were required to fix the rate of interest on at least 50% of the 2013 Term Loan and the 2013 DDTL through the purchase of an interest rate swap. The 2013 Term Loan and 2013 DDTL each have interest payments due at the end of the applicable LIBOR period, or monthly with respect to BBA LIBOR borrowings, and principal payments are due quarterly. The 2013 Revolving Line has interest payments due at the end of the applicable LIBOR period, or monthly with respect to BBA LIBOR borrowings. Effective June 5, 2013, we entered into an interest rate swap contract with an original notional amount of $15.0 million and a maturity date of March 29, 2018 in order to hedge the risk of changes in the effective benchmark interest rate (LIBOR) associated with our 2013 Term Loan. The swap contract converted specific variable-rate debt into fixed-rate debt and fixed LIBOR associated with the 2013 Term Loan at 0.96% plus a bank margin of 3.0%. Effective November 29, 2013, we entered into a second interest rate swap contract with an original notional amount of $5.0 million and a maturity date of March 29, 2018 in order to hedge the risk of changes in LIBOR associated with a portion of our 2013 DDTL. The swap contract converted specific variable-rate debt into fixed rate debt and fixed LIBOR associated with half of the 2013 DDTL amount at 0.93% plus a bank margin of 3.0%. The notional amount of our derivative instruments as of March 31, 2017 was $4.5 million. These swap contracts were associated with reducing or eliminating interest rate risk and were designated as cash flow hedge instruments in accordance with ASC</w:t>
      </w:r>
    </w:p>
    <w:p>
      <w:pPr>
        <w:spacing w:after="0" w:line="1" w:lineRule="exact"/>
        <w:rPr>
          <w:sz w:val="20"/>
          <w:szCs w:val="20"/>
          <w:color w:val="auto"/>
        </w:rPr>
      </w:pPr>
    </w:p>
    <w:p>
      <w:pPr>
        <w:ind w:right="100" w:firstLine="8"/>
        <w:spacing w:after="0" w:line="323" w:lineRule="auto"/>
        <w:tabs>
          <w:tab w:leader="none" w:pos="357"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use interest-rate-related derivative instruments to manage our exposure related to changes in interest rates on our variable-rate debt instruments. We do not enter into derivative instruments for any purpose other than cash flow hedging and we do not speculate using derivative instruments.</w:t>
      </w:r>
    </w:p>
    <w:p>
      <w:pPr>
        <w:spacing w:after="0" w:line="354" w:lineRule="exact"/>
        <w:rPr>
          <w:rFonts w:ascii="Arial" w:cs="Arial" w:eastAsia="Arial" w:hAnsi="Arial"/>
          <w:sz w:val="16"/>
          <w:szCs w:val="16"/>
          <w:color w:val="auto"/>
        </w:rPr>
      </w:pPr>
    </w:p>
    <w:p>
      <w:pPr>
        <w:ind w:left="5640" w:hanging="114"/>
        <w:spacing w:after="0"/>
        <w:tabs>
          <w:tab w:leader="none" w:pos="5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As noted above under the heading “Borrowing Arrangements”, on May 2, 2017, we entered into the Credit Agreement to amend our credit facility with Bank of America, as agent, and Bank of America and Brown Brothers Harriman &amp; Co. as lenders. Immediately after entering into this Credit Agreement, we entered into a new interest rate swap contract with Bank of America with a notional amount of $14.0 million and a maturity date of March 30, 2022 in order to hedge the risk of changes in the effective benchmark interest rate (LIBOR) associated with our Term Loan. The swap contract converted specific variable-rate debt into fixed-rate debt and fixed the LIBOR rate associated with the Term Loan at 1.86%. The interest rate swap was designated as a cash flow hedge instrument in accordance with ASC 815 “Derivatives and Hedging”. As a result of entering into the new interest rate swap contract, we unwound the previous interest rate swap contracts, and received an immaterial amount in proceeds.</w:t>
      </w:r>
    </w:p>
    <w:p>
      <w:pPr>
        <w:spacing w:after="0" w:line="178" w:lineRule="exact"/>
        <w:rPr>
          <w:sz w:val="20"/>
          <w:szCs w:val="20"/>
          <w:color w:val="auto"/>
        </w:rPr>
      </w:pPr>
    </w:p>
    <w:p>
      <w:pPr>
        <w:jc w:val="both"/>
        <w:ind w:right="100" w:firstLine="441"/>
        <w:spacing w:after="0" w:line="259" w:lineRule="auto"/>
        <w:rPr>
          <w:sz w:val="20"/>
          <w:szCs w:val="20"/>
          <w:color w:val="auto"/>
        </w:rPr>
      </w:pPr>
      <w:r>
        <w:rPr>
          <w:rFonts w:ascii="Arial" w:cs="Arial" w:eastAsia="Arial" w:hAnsi="Arial"/>
          <w:sz w:val="18"/>
          <w:szCs w:val="18"/>
          <w:color w:val="auto"/>
        </w:rPr>
        <w:t>As of March 31, 2017, the weighted effective interest rates, net of the impact of our interest rate swaps, on our Term Loan , DDTL and Revolving Line borrowings were 3.96%, 3.83% and 3.23%, respectively. Assuming no other changes which would affect the margin of the interest rate under our 2013 Term Loan, 2013 DDTL and 2013 Revolving Line, the effect of interest rate fluctuations on outstanding borrowings under our Credit Agreement as of March 31, 2017 over the next twelve months is quantified and summarized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Interest expense</w:t>
            </w:r>
          </w:p>
        </w:tc>
      </w:tr>
      <w:tr>
        <w:trPr>
          <w:trHeight w:val="234"/>
        </w:trPr>
        <w:tc>
          <w:tcPr>
            <w:tcW w:w="8160" w:type="dxa"/>
            <w:vAlign w:val="bottom"/>
          </w:tcPr>
          <w:p>
            <w:pPr>
              <w:spacing w:after="0"/>
              <w:rPr>
                <w:sz w:val="20"/>
                <w:szCs w:val="20"/>
                <w:color w:val="auto"/>
              </w:rPr>
            </w:pPr>
            <w:r>
              <w:rPr>
                <w:rFonts w:ascii="Arial" w:cs="Arial" w:eastAsia="Arial" w:hAnsi="Arial"/>
                <w:sz w:val="18"/>
                <w:szCs w:val="18"/>
                <w:b w:val="1"/>
                <w:bCs w:val="1"/>
                <w:color w:val="auto"/>
              </w:rPr>
              <w:t>If compared to the rate as of March 31, 2017</w:t>
            </w: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increase</w:t>
            </w:r>
          </w:p>
        </w:tc>
      </w:tr>
      <w:tr>
        <w:trPr>
          <w:trHeight w:val="210"/>
        </w:trPr>
        <w:tc>
          <w:tcPr>
            <w:tcW w:w="8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color w:val="auto"/>
                <w:w w:val="89"/>
              </w:rPr>
              <w:t>(in thousands)</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rates increase by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Interest rates increase by 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132</w:t>
            </w:r>
          </w:p>
        </w:tc>
      </w:tr>
    </w:tbl>
    <w:p>
      <w:pPr>
        <w:spacing w:after="0" w:line="40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Chief Financial Officer, to allow timely decisions regarding required disclosures.</w:t>
      </w:r>
    </w:p>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required by Rules 13a-15(e) and 15d-15(e) under the Exchange Act, our management, under the supervision and with the participation of our Chief Executive Officer and Chief Financial Officer, conducted an evaluation of the effectiveness of the design and operation of our disclosure controls and procedures as of March 31, 2017. Our disclosure controls and procedures are designed to provide reasonable assurance that information required to be disclosed by us in the reports that we file or submit under the Exchange Act is recorded, processed, summarized and reported within the time periods specified in the SEC’s rules and forms, and our management necessarily was required to apply its judgment in evaluating and implementing our disclosure controls and procedures. Based upon the evaluation described above, our management concluded that our disclosure controls and procedures for the periods covered by this report were not effective, as of March 31, 2017, because of the material weaknesses in internal control over financial reporting described in Part II, Item 9A of our Annual Report on Form 10-K for the year ended December 31, 2016, filed with the SEC on March 17, 2017 (the “2016 Form 10-K”). Management has concluded that the material weaknesses that were present at December 31, 2016 were also present at March 31, 2017.</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Notwithstanding the assessment that our internal controls over financial reporting were not effective and that there were material weaknesses as identified in the 2016 Form 10-K, we believe that our financial statements contained in our Quarterly Report on Form 10-Q for the fiscal quarter ended March 31, 2017, fairly present our financial condition, results of operations and cash flows in all material respects.</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previously disclosed in the 2016 Form 10-K, to remediate the material weaknesses described under the subheading “Management’s Report on Internal Control Over Financial Reporting” in Item 9A of the 2016 Form 10-K, we plan to implement the remediation initiatives described under the subheading “Remediation Plan” in Item 9A of the 2016 Form 10-K and will continue to evaluate the remediation and may in the future implement additional measures.</w:t>
      </w:r>
    </w:p>
    <w:p>
      <w:pPr>
        <w:spacing w:after="0" w:line="14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continue to take actions and make progress towards remediating the material weaknesses related to our internal control over financial reporting, as described above and in our 2016 Form 10-K. We have taken substantial steps in designing and implementing controls to remediate the material weaknesses in our internal controls over financial reporting</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there were no changes in our internal control over financial reporting identified in connection with the evaluation required by Rules 13a-15 and 15d-15 under the Exchange Act that occurred during the quarter ended March 31, 2017 that have materially affected, or are reasonably likely to materially affect, our internal control over financial reporting.</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On April 14, 2017, anticipated representatives for the estate of an individual plaintiff filed a wrongful death complaint with the Suffolk Superior Court, in the County of Suffolk, Massachusetts, against the Company and other defendants, including Biostage, Inc. (f/k/a Harvard Apparatus Regenerative Technology, Inc.), our former subsidiary that was spun off in 2013, as well as another third party. The complaint seeks payment for an unspecified amount of damages and alleges that the plaintiff sustained terminal injuries allegedly caused by products, including synthetic trachea scaffolds and bioreactors, provided by certain of the named defendants and utilized in connection with surgeries performed by third parties in 2012 and 2013. The litigation is at an early stage and the Company intends to vigorously defend this case and has contacted its liability insurance carrier to request defense and indemnification of any losses incurred in connection with this lawsuit. While we believe that such claim is without merit, we are unable to predict the ultimate outcome of such litigation.</w:t>
      </w:r>
    </w:p>
    <w:p>
      <w:pPr>
        <w:spacing w:after="0" w:line="16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To our knowledge, and except to the extent additional factual information disclosed in this Quarterly Report on Form 10-Q relates to such risk factors, there has been no material changes in the risk factors described in “Item 1A. Risk Factors” in our Annual Report on Form 10-K for the year ended December 31, 2016, which was filed with the SEC on March 17,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Amendment of Material Agreement; and Creation of a Direct Financial Obligation or an Obligation under an Off-Balance Sheet Arrangement of a Registrant.</w:t>
      </w:r>
    </w:p>
    <w:p>
      <w:pPr>
        <w:spacing w:after="0" w:line="166"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On May 2, 2017, the Company and certain of its subsidiaries entered into an amendment to the Company’s 2013 Credit Agreement with Bank of America, N.A., as agent, and Bank of America, N.A. and Brown Brothers Harriman &amp; Co., as lenders, as evidenced by that certain Third Amended and Restated Credit Agreement (the “Restated Credit Agreement”) and related loan documents, which such Restated Credit Agreement amended certain terms and conditions of the 2013 Credit Agreement, including among other things, (a) the consolidation, combination and restatement of the existing term loans and revolving loan balance under the 2013 Credit Agreement into a single term loan in an amount of $14 million (the “Term Loan”), (b) provision of a revolving credit facility for working capital and acquisitions in an amount up to $25 million (the “Revolving Line”), (c) extension of the maturity date for the Term Loan and Revolving Line to May 1, 2022, and (d) reduction and modification of the interest rate and margins such that the Term Loan and Revolving Line accrue interest at a rate based on either the effective London Interbank Offered Rate (LIBOR) for certain interest periods selected by the Company, or a daily floating rate based on LIBOR, plus a margin of 2.75% as to the Term Loan and 2.25% as to the Revolving Line.</w:t>
      </w:r>
    </w:p>
    <w:p>
      <w:pPr>
        <w:spacing w:after="0" w:line="167"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Under the Restated Credit Agreement and related loan documents, the Term Loan and loans under the Revolving Line, or the Loans, continued to be guaranteed by all of the Company’s direct and indirect domestic subsidiaries, and secured by substantially all of the assets of the Company and such guarantors. The Loans continue to also be subject to restrictive covenants under the Restated Credit Agreement, and financial covenants that require the Company and its subsidiaries to maintain certain financial ratios on a consolidated basis, including a maximum leverage, minimum fixed charge coverage and minimum working capital. Prepayment of the Loans continues to be allowed by the Credit Agreement at any time during the terms of the Loans. The Loans also continue to contain limitations on the Company’s ability to incur additional indebtedness and requires lender approval for acquisitions funded with cash, promissory notes and/or other consideration in excess of $6.0 million and for acquisitions funded solely with equity in excess of $10.0 million.</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preceding description of the Restated Credit Agreement is subject to, and qualified in its entirety by reference to, the Restated Credit Agreement, which is attached as Exhibit 10.1 to this Quarterly Report on Form 10-Q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10460" w:type="dxa"/>
            <w:vAlign w:val="bottom"/>
          </w:tcPr>
          <w:p>
            <w:pPr>
              <w:spacing w:after="0"/>
              <w:rPr>
                <w:sz w:val="18"/>
                <w:szCs w:val="18"/>
                <w:color w:val="auto"/>
              </w:rPr>
            </w:pPr>
          </w:p>
        </w:tc>
      </w:tr>
      <w:tr>
        <w:trPr>
          <w:trHeight w:val="220"/>
        </w:trPr>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Index</w:t>
            </w:r>
          </w:p>
        </w:tc>
        <w:tc>
          <w:tcPr>
            <w:tcW w:w="10460" w:type="dxa"/>
            <w:vAlign w:val="bottom"/>
          </w:tcPr>
          <w:p>
            <w:pPr>
              <w:spacing w:after="0"/>
              <w:rPr>
                <w:sz w:val="19"/>
                <w:szCs w:val="19"/>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0460" w:type="dxa"/>
            <w:vAlign w:val="bottom"/>
          </w:tcPr>
          <w:p>
            <w:pPr>
              <w:ind w:left="100"/>
              <w:spacing w:after="0"/>
              <w:rPr>
                <w:sz w:val="20"/>
                <w:szCs w:val="20"/>
                <w:color w:val="auto"/>
              </w:rPr>
            </w:pPr>
            <w:r>
              <w:rPr>
                <w:rFonts w:ascii="Arial" w:cs="Arial" w:eastAsia="Arial" w:hAnsi="Arial"/>
                <w:sz w:val="18"/>
                <w:szCs w:val="18"/>
                <w:color w:val="auto"/>
                <w:w w:val="92"/>
              </w:rPr>
              <w:t>Third Amended and Restated Credit Agreement dated as of May 1, 2017, by and among Harvard Bioscience, Inc. Bank of America, N.A. and</w:t>
            </w:r>
          </w:p>
        </w:tc>
      </w:tr>
      <w:tr>
        <w:trPr>
          <w:trHeight w:val="230"/>
        </w:trPr>
        <w:tc>
          <w:tcPr>
            <w:tcW w:w="820" w:type="dxa"/>
            <w:vAlign w:val="bottom"/>
          </w:tcPr>
          <w:p>
            <w:pPr>
              <w:spacing w:after="0"/>
              <w:rPr>
                <w:sz w:val="20"/>
                <w:szCs w:val="20"/>
                <w:color w:val="auto"/>
              </w:rPr>
            </w:pPr>
          </w:p>
        </w:tc>
        <w:tc>
          <w:tcPr>
            <w:tcW w:w="10460" w:type="dxa"/>
            <w:vAlign w:val="bottom"/>
          </w:tcPr>
          <w:p>
            <w:pPr>
              <w:ind w:left="100"/>
              <w:spacing w:after="0"/>
              <w:rPr>
                <w:sz w:val="20"/>
                <w:szCs w:val="20"/>
                <w:color w:val="auto"/>
              </w:rPr>
            </w:pPr>
            <w:r>
              <w:rPr>
                <w:rFonts w:ascii="Arial" w:cs="Arial" w:eastAsia="Arial" w:hAnsi="Arial"/>
                <w:sz w:val="18"/>
                <w:szCs w:val="18"/>
                <w:color w:val="auto"/>
              </w:rPr>
              <w:t>Brown Brothers Harriman &amp; Co.</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460" w:type="dxa"/>
            <w:vAlign w:val="bottom"/>
          </w:tcPr>
          <w:p>
            <w:pPr>
              <w:ind w:left="100"/>
              <w:spacing w:after="0"/>
              <w:rPr>
                <w:sz w:val="20"/>
                <w:szCs w:val="20"/>
                <w:color w:val="auto"/>
              </w:rPr>
            </w:pPr>
            <w:r>
              <w:rPr>
                <w:rFonts w:ascii="Arial" w:cs="Arial" w:eastAsia="Arial" w:hAnsi="Arial"/>
                <w:sz w:val="18"/>
                <w:szCs w:val="18"/>
                <w:color w:val="auto"/>
                <w:w w:val="91"/>
              </w:rPr>
              <w:t>Certification of Chief Financial Officer of Harvard Bioscience, Inc., pursuant to Rules 13a-14(a) and 15d-14(a), as adopted pursuant to Section</w:t>
            </w:r>
          </w:p>
        </w:tc>
      </w:tr>
      <w:tr>
        <w:trPr>
          <w:trHeight w:val="230"/>
        </w:trPr>
        <w:tc>
          <w:tcPr>
            <w:tcW w:w="820" w:type="dxa"/>
            <w:vAlign w:val="bottom"/>
          </w:tcPr>
          <w:p>
            <w:pPr>
              <w:spacing w:after="0"/>
              <w:rPr>
                <w:sz w:val="20"/>
                <w:szCs w:val="20"/>
                <w:color w:val="auto"/>
              </w:rPr>
            </w:pPr>
          </w:p>
        </w:tc>
        <w:tc>
          <w:tcPr>
            <w:tcW w:w="10460" w:type="dxa"/>
            <w:vAlign w:val="bottom"/>
          </w:tcPr>
          <w:p>
            <w:pPr>
              <w:ind w:left="100"/>
              <w:spacing w:after="0"/>
              <w:rPr>
                <w:sz w:val="20"/>
                <w:szCs w:val="20"/>
                <w:color w:val="auto"/>
              </w:rPr>
            </w:pPr>
            <w:r>
              <w:rPr>
                <w:rFonts w:ascii="Arial" w:cs="Arial" w:eastAsia="Arial" w:hAnsi="Arial"/>
                <w:sz w:val="18"/>
                <w:szCs w:val="18"/>
                <w:color w:val="auto"/>
              </w:rPr>
              <w:t>302 of the Sarbanes-Oxley Act of 2002.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460" w:type="dxa"/>
            <w:vAlign w:val="bottom"/>
          </w:tcPr>
          <w:p>
            <w:pPr>
              <w:ind w:left="100"/>
              <w:spacing w:after="0"/>
              <w:rPr>
                <w:sz w:val="20"/>
                <w:szCs w:val="20"/>
                <w:color w:val="auto"/>
              </w:rPr>
            </w:pPr>
            <w:r>
              <w:rPr>
                <w:rFonts w:ascii="Arial" w:cs="Arial" w:eastAsia="Arial" w:hAnsi="Arial"/>
                <w:sz w:val="18"/>
                <w:szCs w:val="18"/>
                <w:color w:val="auto"/>
                <w:w w:val="91"/>
              </w:rPr>
              <w:t>Certification of Chief Executive Officer of Harvard Bioscience, Inc., pursuant to Rules 13a-14(a) and 15d-14(a), as adopted pursuant to Section</w:t>
            </w:r>
          </w:p>
        </w:tc>
      </w:tr>
      <w:tr>
        <w:trPr>
          <w:trHeight w:val="230"/>
        </w:trPr>
        <w:tc>
          <w:tcPr>
            <w:tcW w:w="820" w:type="dxa"/>
            <w:vAlign w:val="bottom"/>
          </w:tcPr>
          <w:p>
            <w:pPr>
              <w:spacing w:after="0"/>
              <w:rPr>
                <w:sz w:val="20"/>
                <w:szCs w:val="20"/>
                <w:color w:val="auto"/>
              </w:rPr>
            </w:pPr>
          </w:p>
        </w:tc>
        <w:tc>
          <w:tcPr>
            <w:tcW w:w="10460" w:type="dxa"/>
            <w:vAlign w:val="bottom"/>
          </w:tcPr>
          <w:p>
            <w:pPr>
              <w:ind w:left="100"/>
              <w:spacing w:after="0"/>
              <w:rPr>
                <w:sz w:val="20"/>
                <w:szCs w:val="20"/>
                <w:color w:val="auto"/>
              </w:rPr>
            </w:pPr>
            <w:r>
              <w:rPr>
                <w:rFonts w:ascii="Arial" w:cs="Arial" w:eastAsia="Arial" w:hAnsi="Arial"/>
                <w:sz w:val="18"/>
                <w:szCs w:val="18"/>
                <w:color w:val="auto"/>
              </w:rPr>
              <w:t>302 of the Sarbanes-Oxley Act of 2002.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460" w:type="dxa"/>
            <w:vAlign w:val="bottom"/>
          </w:tcPr>
          <w:p>
            <w:pPr>
              <w:ind w:left="100"/>
              <w:spacing w:after="0"/>
              <w:rPr>
                <w:sz w:val="20"/>
                <w:szCs w:val="20"/>
                <w:color w:val="auto"/>
              </w:rPr>
            </w:pPr>
            <w:r>
              <w:rPr>
                <w:rFonts w:ascii="Arial" w:cs="Arial" w:eastAsia="Arial" w:hAnsi="Arial"/>
                <w:sz w:val="18"/>
                <w:szCs w:val="18"/>
                <w:color w:val="auto"/>
                <w:w w:val="91"/>
              </w:rPr>
              <w:t>Certification of Chief Financial Officer of Harvard Bioscience, Inc., pursuant to 18 U.S.C. Section 1350, as adopted pursuant to Section 906 of</w:t>
            </w:r>
          </w:p>
        </w:tc>
      </w:tr>
      <w:tr>
        <w:trPr>
          <w:trHeight w:val="230"/>
        </w:trPr>
        <w:tc>
          <w:tcPr>
            <w:tcW w:w="820" w:type="dxa"/>
            <w:vAlign w:val="bottom"/>
          </w:tcPr>
          <w:p>
            <w:pPr>
              <w:spacing w:after="0"/>
              <w:rPr>
                <w:sz w:val="20"/>
                <w:szCs w:val="20"/>
                <w:color w:val="auto"/>
              </w:rPr>
            </w:pPr>
          </w:p>
        </w:tc>
        <w:tc>
          <w:tcPr>
            <w:tcW w:w="10460" w:type="dxa"/>
            <w:vAlign w:val="bottom"/>
          </w:tcPr>
          <w:p>
            <w:pPr>
              <w:ind w:left="100"/>
              <w:spacing w:after="0"/>
              <w:rPr>
                <w:sz w:val="20"/>
                <w:szCs w:val="20"/>
                <w:color w:val="auto"/>
              </w:rPr>
            </w:pPr>
            <w:r>
              <w:rPr>
                <w:rFonts w:ascii="Arial" w:cs="Arial" w:eastAsia="Arial" w:hAnsi="Arial"/>
                <w:sz w:val="18"/>
                <w:szCs w:val="18"/>
                <w:color w:val="auto"/>
              </w:rPr>
              <w:t>the Sarbanes-Oxley Act of 2002.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460" w:type="dxa"/>
            <w:vAlign w:val="bottom"/>
          </w:tcPr>
          <w:p>
            <w:pPr>
              <w:ind w:left="100"/>
              <w:spacing w:after="0"/>
              <w:rPr>
                <w:sz w:val="20"/>
                <w:szCs w:val="20"/>
                <w:color w:val="auto"/>
              </w:rPr>
            </w:pPr>
            <w:r>
              <w:rPr>
                <w:rFonts w:ascii="Arial" w:cs="Arial" w:eastAsia="Arial" w:hAnsi="Arial"/>
                <w:sz w:val="18"/>
                <w:szCs w:val="18"/>
                <w:color w:val="auto"/>
                <w:w w:val="91"/>
              </w:rPr>
              <w:t>Certification of Chief Executive Officer of Harvard Bioscience, Inc., pursuant to 18 U.S.C. Section 1350, as adopted pursuant to Section 906 of</w:t>
            </w:r>
          </w:p>
        </w:tc>
      </w:tr>
      <w:tr>
        <w:trPr>
          <w:trHeight w:val="230"/>
        </w:trPr>
        <w:tc>
          <w:tcPr>
            <w:tcW w:w="820" w:type="dxa"/>
            <w:vAlign w:val="bottom"/>
          </w:tcPr>
          <w:p>
            <w:pPr>
              <w:spacing w:after="0"/>
              <w:rPr>
                <w:sz w:val="20"/>
                <w:szCs w:val="20"/>
                <w:color w:val="auto"/>
              </w:rPr>
            </w:pPr>
          </w:p>
        </w:tc>
        <w:tc>
          <w:tcPr>
            <w:tcW w:w="10460" w:type="dxa"/>
            <w:vAlign w:val="bottom"/>
          </w:tcPr>
          <w:p>
            <w:pPr>
              <w:ind w:left="100"/>
              <w:spacing w:after="0"/>
              <w:rPr>
                <w:sz w:val="20"/>
                <w:szCs w:val="20"/>
                <w:color w:val="auto"/>
              </w:rPr>
            </w:pPr>
            <w:r>
              <w:rPr>
                <w:rFonts w:ascii="Arial" w:cs="Arial" w:eastAsia="Arial" w:hAnsi="Arial"/>
                <w:sz w:val="18"/>
                <w:szCs w:val="18"/>
                <w:color w:val="auto"/>
              </w:rPr>
              <w:t>the Sarbanes-Oxley Act of 2002.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10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2" w:lineRule="exact"/>
        <w:rPr>
          <w:sz w:val="20"/>
          <w:szCs w:val="20"/>
          <w:color w:val="auto"/>
        </w:rPr>
      </w:pPr>
    </w:p>
    <w:p>
      <w:pPr>
        <w:ind w:left="500" w:hanging="492"/>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397" w:lineRule="exact"/>
        <w:rPr>
          <w:rFonts w:ascii="Arial" w:cs="Arial" w:eastAsia="Arial" w:hAnsi="Arial"/>
          <w:sz w:val="18"/>
          <w:szCs w:val="18"/>
          <w:color w:val="auto"/>
        </w:rPr>
      </w:pPr>
    </w:p>
    <w:p>
      <w:pPr>
        <w:ind w:left="5640" w:hanging="114"/>
        <w:spacing w:after="0"/>
        <w:tabs>
          <w:tab w:leader="none" w:pos="5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undersigned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thereunto duly authorized.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5, 2017</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HARVARD BIOSCIENCE,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280"/>
        <w:spacing w:after="0"/>
        <w:tabs>
          <w:tab w:leader="none" w:pos="7160" w:val="left"/>
          <w:tab w:leader="none" w:pos="7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JEFFREY A. DUCHEMIN</w:t>
      </w:r>
    </w:p>
    <w:p>
      <w:pPr>
        <w:spacing w:after="0" w:line="18"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Jeffrey A. Duchemin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-97790</wp:posOffset>
            </wp:positionV>
            <wp:extent cx="21697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jc w:val="center"/>
        <w:ind w:left="5260"/>
        <w:spacing w:after="0"/>
        <w:rPr>
          <w:sz w:val="20"/>
          <w:szCs w:val="20"/>
          <w:color w:val="auto"/>
        </w:rPr>
      </w:pPr>
      <w:r>
        <w:rPr>
          <w:rFonts w:ascii="Arial" w:cs="Arial" w:eastAsia="Arial" w:hAnsi="Arial"/>
          <w:sz w:val="14"/>
          <w:szCs w:val="14"/>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80"/>
        <w:spacing w:after="0"/>
        <w:tabs>
          <w:tab w:leader="none" w:pos="7280" w:val="left"/>
          <w:tab w:leader="none" w:pos="7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ROBERT E. GAGNON</w:t>
      </w:r>
    </w:p>
    <w:p>
      <w:pPr>
        <w:spacing w:after="0" w:line="18"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Robert E.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-97790</wp:posOffset>
            </wp:positionV>
            <wp:extent cx="21697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jc w:val="center"/>
        <w:ind w:left="5260"/>
        <w:spacing w:after="0"/>
        <w:rPr>
          <w:sz w:val="20"/>
          <w:szCs w:val="20"/>
          <w:color w:val="auto"/>
        </w:rPr>
      </w:pPr>
      <w:r>
        <w:rPr>
          <w:rFonts w:ascii="Arial" w:cs="Arial" w:eastAsia="Arial" w:hAnsi="Arial"/>
          <w:sz w:val="14"/>
          <w:szCs w:val="14"/>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80" w:type="dxa"/>
            <w:vAlign w:val="bottom"/>
            <w:gridSpan w:val="6"/>
          </w:tcPr>
          <w:p>
            <w:pPr>
              <w:ind w:left="1020"/>
              <w:spacing w:after="0"/>
              <w:rPr>
                <w:sz w:val="20"/>
                <w:szCs w:val="20"/>
                <w:color w:val="auto"/>
              </w:rPr>
            </w:pPr>
            <w:r>
              <w:rPr>
                <w:rFonts w:ascii="Arial" w:cs="Arial" w:eastAsia="Arial" w:hAnsi="Arial"/>
                <w:sz w:val="18"/>
                <w:szCs w:val="18"/>
                <w:b w:val="1"/>
                <w:bCs w:val="1"/>
                <w:color w:val="auto"/>
              </w:rPr>
              <w:t>INDEX TO EXHIBITS</w:t>
            </w: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500" w:type="dxa"/>
            <w:vAlign w:val="bottom"/>
          </w:tcPr>
          <w:p>
            <w:pPr>
              <w:spacing w:after="0"/>
              <w:rPr>
                <w:sz w:val="24"/>
                <w:szCs w:val="24"/>
                <w:color w:val="auto"/>
              </w:rPr>
            </w:pPr>
          </w:p>
        </w:tc>
        <w:tc>
          <w:tcPr>
            <w:tcW w:w="10360" w:type="dxa"/>
            <w:vAlign w:val="bottom"/>
            <w:gridSpan w:val="10"/>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Third Amended and Restated Credit Agreement dated as of May 1, 2017, by and among Harvard Bioscience, Inc. Bank of America, N.A. and</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Brown Brothers Harriman &amp; Co.</w:t>
              </w:r>
            </w:hyperlink>
          </w:p>
        </w:tc>
        <w:tc>
          <w:tcPr>
            <w:tcW w:w="7800" w:type="dxa"/>
            <w:vAlign w:val="bottom"/>
            <w:tcBorders>
              <w:top w:val="single" w:sz="8" w:color="0000EE"/>
            </w:tcBorders>
            <w:gridSpan w:val="4"/>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500" w:type="dxa"/>
            <w:vAlign w:val="bottom"/>
          </w:tcPr>
          <w:p>
            <w:pPr>
              <w:spacing w:after="0"/>
              <w:rPr>
                <w:sz w:val="24"/>
                <w:szCs w:val="24"/>
                <w:color w:val="auto"/>
              </w:rPr>
            </w:pPr>
          </w:p>
        </w:tc>
        <w:tc>
          <w:tcPr>
            <w:tcW w:w="10360" w:type="dxa"/>
            <w:vAlign w:val="bottom"/>
            <w:gridSpan w:val="10"/>
          </w:tcPr>
          <w:p>
            <w:pPr>
              <w:spacing w:after="0"/>
              <w:rPr>
                <w:rFonts w:ascii="Arial" w:cs="Arial" w:eastAsia="Arial" w:hAnsi="Arial"/>
                <w:sz w:val="18"/>
                <w:szCs w:val="18"/>
                <w:color w:val="0000EE"/>
                <w:w w:val="91"/>
              </w:rPr>
            </w:pPr>
            <w:hyperlink w:anchor="page192">
              <w:r>
                <w:rPr>
                  <w:rFonts w:ascii="Arial" w:cs="Arial" w:eastAsia="Arial" w:hAnsi="Arial"/>
                  <w:sz w:val="18"/>
                  <w:szCs w:val="18"/>
                  <w:color w:val="0000EE"/>
                  <w:w w:val="91"/>
                </w:rPr>
                <w:t>Certification of Chief Financial Officer of Harvard Bioscience, Inc., pursuant to Rules 13a-14(a) and 15d-14(a), as adopted pursuant to Section</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302 of the Sarbanes-Oxley Act of 2002.</w:t>
              </w:r>
            </w:hyperlink>
          </w:p>
        </w:tc>
        <w:tc>
          <w:tcPr>
            <w:tcW w:w="40" w:type="dxa"/>
            <w:vAlign w:val="bottom"/>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4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500" w:type="dxa"/>
            <w:vAlign w:val="bottom"/>
          </w:tcPr>
          <w:p>
            <w:pPr>
              <w:spacing w:after="0"/>
              <w:rPr>
                <w:sz w:val="24"/>
                <w:szCs w:val="24"/>
                <w:color w:val="auto"/>
              </w:rPr>
            </w:pPr>
          </w:p>
        </w:tc>
        <w:tc>
          <w:tcPr>
            <w:tcW w:w="10360" w:type="dxa"/>
            <w:vAlign w:val="bottom"/>
            <w:gridSpan w:val="10"/>
          </w:tcPr>
          <w:p>
            <w:pPr>
              <w:spacing w:after="0"/>
              <w:rPr>
                <w:rFonts w:ascii="Arial" w:cs="Arial" w:eastAsia="Arial" w:hAnsi="Arial"/>
                <w:sz w:val="18"/>
                <w:szCs w:val="18"/>
                <w:color w:val="0000EE"/>
                <w:w w:val="91"/>
              </w:rPr>
            </w:pPr>
            <w:hyperlink w:anchor="page193">
              <w:r>
                <w:rPr>
                  <w:rFonts w:ascii="Arial" w:cs="Arial" w:eastAsia="Arial" w:hAnsi="Arial"/>
                  <w:sz w:val="18"/>
                  <w:szCs w:val="18"/>
                  <w:color w:val="0000EE"/>
                  <w:w w:val="91"/>
                </w:rPr>
                <w:t>Certification of Chief Executive Officer of Harvard Bioscience, Inc., pursuant to Rules 13a-14(a) and 15d-14(a), as adopted pursuant to Section</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3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302 of the Sarbanes-Oxley Act of 2002.</w:t>
              </w:r>
            </w:hyperlink>
          </w:p>
        </w:tc>
      </w:tr>
      <w:tr>
        <w:trPr>
          <w:trHeight w:val="20"/>
        </w:trPr>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4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420" w:type="dxa"/>
            <w:vAlign w:val="bottom"/>
            <w:gridSpan w:val="2"/>
          </w:tcPr>
          <w:p>
            <w:pPr>
              <w:spacing w:after="0"/>
              <w:rPr>
                <w:rFonts w:ascii="Arial" w:cs="Arial" w:eastAsia="Arial" w:hAnsi="Arial"/>
                <w:sz w:val="18"/>
                <w:szCs w:val="18"/>
                <w:color w:val="0000EE"/>
                <w:w w:val="95"/>
              </w:rPr>
            </w:pPr>
            <w:hyperlink w:anchor="page194">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500" w:type="dxa"/>
            <w:vAlign w:val="bottom"/>
          </w:tcPr>
          <w:p>
            <w:pPr>
              <w:spacing w:after="0"/>
              <w:rPr>
                <w:sz w:val="24"/>
                <w:szCs w:val="24"/>
                <w:color w:val="auto"/>
              </w:rPr>
            </w:pPr>
          </w:p>
        </w:tc>
        <w:tc>
          <w:tcPr>
            <w:tcW w:w="10360" w:type="dxa"/>
            <w:vAlign w:val="bottom"/>
            <w:gridSpan w:val="10"/>
          </w:tcPr>
          <w:p>
            <w:pPr>
              <w:spacing w:after="0"/>
              <w:rPr>
                <w:rFonts w:ascii="Arial" w:cs="Arial" w:eastAsia="Arial" w:hAnsi="Arial"/>
                <w:sz w:val="18"/>
                <w:szCs w:val="18"/>
                <w:color w:val="0000EE"/>
                <w:w w:val="91"/>
              </w:rPr>
            </w:pPr>
            <w:hyperlink w:anchor="page194">
              <w:r>
                <w:rPr>
                  <w:rFonts w:ascii="Arial" w:cs="Arial" w:eastAsia="Arial" w:hAnsi="Arial"/>
                  <w:sz w:val="18"/>
                  <w:szCs w:val="18"/>
                  <w:color w:val="0000EE"/>
                  <w:w w:val="91"/>
                </w:rPr>
                <w:t>Certification of Chief Financial Officer of Harvard Bioscience, Inc., pursuant to 18 U.S.C. Section 1350, as adopted pursuant to Section 906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194">
              <w:r>
                <w:rPr>
                  <w:rFonts w:ascii="Arial" w:cs="Arial" w:eastAsia="Arial" w:hAnsi="Arial"/>
                  <w:sz w:val="18"/>
                  <w:szCs w:val="18"/>
                  <w:color w:val="0000EE"/>
                  <w:w w:val="91"/>
                </w:rPr>
                <w:t>the Sarbanes-Oxley Act of 2002.</w:t>
              </w:r>
            </w:hyperlink>
          </w:p>
        </w:tc>
        <w:tc>
          <w:tcPr>
            <w:tcW w:w="7900" w:type="dxa"/>
            <w:vAlign w:val="bottom"/>
            <w:tcBorders>
              <w:top w:val="single" w:sz="8" w:color="0000EE"/>
            </w:tcBorders>
            <w:gridSpan w:val="6"/>
          </w:tcPr>
          <w:p>
            <w:pPr>
              <w:spacing w:after="0"/>
              <w:rPr>
                <w:sz w:val="17"/>
                <w:szCs w:val="17"/>
                <w:color w:val="auto"/>
              </w:rPr>
            </w:pPr>
          </w:p>
        </w:tc>
        <w:tc>
          <w:tcPr>
            <w:tcW w:w="60" w:type="dxa"/>
            <w:vAlign w:val="bottom"/>
            <w:gridSpan w:val="2"/>
          </w:tcPr>
          <w:p>
            <w:pPr>
              <w:spacing w:after="0"/>
              <w:rPr>
                <w:sz w:val="17"/>
                <w:szCs w:val="17"/>
                <w:color w:val="auto"/>
              </w:rPr>
            </w:pPr>
          </w:p>
        </w:tc>
      </w:tr>
      <w:tr>
        <w:trPr>
          <w:trHeight w:val="412"/>
        </w:trPr>
        <w:tc>
          <w:tcPr>
            <w:tcW w:w="920" w:type="dxa"/>
            <w:vAlign w:val="bottom"/>
            <w:gridSpan w:val="3"/>
          </w:tcPr>
          <w:p>
            <w:pPr>
              <w:spacing w:after="0"/>
              <w:rPr>
                <w:rFonts w:ascii="Arial" w:cs="Arial" w:eastAsia="Arial" w:hAnsi="Arial"/>
                <w:sz w:val="18"/>
                <w:szCs w:val="18"/>
                <w:color w:val="0000EE"/>
              </w:rPr>
            </w:pPr>
            <w:hyperlink w:anchor="page195">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360" w:type="dxa"/>
            <w:vAlign w:val="bottom"/>
            <w:gridSpan w:val="10"/>
          </w:tcPr>
          <w:p>
            <w:pPr>
              <w:spacing w:after="0"/>
              <w:rPr>
                <w:rFonts w:ascii="Arial" w:cs="Arial" w:eastAsia="Arial" w:hAnsi="Arial"/>
                <w:sz w:val="18"/>
                <w:szCs w:val="18"/>
                <w:color w:val="0000EE"/>
                <w:w w:val="91"/>
              </w:rPr>
            </w:pPr>
            <w:hyperlink w:anchor="page195">
              <w:r>
                <w:rPr>
                  <w:rFonts w:ascii="Arial" w:cs="Arial" w:eastAsia="Arial" w:hAnsi="Arial"/>
                  <w:sz w:val="18"/>
                  <w:szCs w:val="18"/>
                  <w:color w:val="0000EE"/>
                  <w:w w:val="91"/>
                </w:rPr>
                <w:t>Certification of Chief Executive Officer of Harvard Bioscience, Inc., pursuant to 18 U.S.C. Section 1350, as adopted pursuant to Section 906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95">
              <w:r>
                <w:rPr>
                  <w:rFonts w:ascii="Arial" w:cs="Arial" w:eastAsia="Arial" w:hAnsi="Arial"/>
                  <w:sz w:val="18"/>
                  <w:szCs w:val="18"/>
                  <w:color w:val="0000EE"/>
                  <w:w w:val="90"/>
                </w:rPr>
                <w:t>the Sarbanes-Oxley Act of 2002.</w:t>
              </w:r>
            </w:hyperlink>
          </w:p>
        </w:tc>
        <w:tc>
          <w:tcPr>
            <w:tcW w:w="7980" w:type="dxa"/>
            <w:vAlign w:val="bottom"/>
            <w:tcBorders>
              <w:top w:val="single" w:sz="8" w:color="0000EE"/>
            </w:tcBorders>
            <w:gridSpan w:val="9"/>
          </w:tcPr>
          <w:p>
            <w:pPr>
              <w:spacing w:after="0"/>
              <w:rPr>
                <w:sz w:val="17"/>
                <w:szCs w:val="17"/>
                <w:color w:val="auto"/>
              </w:rPr>
            </w:pPr>
          </w:p>
        </w:tc>
      </w:tr>
      <w:tr>
        <w:trPr>
          <w:trHeight w:val="453"/>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36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3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3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360" w:type="dxa"/>
            <w:vAlign w:val="bottom"/>
            <w:gridSpan w:val="10"/>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3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3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2" w:lineRule="exact"/>
        <w:rPr>
          <w:sz w:val="20"/>
          <w:szCs w:val="20"/>
          <w:color w:val="auto"/>
        </w:rPr>
      </w:pPr>
    </w:p>
    <w:p>
      <w:pPr>
        <w:ind w:left="500" w:hanging="492"/>
        <w:spacing w:after="0" w:line="26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5600" w:hanging="120"/>
        <w:spacing w:after="0"/>
        <w:tabs>
          <w:tab w:leader="none" w:pos="5600" w:val="left"/>
        </w:tabs>
        <w:numPr>
          <w:ilvl w:val="1"/>
          <w:numId w:val="29"/>
        </w:numPr>
        <w:rPr>
          <w:rFonts w:ascii="Arial" w:cs="Arial" w:eastAsia="Arial" w:hAnsi="Arial"/>
          <w:sz w:val="22"/>
          <w:szCs w:val="22"/>
          <w:color w:val="auto"/>
        </w:rPr>
      </w:pPr>
      <w:r>
        <w:rPr>
          <w:rFonts w:ascii="Arial" w:cs="Arial" w:eastAsia="Arial" w:hAnsi="Arial"/>
          <w:sz w:val="22"/>
          <w:szCs w:val="22"/>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320040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354330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Published CUSIP Number: 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THIRD AMENDED AND RESTATED</w:t>
      </w:r>
    </w:p>
    <w:p>
      <w:pPr>
        <w:jc w:val="center"/>
        <w:ind w:right="1200"/>
        <w:spacing w:after="0" w:line="238" w:lineRule="auto"/>
        <w:rPr>
          <w:sz w:val="20"/>
          <w:szCs w:val="20"/>
          <w:color w:val="auto"/>
        </w:rPr>
      </w:pPr>
      <w:r>
        <w:rPr>
          <w:rFonts w:ascii="Arial" w:cs="Arial" w:eastAsia="Arial" w:hAnsi="Arial"/>
          <w:sz w:val="22"/>
          <w:szCs w:val="22"/>
          <w:color w:val="auto"/>
        </w:rPr>
        <w:t>CREDIT AGREEMENT</w:t>
      </w:r>
    </w:p>
    <w:p>
      <w:pPr>
        <w:jc w:val="center"/>
        <w:ind w:right="1200"/>
        <w:spacing w:after="0" w:line="230" w:lineRule="auto"/>
        <w:rPr>
          <w:sz w:val="20"/>
          <w:szCs w:val="20"/>
          <w:color w:val="auto"/>
        </w:rPr>
      </w:pPr>
      <w:r>
        <w:rPr>
          <w:rFonts w:ascii="Arial" w:cs="Arial" w:eastAsia="Arial" w:hAnsi="Arial"/>
          <w:sz w:val="22"/>
          <w:szCs w:val="22"/>
          <w:color w:val="auto"/>
        </w:rPr>
        <w:t>Dated as of May 1, 2017</w:t>
      </w:r>
    </w:p>
    <w:p>
      <w:pPr>
        <w:jc w:val="center"/>
        <w:ind w:right="1200"/>
        <w:spacing w:after="0" w:line="231" w:lineRule="auto"/>
        <w:rPr>
          <w:sz w:val="20"/>
          <w:szCs w:val="20"/>
          <w:color w:val="auto"/>
        </w:rPr>
      </w:pPr>
      <w:r>
        <w:rPr>
          <w:rFonts w:ascii="Arial" w:cs="Arial" w:eastAsia="Arial" w:hAnsi="Arial"/>
          <w:sz w:val="22"/>
          <w:szCs w:val="22"/>
          <w:color w:val="auto"/>
        </w:rPr>
        <w:t>among</w:t>
      </w:r>
    </w:p>
    <w:p>
      <w:pPr>
        <w:jc w:val="center"/>
        <w:ind w:right="1200"/>
        <w:spacing w:after="0" w:line="231" w:lineRule="auto"/>
        <w:rPr>
          <w:sz w:val="20"/>
          <w:szCs w:val="20"/>
          <w:color w:val="auto"/>
        </w:rPr>
      </w:pPr>
      <w:r>
        <w:rPr>
          <w:rFonts w:ascii="Arial" w:cs="Arial" w:eastAsia="Arial" w:hAnsi="Arial"/>
          <w:sz w:val="22"/>
          <w:szCs w:val="22"/>
          <w:color w:val="auto"/>
        </w:rPr>
        <w:t>HARVARD BIOSCIENCE, INC.,</w:t>
      </w:r>
    </w:p>
    <w:p>
      <w:pPr>
        <w:jc w:val="center"/>
        <w:ind w:right="1200"/>
        <w:spacing w:after="0" w:line="230" w:lineRule="auto"/>
        <w:rPr>
          <w:sz w:val="20"/>
          <w:szCs w:val="20"/>
          <w:color w:val="auto"/>
        </w:rPr>
      </w:pPr>
      <w:r>
        <w:rPr>
          <w:rFonts w:ascii="Arial" w:cs="Arial" w:eastAsia="Arial" w:hAnsi="Arial"/>
          <w:sz w:val="22"/>
          <w:szCs w:val="22"/>
          <w:color w:val="auto"/>
        </w:rPr>
        <w:t>as the Borrower,</w:t>
      </w:r>
    </w:p>
    <w:p>
      <w:pPr>
        <w:jc w:val="center"/>
        <w:ind w:right="1200"/>
        <w:spacing w:after="0" w:line="231" w:lineRule="auto"/>
        <w:rPr>
          <w:sz w:val="20"/>
          <w:szCs w:val="20"/>
          <w:color w:val="auto"/>
        </w:rPr>
      </w:pPr>
      <w:r>
        <w:rPr>
          <w:rFonts w:ascii="Arial" w:cs="Arial" w:eastAsia="Arial" w:hAnsi="Arial"/>
          <w:sz w:val="22"/>
          <w:szCs w:val="22"/>
          <w:color w:val="auto"/>
        </w:rPr>
        <w:t>BANK OF AMERICA, N.A.,</w:t>
      </w:r>
    </w:p>
    <w:p>
      <w:pPr>
        <w:jc w:val="center"/>
        <w:ind w:right="1200"/>
        <w:spacing w:after="0" w:line="231" w:lineRule="auto"/>
        <w:rPr>
          <w:sz w:val="20"/>
          <w:szCs w:val="20"/>
          <w:color w:val="auto"/>
        </w:rPr>
      </w:pPr>
      <w:r>
        <w:rPr>
          <w:rFonts w:ascii="Arial" w:cs="Arial" w:eastAsia="Arial" w:hAnsi="Arial"/>
          <w:sz w:val="22"/>
          <w:szCs w:val="22"/>
          <w:color w:val="auto"/>
        </w:rPr>
        <w:t>as Administrative Agent and L/C Issuer,</w:t>
      </w:r>
    </w:p>
    <w:p>
      <w:pPr>
        <w:jc w:val="center"/>
        <w:ind w:right="1200"/>
        <w:spacing w:after="0" w:line="230" w:lineRule="auto"/>
        <w:rPr>
          <w:sz w:val="20"/>
          <w:szCs w:val="20"/>
          <w:color w:val="auto"/>
        </w:rPr>
      </w:pPr>
      <w:r>
        <w:rPr>
          <w:rFonts w:ascii="Arial" w:cs="Arial" w:eastAsia="Arial" w:hAnsi="Arial"/>
          <w:sz w:val="22"/>
          <w:szCs w:val="22"/>
          <w:color w:val="auto"/>
        </w:rPr>
        <w:t>BROWN BROTHERS HARRIMAN &amp; CO.,</w:t>
      </w:r>
    </w:p>
    <w:p>
      <w:pPr>
        <w:jc w:val="center"/>
        <w:ind w:right="1200"/>
        <w:spacing w:after="0" w:line="231" w:lineRule="auto"/>
        <w:rPr>
          <w:sz w:val="20"/>
          <w:szCs w:val="20"/>
          <w:color w:val="auto"/>
        </w:rPr>
      </w:pPr>
      <w:r>
        <w:rPr>
          <w:rFonts w:ascii="Arial" w:cs="Arial" w:eastAsia="Arial" w:hAnsi="Arial"/>
          <w:sz w:val="22"/>
          <w:szCs w:val="22"/>
          <w:color w:val="auto"/>
        </w:rPr>
        <w:t>and</w:t>
      </w:r>
    </w:p>
    <w:p>
      <w:pPr>
        <w:jc w:val="center"/>
        <w:ind w:right="1200"/>
        <w:spacing w:after="0"/>
        <w:rPr>
          <w:sz w:val="20"/>
          <w:szCs w:val="20"/>
          <w:color w:val="auto"/>
        </w:rPr>
      </w:pPr>
      <w:r>
        <w:rPr>
          <w:rFonts w:ascii="Arial" w:cs="Arial" w:eastAsia="Arial" w:hAnsi="Arial"/>
          <w:sz w:val="19"/>
          <w:szCs w:val="19"/>
          <w:color w:val="auto"/>
        </w:rPr>
        <w:t>Each of the Other Lenders 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1810385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1827530</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4374515</wp:posOffset>
            </wp:positionV>
            <wp:extent cx="72466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40" w:type="dxa"/>
            <w:vAlign w:val="bottom"/>
          </w:tcPr>
          <w:p>
            <w:pPr>
              <w:ind w:left="3720"/>
              <w:spacing w:after="0"/>
              <w:rPr>
                <w:sz w:val="20"/>
                <w:szCs w:val="20"/>
                <w:color w:val="auto"/>
              </w:rPr>
            </w:pPr>
            <w:r>
              <w:rPr>
                <w:rFonts w:ascii="Arial" w:cs="Arial" w:eastAsia="Arial" w:hAnsi="Arial"/>
                <w:sz w:val="18"/>
                <w:szCs w:val="18"/>
                <w:b w:val="1"/>
                <w:bCs w:val="1"/>
                <w:color w:val="auto"/>
              </w:rPr>
              <w:t>TABLE OF CONTENTS</w:t>
            </w:r>
          </w:p>
        </w:tc>
        <w:tc>
          <w:tcPr>
            <w:tcW w:w="22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08"/>
        </w:trPr>
        <w:tc>
          <w:tcPr>
            <w:tcW w:w="1040" w:type="dxa"/>
            <w:vAlign w:val="bottom"/>
            <w:gridSpan w:val="2"/>
          </w:tcPr>
          <w:p>
            <w:pPr>
              <w:spacing w:after="0"/>
              <w:rPr>
                <w:sz w:val="20"/>
                <w:szCs w:val="20"/>
                <w:color w:val="auto"/>
              </w:rPr>
            </w:pPr>
            <w:r>
              <w:rPr>
                <w:rFonts w:ascii="Arial" w:cs="Arial" w:eastAsia="Arial" w:hAnsi="Arial"/>
                <w:sz w:val="18"/>
                <w:szCs w:val="18"/>
                <w:color w:val="auto"/>
              </w:rPr>
              <w:t>Section</w:t>
            </w:r>
          </w:p>
        </w:tc>
        <w:tc>
          <w:tcPr>
            <w:tcW w:w="7840" w:type="dxa"/>
            <w:vAlign w:val="bottom"/>
          </w:tcPr>
          <w:p>
            <w:pPr>
              <w:spacing w:after="0"/>
              <w:rPr>
                <w:sz w:val="24"/>
                <w:szCs w:val="24"/>
                <w:color w:val="auto"/>
              </w:rPr>
            </w:pP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0"/>
        </w:trPr>
        <w:tc>
          <w:tcPr>
            <w:tcW w:w="540" w:type="dxa"/>
            <w:vAlign w:val="bottom"/>
            <w:shd w:val="clear" w:color="auto" w:fill="000000"/>
          </w:tcPr>
          <w:p>
            <w:pPr>
              <w:spacing w:after="0" w:line="20" w:lineRule="exact"/>
              <w:rPr>
                <w:sz w:val="1"/>
                <w:szCs w:val="1"/>
                <w:color w:val="auto"/>
              </w:rPr>
            </w:pPr>
          </w:p>
        </w:tc>
        <w:tc>
          <w:tcPr>
            <w:tcW w:w="83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438"/>
        </w:trPr>
        <w:tc>
          <w:tcPr>
            <w:tcW w:w="8880" w:type="dxa"/>
            <w:vAlign w:val="bottom"/>
            <w:gridSpan w:val="3"/>
          </w:tcPr>
          <w:p>
            <w:pPr>
              <w:spacing w:after="0"/>
              <w:rPr>
                <w:sz w:val="20"/>
                <w:szCs w:val="20"/>
                <w:color w:val="auto"/>
              </w:rPr>
            </w:pPr>
            <w:r>
              <w:rPr>
                <w:rFonts w:ascii="Arial" w:cs="Arial" w:eastAsia="Arial" w:hAnsi="Arial"/>
                <w:sz w:val="18"/>
                <w:szCs w:val="18"/>
                <w:color w:val="auto"/>
              </w:rPr>
              <w:t>ARTICLE I DEFINITIONS AND ACCOUNTING TERMS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7840" w:type="dxa"/>
            <w:vAlign w:val="bottom"/>
          </w:tcPr>
          <w:p>
            <w:pPr>
              <w:ind w:left="60"/>
              <w:spacing w:after="0"/>
              <w:rPr>
                <w:sz w:val="20"/>
                <w:szCs w:val="20"/>
                <w:color w:val="auto"/>
              </w:rPr>
            </w:pPr>
            <w:r>
              <w:rPr>
                <w:rFonts w:ascii="Arial" w:cs="Arial" w:eastAsia="Arial" w:hAnsi="Arial"/>
                <w:sz w:val="18"/>
                <w:szCs w:val="18"/>
                <w:color w:val="auto"/>
              </w:rPr>
              <w:t>Defined Terms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7840" w:type="dxa"/>
            <w:vAlign w:val="bottom"/>
          </w:tcPr>
          <w:p>
            <w:pPr>
              <w:ind w:left="60"/>
              <w:spacing w:after="0"/>
              <w:rPr>
                <w:sz w:val="20"/>
                <w:szCs w:val="20"/>
                <w:color w:val="auto"/>
              </w:rPr>
            </w:pPr>
            <w:r>
              <w:rPr>
                <w:rFonts w:ascii="Arial" w:cs="Arial" w:eastAsia="Arial" w:hAnsi="Arial"/>
                <w:sz w:val="18"/>
                <w:szCs w:val="18"/>
                <w:color w:val="auto"/>
              </w:rPr>
              <w:t>Other Interpretive Provisions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7840" w:type="dxa"/>
            <w:vAlign w:val="bottom"/>
          </w:tcPr>
          <w:p>
            <w:pPr>
              <w:ind w:left="60"/>
              <w:spacing w:after="0"/>
              <w:rPr>
                <w:sz w:val="20"/>
                <w:szCs w:val="20"/>
                <w:color w:val="auto"/>
              </w:rPr>
            </w:pPr>
            <w:r>
              <w:rPr>
                <w:rFonts w:ascii="Arial" w:cs="Arial" w:eastAsia="Arial" w:hAnsi="Arial"/>
                <w:sz w:val="18"/>
                <w:szCs w:val="18"/>
                <w:color w:val="auto"/>
              </w:rPr>
              <w:t>Accounting Terms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7840" w:type="dxa"/>
            <w:vAlign w:val="bottom"/>
          </w:tcPr>
          <w:p>
            <w:pPr>
              <w:ind w:left="60"/>
              <w:spacing w:after="0"/>
              <w:rPr>
                <w:sz w:val="20"/>
                <w:szCs w:val="20"/>
                <w:color w:val="auto"/>
              </w:rPr>
            </w:pPr>
            <w:r>
              <w:rPr>
                <w:rFonts w:ascii="Arial" w:cs="Arial" w:eastAsia="Arial" w:hAnsi="Arial"/>
                <w:sz w:val="18"/>
                <w:szCs w:val="18"/>
                <w:color w:val="auto"/>
              </w:rPr>
              <w:t>Rounding</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7840" w:type="dxa"/>
            <w:vAlign w:val="bottom"/>
          </w:tcPr>
          <w:p>
            <w:pPr>
              <w:ind w:left="60"/>
              <w:spacing w:after="0"/>
              <w:rPr>
                <w:sz w:val="20"/>
                <w:szCs w:val="20"/>
                <w:color w:val="auto"/>
              </w:rPr>
            </w:pPr>
            <w:r>
              <w:rPr>
                <w:rFonts w:ascii="Arial" w:cs="Arial" w:eastAsia="Arial" w:hAnsi="Arial"/>
                <w:sz w:val="18"/>
                <w:szCs w:val="18"/>
                <w:color w:val="auto"/>
              </w:rPr>
              <w:t>Times of Day</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7840" w:type="dxa"/>
            <w:vAlign w:val="bottom"/>
          </w:tcPr>
          <w:p>
            <w:pPr>
              <w:ind w:left="60"/>
              <w:spacing w:after="0"/>
              <w:rPr>
                <w:sz w:val="20"/>
                <w:szCs w:val="20"/>
                <w:color w:val="auto"/>
              </w:rPr>
            </w:pPr>
            <w:r>
              <w:rPr>
                <w:rFonts w:ascii="Arial" w:cs="Arial" w:eastAsia="Arial" w:hAnsi="Arial"/>
                <w:sz w:val="18"/>
                <w:szCs w:val="18"/>
                <w:color w:val="auto"/>
              </w:rPr>
              <w:t>Letter of Credit Amounts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7840" w:type="dxa"/>
            <w:vAlign w:val="bottom"/>
          </w:tcPr>
          <w:p>
            <w:pPr>
              <w:ind w:left="60"/>
              <w:spacing w:after="0"/>
              <w:rPr>
                <w:sz w:val="20"/>
                <w:szCs w:val="20"/>
                <w:color w:val="auto"/>
              </w:rPr>
            </w:pPr>
            <w:r>
              <w:rPr>
                <w:rFonts w:ascii="Arial" w:cs="Arial" w:eastAsia="Arial" w:hAnsi="Arial"/>
                <w:sz w:val="18"/>
                <w:szCs w:val="18"/>
                <w:color w:val="auto"/>
              </w:rPr>
              <w:t>Currency Equivalents Generally</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8880" w:type="dxa"/>
            <w:vAlign w:val="bottom"/>
            <w:gridSpan w:val="3"/>
          </w:tcPr>
          <w:p>
            <w:pPr>
              <w:spacing w:after="0"/>
              <w:rPr>
                <w:sz w:val="20"/>
                <w:szCs w:val="20"/>
                <w:color w:val="auto"/>
              </w:rPr>
            </w:pPr>
            <w:r>
              <w:rPr>
                <w:rFonts w:ascii="Arial" w:cs="Arial" w:eastAsia="Arial" w:hAnsi="Arial"/>
                <w:sz w:val="18"/>
                <w:szCs w:val="18"/>
                <w:color w:val="auto"/>
              </w:rPr>
              <w:t>ARTICLE II THE COMMITMENTS AND CREDIT EXTENSIONS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7840" w:type="dxa"/>
            <w:vAlign w:val="bottom"/>
          </w:tcPr>
          <w:p>
            <w:pPr>
              <w:ind w:left="60"/>
              <w:spacing w:after="0"/>
              <w:rPr>
                <w:sz w:val="20"/>
                <w:szCs w:val="20"/>
                <w:color w:val="auto"/>
              </w:rPr>
            </w:pPr>
            <w:r>
              <w:rPr>
                <w:rFonts w:ascii="Arial" w:cs="Arial" w:eastAsia="Arial" w:hAnsi="Arial"/>
                <w:sz w:val="18"/>
                <w:szCs w:val="18"/>
                <w:color w:val="auto"/>
              </w:rPr>
              <w:t>The Loans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c>
          <w:tcPr>
            <w:tcW w:w="7840" w:type="dxa"/>
            <w:vAlign w:val="bottom"/>
          </w:tcPr>
          <w:p>
            <w:pPr>
              <w:ind w:left="60"/>
              <w:spacing w:after="0"/>
              <w:rPr>
                <w:sz w:val="20"/>
                <w:szCs w:val="20"/>
                <w:color w:val="auto"/>
              </w:rPr>
            </w:pPr>
            <w:r>
              <w:rPr>
                <w:rFonts w:ascii="Arial" w:cs="Arial" w:eastAsia="Arial" w:hAnsi="Arial"/>
                <w:sz w:val="18"/>
                <w:szCs w:val="18"/>
                <w:color w:val="auto"/>
              </w:rPr>
              <w:t>Borrowings, Conversions and Continuations of Loans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7840" w:type="dxa"/>
            <w:vAlign w:val="bottom"/>
          </w:tcPr>
          <w:p>
            <w:pPr>
              <w:ind w:left="60"/>
              <w:spacing w:after="0"/>
              <w:rPr>
                <w:sz w:val="20"/>
                <w:szCs w:val="20"/>
                <w:color w:val="auto"/>
              </w:rPr>
            </w:pPr>
            <w:r>
              <w:rPr>
                <w:rFonts w:ascii="Arial" w:cs="Arial" w:eastAsia="Arial" w:hAnsi="Arial"/>
                <w:sz w:val="18"/>
                <w:szCs w:val="18"/>
                <w:color w:val="auto"/>
              </w:rPr>
              <w:t>Letters of Credit</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7840" w:type="dxa"/>
            <w:vAlign w:val="bottom"/>
          </w:tcPr>
          <w:p>
            <w:pPr>
              <w:ind w:left="60"/>
              <w:spacing w:after="0"/>
              <w:rPr>
                <w:sz w:val="20"/>
                <w:szCs w:val="20"/>
                <w:color w:val="auto"/>
              </w:rPr>
            </w:pPr>
            <w:r>
              <w:rPr>
                <w:rFonts w:ascii="Arial" w:cs="Arial" w:eastAsia="Arial" w:hAnsi="Arial"/>
                <w:sz w:val="18"/>
                <w:szCs w:val="18"/>
                <w:color w:val="auto"/>
              </w:rPr>
              <w:t>Reserved</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7840" w:type="dxa"/>
            <w:vAlign w:val="bottom"/>
          </w:tcPr>
          <w:p>
            <w:pPr>
              <w:ind w:left="60"/>
              <w:spacing w:after="0"/>
              <w:rPr>
                <w:sz w:val="20"/>
                <w:szCs w:val="20"/>
                <w:color w:val="auto"/>
              </w:rPr>
            </w:pPr>
            <w:r>
              <w:rPr>
                <w:rFonts w:ascii="Arial" w:cs="Arial" w:eastAsia="Arial" w:hAnsi="Arial"/>
                <w:sz w:val="18"/>
                <w:szCs w:val="18"/>
                <w:color w:val="auto"/>
              </w:rPr>
              <w:t>Prepayments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7840" w:type="dxa"/>
            <w:vAlign w:val="bottom"/>
          </w:tcPr>
          <w:p>
            <w:pPr>
              <w:ind w:left="60"/>
              <w:spacing w:after="0"/>
              <w:rPr>
                <w:sz w:val="20"/>
                <w:szCs w:val="20"/>
                <w:color w:val="auto"/>
              </w:rPr>
            </w:pPr>
            <w:r>
              <w:rPr>
                <w:rFonts w:ascii="Arial" w:cs="Arial" w:eastAsia="Arial" w:hAnsi="Arial"/>
                <w:sz w:val="18"/>
                <w:szCs w:val="18"/>
                <w:color w:val="auto"/>
              </w:rPr>
              <w:t>Termination or Reduction of Commitments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7840" w:type="dxa"/>
            <w:vAlign w:val="bottom"/>
          </w:tcPr>
          <w:p>
            <w:pPr>
              <w:ind w:left="60"/>
              <w:spacing w:after="0"/>
              <w:rPr>
                <w:sz w:val="20"/>
                <w:szCs w:val="20"/>
                <w:color w:val="auto"/>
              </w:rPr>
            </w:pPr>
            <w:r>
              <w:rPr>
                <w:rFonts w:ascii="Arial" w:cs="Arial" w:eastAsia="Arial" w:hAnsi="Arial"/>
                <w:sz w:val="18"/>
                <w:szCs w:val="18"/>
                <w:color w:val="auto"/>
              </w:rPr>
              <w:t>Repayment of Loans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7840" w:type="dxa"/>
            <w:vAlign w:val="bottom"/>
          </w:tcPr>
          <w:p>
            <w:pPr>
              <w:ind w:left="60"/>
              <w:spacing w:after="0"/>
              <w:rPr>
                <w:sz w:val="20"/>
                <w:szCs w:val="20"/>
                <w:color w:val="auto"/>
              </w:rPr>
            </w:pPr>
            <w:r>
              <w:rPr>
                <w:rFonts w:ascii="Arial" w:cs="Arial" w:eastAsia="Arial" w:hAnsi="Arial"/>
                <w:sz w:val="18"/>
                <w:szCs w:val="18"/>
                <w:color w:val="auto"/>
              </w:rPr>
              <w:t>Interest</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7840" w:type="dxa"/>
            <w:vAlign w:val="bottom"/>
          </w:tcPr>
          <w:p>
            <w:pPr>
              <w:ind w:left="60"/>
              <w:spacing w:after="0"/>
              <w:rPr>
                <w:sz w:val="20"/>
                <w:szCs w:val="20"/>
                <w:color w:val="auto"/>
              </w:rPr>
            </w:pPr>
            <w:r>
              <w:rPr>
                <w:rFonts w:ascii="Arial" w:cs="Arial" w:eastAsia="Arial" w:hAnsi="Arial"/>
                <w:sz w:val="18"/>
                <w:szCs w:val="18"/>
                <w:color w:val="auto"/>
              </w:rPr>
              <w:t>Fees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7840" w:type="dxa"/>
            <w:vAlign w:val="bottom"/>
          </w:tcPr>
          <w:p>
            <w:pPr>
              <w:ind w:left="60"/>
              <w:spacing w:after="0"/>
              <w:rPr>
                <w:sz w:val="20"/>
                <w:szCs w:val="20"/>
                <w:color w:val="auto"/>
              </w:rPr>
            </w:pPr>
            <w:r>
              <w:rPr>
                <w:rFonts w:ascii="Arial" w:cs="Arial" w:eastAsia="Arial" w:hAnsi="Arial"/>
                <w:sz w:val="18"/>
                <w:szCs w:val="18"/>
                <w:color w:val="auto"/>
              </w:rPr>
              <w:t>Computation of Interest and Fees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7840" w:type="dxa"/>
            <w:vAlign w:val="bottom"/>
          </w:tcPr>
          <w:p>
            <w:pPr>
              <w:ind w:left="60"/>
              <w:spacing w:after="0"/>
              <w:rPr>
                <w:sz w:val="20"/>
                <w:szCs w:val="20"/>
                <w:color w:val="auto"/>
              </w:rPr>
            </w:pPr>
            <w:r>
              <w:rPr>
                <w:rFonts w:ascii="Arial" w:cs="Arial" w:eastAsia="Arial" w:hAnsi="Arial"/>
                <w:sz w:val="18"/>
                <w:szCs w:val="18"/>
                <w:color w:val="auto"/>
              </w:rPr>
              <w:t>Evidence of Debt</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7840" w:type="dxa"/>
            <w:vAlign w:val="bottom"/>
          </w:tcPr>
          <w:p>
            <w:pPr>
              <w:ind w:left="60"/>
              <w:spacing w:after="0"/>
              <w:rPr>
                <w:sz w:val="20"/>
                <w:szCs w:val="20"/>
                <w:color w:val="auto"/>
              </w:rPr>
            </w:pPr>
            <w:r>
              <w:rPr>
                <w:rFonts w:ascii="Arial" w:cs="Arial" w:eastAsia="Arial" w:hAnsi="Arial"/>
                <w:sz w:val="18"/>
                <w:szCs w:val="18"/>
                <w:color w:val="auto"/>
              </w:rPr>
              <w:t>Payments Generally; Administrative Agent’s Clawback</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7840" w:type="dxa"/>
            <w:vAlign w:val="bottom"/>
          </w:tcPr>
          <w:p>
            <w:pPr>
              <w:ind w:left="60"/>
              <w:spacing w:after="0"/>
              <w:rPr>
                <w:sz w:val="20"/>
                <w:szCs w:val="20"/>
                <w:color w:val="auto"/>
              </w:rPr>
            </w:pPr>
            <w:r>
              <w:rPr>
                <w:rFonts w:ascii="Arial" w:cs="Arial" w:eastAsia="Arial" w:hAnsi="Arial"/>
                <w:sz w:val="18"/>
                <w:szCs w:val="18"/>
                <w:color w:val="auto"/>
              </w:rPr>
              <w:t>Sharing of Payments by Lenders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7840" w:type="dxa"/>
            <w:vAlign w:val="bottom"/>
          </w:tcPr>
          <w:p>
            <w:pPr>
              <w:ind w:left="60"/>
              <w:spacing w:after="0"/>
              <w:rPr>
                <w:sz w:val="20"/>
                <w:szCs w:val="20"/>
                <w:color w:val="auto"/>
              </w:rPr>
            </w:pPr>
            <w:r>
              <w:rPr>
                <w:rFonts w:ascii="Arial" w:cs="Arial" w:eastAsia="Arial" w:hAnsi="Arial"/>
                <w:sz w:val="18"/>
                <w:szCs w:val="18"/>
                <w:color w:val="auto"/>
              </w:rPr>
              <w:t>Cash Collateral</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7840" w:type="dxa"/>
            <w:vAlign w:val="bottom"/>
          </w:tcPr>
          <w:p>
            <w:pPr>
              <w:ind w:left="60"/>
              <w:spacing w:after="0"/>
              <w:rPr>
                <w:sz w:val="20"/>
                <w:szCs w:val="20"/>
                <w:color w:val="auto"/>
              </w:rPr>
            </w:pPr>
            <w:r>
              <w:rPr>
                <w:rFonts w:ascii="Arial" w:cs="Arial" w:eastAsia="Arial" w:hAnsi="Arial"/>
                <w:sz w:val="18"/>
                <w:szCs w:val="18"/>
                <w:color w:val="auto"/>
              </w:rPr>
              <w:t>Defaulting Lenders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418"/>
        </w:trPr>
        <w:tc>
          <w:tcPr>
            <w:tcW w:w="8880" w:type="dxa"/>
            <w:vAlign w:val="bottom"/>
            <w:gridSpan w:val="3"/>
          </w:tcPr>
          <w:p>
            <w:pPr>
              <w:spacing w:after="0"/>
              <w:rPr>
                <w:sz w:val="20"/>
                <w:szCs w:val="20"/>
                <w:color w:val="auto"/>
              </w:rPr>
            </w:pPr>
            <w:r>
              <w:rPr>
                <w:rFonts w:ascii="Arial" w:cs="Arial" w:eastAsia="Arial" w:hAnsi="Arial"/>
                <w:sz w:val="18"/>
                <w:szCs w:val="18"/>
                <w:color w:val="auto"/>
              </w:rPr>
              <w:t>ARTICLE III TAXES, YIELD PROTECTION AND ILLEGALITY</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c>
          <w:tcPr>
            <w:tcW w:w="7840" w:type="dxa"/>
            <w:vAlign w:val="bottom"/>
          </w:tcPr>
          <w:p>
            <w:pPr>
              <w:ind w:left="60"/>
              <w:spacing w:after="0"/>
              <w:rPr>
                <w:sz w:val="20"/>
                <w:szCs w:val="20"/>
                <w:color w:val="auto"/>
              </w:rPr>
            </w:pPr>
            <w:r>
              <w:rPr>
                <w:rFonts w:ascii="Arial" w:cs="Arial" w:eastAsia="Arial" w:hAnsi="Arial"/>
                <w:sz w:val="18"/>
                <w:szCs w:val="18"/>
                <w:color w:val="auto"/>
              </w:rPr>
              <w:t>Taxes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c>
          <w:tcPr>
            <w:tcW w:w="7840" w:type="dxa"/>
            <w:vAlign w:val="bottom"/>
          </w:tcPr>
          <w:p>
            <w:pPr>
              <w:ind w:left="60"/>
              <w:spacing w:after="0"/>
              <w:rPr>
                <w:sz w:val="20"/>
                <w:szCs w:val="20"/>
                <w:color w:val="auto"/>
              </w:rPr>
            </w:pPr>
            <w:r>
              <w:rPr>
                <w:rFonts w:ascii="Arial" w:cs="Arial" w:eastAsia="Arial" w:hAnsi="Arial"/>
                <w:sz w:val="18"/>
                <w:szCs w:val="18"/>
                <w:color w:val="auto"/>
              </w:rPr>
              <w:t>Illegality</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3.03</w:t>
            </w:r>
          </w:p>
        </w:tc>
        <w:tc>
          <w:tcPr>
            <w:tcW w:w="7840" w:type="dxa"/>
            <w:vAlign w:val="bottom"/>
          </w:tcPr>
          <w:p>
            <w:pPr>
              <w:ind w:left="60"/>
              <w:spacing w:after="0"/>
              <w:rPr>
                <w:sz w:val="20"/>
                <w:szCs w:val="20"/>
                <w:color w:val="auto"/>
              </w:rPr>
            </w:pPr>
            <w:r>
              <w:rPr>
                <w:rFonts w:ascii="Arial" w:cs="Arial" w:eastAsia="Arial" w:hAnsi="Arial"/>
                <w:sz w:val="18"/>
                <w:szCs w:val="18"/>
                <w:color w:val="auto"/>
              </w:rPr>
              <w:t>Inability to Determine Rates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7840" w:type="dxa"/>
            <w:vAlign w:val="bottom"/>
          </w:tcPr>
          <w:p>
            <w:pPr>
              <w:ind w:left="60"/>
              <w:spacing w:after="0"/>
              <w:rPr>
                <w:sz w:val="20"/>
                <w:szCs w:val="20"/>
                <w:color w:val="auto"/>
              </w:rPr>
            </w:pPr>
            <w:r>
              <w:rPr>
                <w:rFonts w:ascii="Arial" w:cs="Arial" w:eastAsia="Arial" w:hAnsi="Arial"/>
                <w:sz w:val="18"/>
                <w:szCs w:val="18"/>
                <w:color w:val="auto"/>
              </w:rPr>
              <w:t>Increased Costs; Reserves on Eurodollar Rate Loans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7840" w:type="dxa"/>
            <w:vAlign w:val="bottom"/>
          </w:tcPr>
          <w:p>
            <w:pPr>
              <w:ind w:left="60"/>
              <w:spacing w:after="0"/>
              <w:rPr>
                <w:sz w:val="20"/>
                <w:szCs w:val="20"/>
                <w:color w:val="auto"/>
              </w:rPr>
            </w:pPr>
            <w:r>
              <w:rPr>
                <w:rFonts w:ascii="Arial" w:cs="Arial" w:eastAsia="Arial" w:hAnsi="Arial"/>
                <w:sz w:val="18"/>
                <w:szCs w:val="18"/>
                <w:color w:val="auto"/>
              </w:rPr>
              <w:t>Compensation for Losses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c>
          <w:tcPr>
            <w:tcW w:w="7840" w:type="dxa"/>
            <w:vAlign w:val="bottom"/>
          </w:tcPr>
          <w:p>
            <w:pPr>
              <w:ind w:left="60"/>
              <w:spacing w:after="0"/>
              <w:rPr>
                <w:sz w:val="20"/>
                <w:szCs w:val="20"/>
                <w:color w:val="auto"/>
              </w:rPr>
            </w:pPr>
            <w:r>
              <w:rPr>
                <w:rFonts w:ascii="Arial" w:cs="Arial" w:eastAsia="Arial" w:hAnsi="Arial"/>
                <w:sz w:val="18"/>
                <w:szCs w:val="18"/>
                <w:color w:val="auto"/>
              </w:rPr>
              <w:t>Mitigation Obligations; Replacement of Lenders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c>
          <w:tcPr>
            <w:tcW w:w="7840" w:type="dxa"/>
            <w:vAlign w:val="bottom"/>
          </w:tcPr>
          <w:p>
            <w:pPr>
              <w:ind w:left="60"/>
              <w:spacing w:after="0"/>
              <w:rPr>
                <w:sz w:val="20"/>
                <w:szCs w:val="20"/>
                <w:color w:val="auto"/>
              </w:rPr>
            </w:pPr>
            <w:r>
              <w:rPr>
                <w:rFonts w:ascii="Arial" w:cs="Arial" w:eastAsia="Arial" w:hAnsi="Arial"/>
                <w:sz w:val="18"/>
                <w:szCs w:val="18"/>
                <w:color w:val="auto"/>
              </w:rPr>
              <w:t>Survival</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418"/>
        </w:trPr>
        <w:tc>
          <w:tcPr>
            <w:tcW w:w="8880" w:type="dxa"/>
            <w:vAlign w:val="bottom"/>
            <w:gridSpan w:val="3"/>
          </w:tcPr>
          <w:p>
            <w:pPr>
              <w:spacing w:after="0"/>
              <w:rPr>
                <w:sz w:val="20"/>
                <w:szCs w:val="20"/>
                <w:color w:val="auto"/>
              </w:rPr>
            </w:pPr>
            <w:r>
              <w:rPr>
                <w:rFonts w:ascii="Arial" w:cs="Arial" w:eastAsia="Arial" w:hAnsi="Arial"/>
                <w:sz w:val="18"/>
                <w:szCs w:val="18"/>
                <w:color w:val="auto"/>
              </w:rPr>
              <w:t>ARTICLE IV CONDITIONS PRECEDENT TO CREDIT EXTENSIONS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4.01</w:t>
            </w:r>
          </w:p>
        </w:tc>
        <w:tc>
          <w:tcPr>
            <w:tcW w:w="7840" w:type="dxa"/>
            <w:vAlign w:val="bottom"/>
          </w:tcPr>
          <w:p>
            <w:pPr>
              <w:ind w:left="60"/>
              <w:spacing w:after="0"/>
              <w:rPr>
                <w:sz w:val="20"/>
                <w:szCs w:val="20"/>
                <w:color w:val="auto"/>
              </w:rPr>
            </w:pPr>
            <w:r>
              <w:rPr>
                <w:rFonts w:ascii="Arial" w:cs="Arial" w:eastAsia="Arial" w:hAnsi="Arial"/>
                <w:sz w:val="18"/>
                <w:szCs w:val="18"/>
                <w:color w:val="auto"/>
              </w:rPr>
              <w:t>Conditions of Initial Credit Extension</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4.02</w:t>
            </w:r>
          </w:p>
        </w:tc>
        <w:tc>
          <w:tcPr>
            <w:tcW w:w="7840" w:type="dxa"/>
            <w:vAlign w:val="bottom"/>
          </w:tcPr>
          <w:p>
            <w:pPr>
              <w:ind w:left="60"/>
              <w:spacing w:after="0"/>
              <w:rPr>
                <w:sz w:val="20"/>
                <w:szCs w:val="20"/>
                <w:color w:val="auto"/>
              </w:rPr>
            </w:pPr>
            <w:r>
              <w:rPr>
                <w:rFonts w:ascii="Arial" w:cs="Arial" w:eastAsia="Arial" w:hAnsi="Arial"/>
                <w:sz w:val="18"/>
                <w:szCs w:val="18"/>
                <w:color w:val="auto"/>
              </w:rPr>
              <w:t>Conditions to all Credit Extensions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418"/>
        </w:trPr>
        <w:tc>
          <w:tcPr>
            <w:tcW w:w="8880" w:type="dxa"/>
            <w:vAlign w:val="bottom"/>
            <w:gridSpan w:val="3"/>
          </w:tcPr>
          <w:p>
            <w:pPr>
              <w:spacing w:after="0"/>
              <w:rPr>
                <w:sz w:val="20"/>
                <w:szCs w:val="20"/>
                <w:color w:val="auto"/>
              </w:rPr>
            </w:pPr>
            <w:r>
              <w:rPr>
                <w:rFonts w:ascii="Arial" w:cs="Arial" w:eastAsia="Arial" w:hAnsi="Arial"/>
                <w:sz w:val="18"/>
                <w:szCs w:val="18"/>
                <w:color w:val="auto"/>
              </w:rPr>
              <w:t>ARTICLE V REPRESENTATIONS AND WARRANTIES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7840" w:type="dxa"/>
            <w:vAlign w:val="bottom"/>
          </w:tcPr>
          <w:p>
            <w:pPr>
              <w:ind w:left="60"/>
              <w:spacing w:after="0"/>
              <w:rPr>
                <w:sz w:val="20"/>
                <w:szCs w:val="20"/>
                <w:color w:val="auto"/>
              </w:rPr>
            </w:pPr>
            <w:r>
              <w:rPr>
                <w:rFonts w:ascii="Arial" w:cs="Arial" w:eastAsia="Arial" w:hAnsi="Arial"/>
                <w:sz w:val="18"/>
                <w:szCs w:val="18"/>
                <w:color w:val="auto"/>
              </w:rPr>
              <w:t>Existence, Qualification and Power</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7840" w:type="dxa"/>
            <w:vAlign w:val="bottom"/>
          </w:tcPr>
          <w:p>
            <w:pPr>
              <w:ind w:left="60"/>
              <w:spacing w:after="0"/>
              <w:rPr>
                <w:sz w:val="20"/>
                <w:szCs w:val="20"/>
                <w:color w:val="auto"/>
              </w:rPr>
            </w:pPr>
            <w:r>
              <w:rPr>
                <w:rFonts w:ascii="Arial" w:cs="Arial" w:eastAsia="Arial" w:hAnsi="Arial"/>
                <w:sz w:val="18"/>
                <w:szCs w:val="18"/>
                <w:color w:val="auto"/>
              </w:rPr>
              <w:t>Authorization; No Contravention</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5.03</w:t>
            </w:r>
          </w:p>
        </w:tc>
        <w:tc>
          <w:tcPr>
            <w:tcW w:w="7840" w:type="dxa"/>
            <w:vAlign w:val="bottom"/>
          </w:tcPr>
          <w:p>
            <w:pPr>
              <w:ind w:left="60"/>
              <w:spacing w:after="0"/>
              <w:rPr>
                <w:sz w:val="20"/>
                <w:szCs w:val="20"/>
                <w:color w:val="auto"/>
              </w:rPr>
            </w:pPr>
            <w:r>
              <w:rPr>
                <w:rFonts w:ascii="Arial" w:cs="Arial" w:eastAsia="Arial" w:hAnsi="Arial"/>
                <w:sz w:val="18"/>
                <w:szCs w:val="18"/>
                <w:color w:val="auto"/>
              </w:rPr>
              <w:t>Governmental Authorization; Other Consents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66</w:t>
            </w: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5.04</w:t>
            </w:r>
          </w:p>
        </w:tc>
        <w:tc>
          <w:tcPr>
            <w:tcW w:w="7080" w:type="dxa"/>
            <w:vAlign w:val="bottom"/>
          </w:tcPr>
          <w:p>
            <w:pPr>
              <w:ind w:left="60"/>
              <w:spacing w:after="0"/>
              <w:rPr>
                <w:sz w:val="20"/>
                <w:szCs w:val="20"/>
                <w:color w:val="auto"/>
              </w:rPr>
            </w:pPr>
            <w:r>
              <w:rPr>
                <w:rFonts w:ascii="Arial" w:cs="Arial" w:eastAsia="Arial" w:hAnsi="Arial"/>
                <w:sz w:val="18"/>
                <w:szCs w:val="18"/>
                <w:color w:val="auto"/>
              </w:rPr>
              <w:t>Binding Effect</w:t>
            </w:r>
          </w:p>
        </w:tc>
        <w:tc>
          <w:tcPr>
            <w:tcW w:w="3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5.05</w:t>
            </w:r>
          </w:p>
        </w:tc>
        <w:tc>
          <w:tcPr>
            <w:tcW w:w="7080" w:type="dxa"/>
            <w:vAlign w:val="bottom"/>
          </w:tcPr>
          <w:p>
            <w:pPr>
              <w:ind w:left="60"/>
              <w:spacing w:after="0"/>
              <w:rPr>
                <w:sz w:val="20"/>
                <w:szCs w:val="20"/>
                <w:color w:val="auto"/>
              </w:rPr>
            </w:pPr>
            <w:r>
              <w:rPr>
                <w:rFonts w:ascii="Arial" w:cs="Arial" w:eastAsia="Arial" w:hAnsi="Arial"/>
                <w:sz w:val="18"/>
                <w:szCs w:val="18"/>
                <w:color w:val="auto"/>
              </w:rPr>
              <w:t>Financial Statements; No Material Adverse Effect</w:t>
            </w:r>
          </w:p>
        </w:tc>
        <w:tc>
          <w:tcPr>
            <w:tcW w:w="3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5.06</w:t>
            </w:r>
          </w:p>
        </w:tc>
        <w:tc>
          <w:tcPr>
            <w:tcW w:w="7080" w:type="dxa"/>
            <w:vAlign w:val="bottom"/>
          </w:tcPr>
          <w:p>
            <w:pPr>
              <w:ind w:left="60"/>
              <w:spacing w:after="0"/>
              <w:rPr>
                <w:sz w:val="20"/>
                <w:szCs w:val="20"/>
                <w:color w:val="auto"/>
              </w:rPr>
            </w:pPr>
            <w:r>
              <w:rPr>
                <w:rFonts w:ascii="Arial" w:cs="Arial" w:eastAsia="Arial" w:hAnsi="Arial"/>
                <w:sz w:val="18"/>
                <w:szCs w:val="18"/>
                <w:color w:val="auto"/>
              </w:rPr>
              <w:t>Litigation</w:t>
            </w:r>
          </w:p>
        </w:tc>
        <w:tc>
          <w:tcPr>
            <w:tcW w:w="3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5.07</w:t>
            </w:r>
          </w:p>
        </w:tc>
        <w:tc>
          <w:tcPr>
            <w:tcW w:w="7080" w:type="dxa"/>
            <w:vAlign w:val="bottom"/>
          </w:tcPr>
          <w:p>
            <w:pPr>
              <w:ind w:left="60"/>
              <w:spacing w:after="0"/>
              <w:rPr>
                <w:sz w:val="20"/>
                <w:szCs w:val="20"/>
                <w:color w:val="auto"/>
              </w:rPr>
            </w:pPr>
            <w:r>
              <w:rPr>
                <w:rFonts w:ascii="Arial" w:cs="Arial" w:eastAsia="Arial" w:hAnsi="Arial"/>
                <w:sz w:val="18"/>
                <w:szCs w:val="18"/>
                <w:color w:val="auto"/>
              </w:rPr>
              <w:t>No Default</w:t>
            </w:r>
          </w:p>
        </w:tc>
        <w:tc>
          <w:tcPr>
            <w:tcW w:w="3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5.08</w:t>
            </w:r>
          </w:p>
        </w:tc>
        <w:tc>
          <w:tcPr>
            <w:tcW w:w="7080" w:type="dxa"/>
            <w:vAlign w:val="bottom"/>
          </w:tcPr>
          <w:p>
            <w:pPr>
              <w:ind w:left="60"/>
              <w:spacing w:after="0"/>
              <w:rPr>
                <w:sz w:val="20"/>
                <w:szCs w:val="20"/>
                <w:color w:val="auto"/>
              </w:rPr>
            </w:pPr>
            <w:r>
              <w:rPr>
                <w:rFonts w:ascii="Arial" w:cs="Arial" w:eastAsia="Arial" w:hAnsi="Arial"/>
                <w:sz w:val="18"/>
                <w:szCs w:val="18"/>
                <w:color w:val="auto"/>
              </w:rPr>
              <w:t>Ownership of Property; Liens; Investments</w:t>
            </w:r>
          </w:p>
        </w:tc>
        <w:tc>
          <w:tcPr>
            <w:tcW w:w="3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5.09</w:t>
            </w:r>
          </w:p>
        </w:tc>
        <w:tc>
          <w:tcPr>
            <w:tcW w:w="7080" w:type="dxa"/>
            <w:vAlign w:val="bottom"/>
          </w:tcPr>
          <w:p>
            <w:pPr>
              <w:ind w:left="60"/>
              <w:spacing w:after="0"/>
              <w:rPr>
                <w:sz w:val="20"/>
                <w:szCs w:val="20"/>
                <w:color w:val="auto"/>
              </w:rPr>
            </w:pPr>
            <w:r>
              <w:rPr>
                <w:rFonts w:ascii="Arial" w:cs="Arial" w:eastAsia="Arial" w:hAnsi="Arial"/>
                <w:sz w:val="18"/>
                <w:szCs w:val="18"/>
                <w:color w:val="auto"/>
              </w:rPr>
              <w:t>Environmental Compliance</w:t>
            </w:r>
          </w:p>
        </w:tc>
        <w:tc>
          <w:tcPr>
            <w:tcW w:w="33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5.10</w:t>
            </w:r>
          </w:p>
        </w:tc>
        <w:tc>
          <w:tcPr>
            <w:tcW w:w="7080" w:type="dxa"/>
            <w:vAlign w:val="bottom"/>
          </w:tcPr>
          <w:p>
            <w:pPr>
              <w:ind w:left="60"/>
              <w:spacing w:after="0"/>
              <w:rPr>
                <w:sz w:val="20"/>
                <w:szCs w:val="20"/>
                <w:color w:val="auto"/>
              </w:rPr>
            </w:pPr>
            <w:r>
              <w:rPr>
                <w:rFonts w:ascii="Arial" w:cs="Arial" w:eastAsia="Arial" w:hAnsi="Arial"/>
                <w:sz w:val="18"/>
                <w:szCs w:val="18"/>
                <w:color w:val="auto"/>
              </w:rPr>
              <w:t>Tax Returns and Payments</w:t>
            </w:r>
          </w:p>
        </w:tc>
        <w:tc>
          <w:tcPr>
            <w:tcW w:w="33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5.11</w:t>
            </w:r>
          </w:p>
        </w:tc>
        <w:tc>
          <w:tcPr>
            <w:tcW w:w="7080" w:type="dxa"/>
            <w:vAlign w:val="bottom"/>
          </w:tcPr>
          <w:p>
            <w:pPr>
              <w:ind w:left="60"/>
              <w:spacing w:after="0"/>
              <w:rPr>
                <w:sz w:val="20"/>
                <w:szCs w:val="20"/>
                <w:color w:val="auto"/>
              </w:rPr>
            </w:pPr>
            <w:r>
              <w:rPr>
                <w:rFonts w:ascii="Arial" w:cs="Arial" w:eastAsia="Arial" w:hAnsi="Arial"/>
                <w:sz w:val="18"/>
                <w:szCs w:val="18"/>
                <w:color w:val="auto"/>
              </w:rPr>
              <w:t>ERISA Compliance</w:t>
            </w:r>
          </w:p>
        </w:tc>
        <w:tc>
          <w:tcPr>
            <w:tcW w:w="3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5.12</w:t>
            </w:r>
          </w:p>
        </w:tc>
        <w:tc>
          <w:tcPr>
            <w:tcW w:w="7080" w:type="dxa"/>
            <w:vAlign w:val="bottom"/>
          </w:tcPr>
          <w:p>
            <w:pPr>
              <w:ind w:left="60"/>
              <w:spacing w:after="0"/>
              <w:rPr>
                <w:sz w:val="20"/>
                <w:szCs w:val="20"/>
                <w:color w:val="auto"/>
              </w:rPr>
            </w:pPr>
            <w:r>
              <w:rPr>
                <w:rFonts w:ascii="Arial" w:cs="Arial" w:eastAsia="Arial" w:hAnsi="Arial"/>
                <w:sz w:val="18"/>
                <w:szCs w:val="18"/>
                <w:color w:val="auto"/>
              </w:rPr>
              <w:t>Subsidiaries; Equity Interests; Loan Parties</w:t>
            </w:r>
          </w:p>
        </w:tc>
        <w:tc>
          <w:tcPr>
            <w:tcW w:w="3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5.13</w:t>
            </w:r>
          </w:p>
        </w:tc>
        <w:tc>
          <w:tcPr>
            <w:tcW w:w="7080" w:type="dxa"/>
            <w:vAlign w:val="bottom"/>
          </w:tcPr>
          <w:p>
            <w:pPr>
              <w:ind w:left="60"/>
              <w:spacing w:after="0"/>
              <w:rPr>
                <w:sz w:val="20"/>
                <w:szCs w:val="20"/>
                <w:color w:val="auto"/>
              </w:rPr>
            </w:pPr>
            <w:r>
              <w:rPr>
                <w:rFonts w:ascii="Arial" w:cs="Arial" w:eastAsia="Arial" w:hAnsi="Arial"/>
                <w:sz w:val="18"/>
                <w:szCs w:val="18"/>
                <w:color w:val="auto"/>
              </w:rPr>
              <w:t>Margin Regulations; Investment Company Act</w:t>
            </w:r>
          </w:p>
        </w:tc>
        <w:tc>
          <w:tcPr>
            <w:tcW w:w="3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5.14</w:t>
            </w:r>
          </w:p>
        </w:tc>
        <w:tc>
          <w:tcPr>
            <w:tcW w:w="7080" w:type="dxa"/>
            <w:vAlign w:val="bottom"/>
          </w:tcPr>
          <w:p>
            <w:pPr>
              <w:ind w:left="60"/>
              <w:spacing w:after="0"/>
              <w:rPr>
                <w:sz w:val="20"/>
                <w:szCs w:val="20"/>
                <w:color w:val="auto"/>
              </w:rPr>
            </w:pPr>
            <w:r>
              <w:rPr>
                <w:rFonts w:ascii="Arial" w:cs="Arial" w:eastAsia="Arial" w:hAnsi="Arial"/>
                <w:sz w:val="18"/>
                <w:szCs w:val="18"/>
                <w:color w:val="auto"/>
              </w:rPr>
              <w:t>Disclosure</w:t>
            </w:r>
          </w:p>
        </w:tc>
        <w:tc>
          <w:tcPr>
            <w:tcW w:w="3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5.15</w:t>
            </w:r>
          </w:p>
        </w:tc>
        <w:tc>
          <w:tcPr>
            <w:tcW w:w="7080" w:type="dxa"/>
            <w:vAlign w:val="bottom"/>
          </w:tcPr>
          <w:p>
            <w:pPr>
              <w:ind w:left="60"/>
              <w:spacing w:after="0"/>
              <w:rPr>
                <w:sz w:val="20"/>
                <w:szCs w:val="20"/>
                <w:color w:val="auto"/>
              </w:rPr>
            </w:pPr>
            <w:r>
              <w:rPr>
                <w:rFonts w:ascii="Arial" w:cs="Arial" w:eastAsia="Arial" w:hAnsi="Arial"/>
                <w:sz w:val="18"/>
                <w:szCs w:val="18"/>
                <w:color w:val="auto"/>
              </w:rPr>
              <w:t>Compliance with Laws</w:t>
            </w:r>
          </w:p>
        </w:tc>
        <w:tc>
          <w:tcPr>
            <w:tcW w:w="3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5.16</w:t>
            </w:r>
          </w:p>
        </w:tc>
        <w:tc>
          <w:tcPr>
            <w:tcW w:w="7080" w:type="dxa"/>
            <w:vAlign w:val="bottom"/>
          </w:tcPr>
          <w:p>
            <w:pPr>
              <w:ind w:left="60"/>
              <w:spacing w:after="0"/>
              <w:rPr>
                <w:sz w:val="20"/>
                <w:szCs w:val="20"/>
                <w:color w:val="auto"/>
              </w:rPr>
            </w:pPr>
            <w:r>
              <w:rPr>
                <w:rFonts w:ascii="Arial" w:cs="Arial" w:eastAsia="Arial" w:hAnsi="Arial"/>
                <w:sz w:val="18"/>
                <w:szCs w:val="18"/>
                <w:color w:val="auto"/>
              </w:rPr>
              <w:t>Intellectual Property; Licenses, Etc</w:t>
            </w:r>
          </w:p>
        </w:tc>
        <w:tc>
          <w:tcPr>
            <w:tcW w:w="3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5.17</w:t>
            </w:r>
          </w:p>
        </w:tc>
        <w:tc>
          <w:tcPr>
            <w:tcW w:w="7080" w:type="dxa"/>
            <w:vAlign w:val="bottom"/>
          </w:tcPr>
          <w:p>
            <w:pPr>
              <w:ind w:left="60"/>
              <w:spacing w:after="0"/>
              <w:rPr>
                <w:sz w:val="20"/>
                <w:szCs w:val="20"/>
                <w:color w:val="auto"/>
              </w:rPr>
            </w:pPr>
            <w:r>
              <w:rPr>
                <w:rFonts w:ascii="Arial" w:cs="Arial" w:eastAsia="Arial" w:hAnsi="Arial"/>
                <w:sz w:val="18"/>
                <w:szCs w:val="18"/>
                <w:color w:val="auto"/>
              </w:rPr>
              <w:t>Solvency</w:t>
            </w:r>
          </w:p>
        </w:tc>
        <w:tc>
          <w:tcPr>
            <w:tcW w:w="3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5.18</w:t>
            </w:r>
          </w:p>
        </w:tc>
        <w:tc>
          <w:tcPr>
            <w:tcW w:w="7080" w:type="dxa"/>
            <w:vAlign w:val="bottom"/>
          </w:tcPr>
          <w:p>
            <w:pPr>
              <w:ind w:left="60"/>
              <w:spacing w:after="0"/>
              <w:rPr>
                <w:sz w:val="20"/>
                <w:szCs w:val="20"/>
                <w:color w:val="auto"/>
              </w:rPr>
            </w:pPr>
            <w:r>
              <w:rPr>
                <w:rFonts w:ascii="Arial" w:cs="Arial" w:eastAsia="Arial" w:hAnsi="Arial"/>
                <w:sz w:val="18"/>
                <w:szCs w:val="18"/>
                <w:color w:val="auto"/>
              </w:rPr>
              <w:t>Casualty, Etc</w:t>
            </w:r>
          </w:p>
        </w:tc>
        <w:tc>
          <w:tcPr>
            <w:tcW w:w="3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5.19</w:t>
            </w:r>
          </w:p>
        </w:tc>
        <w:tc>
          <w:tcPr>
            <w:tcW w:w="7080" w:type="dxa"/>
            <w:vAlign w:val="bottom"/>
          </w:tcPr>
          <w:p>
            <w:pPr>
              <w:ind w:left="60"/>
              <w:spacing w:after="0"/>
              <w:rPr>
                <w:sz w:val="20"/>
                <w:szCs w:val="20"/>
                <w:color w:val="auto"/>
              </w:rPr>
            </w:pPr>
            <w:r>
              <w:rPr>
                <w:rFonts w:ascii="Arial" w:cs="Arial" w:eastAsia="Arial" w:hAnsi="Arial"/>
                <w:sz w:val="18"/>
                <w:szCs w:val="18"/>
                <w:color w:val="auto"/>
              </w:rPr>
              <w:t>Collateral Documents</w:t>
            </w:r>
          </w:p>
        </w:tc>
        <w:tc>
          <w:tcPr>
            <w:tcW w:w="3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5.20</w:t>
            </w:r>
          </w:p>
        </w:tc>
        <w:tc>
          <w:tcPr>
            <w:tcW w:w="7080" w:type="dxa"/>
            <w:vAlign w:val="bottom"/>
          </w:tcPr>
          <w:p>
            <w:pPr>
              <w:ind w:left="60"/>
              <w:spacing w:after="0"/>
              <w:rPr>
                <w:sz w:val="20"/>
                <w:szCs w:val="20"/>
                <w:color w:val="auto"/>
              </w:rPr>
            </w:pPr>
            <w:r>
              <w:rPr>
                <w:rFonts w:ascii="Arial" w:cs="Arial" w:eastAsia="Arial" w:hAnsi="Arial"/>
                <w:sz w:val="18"/>
                <w:szCs w:val="18"/>
                <w:color w:val="auto"/>
              </w:rPr>
              <w:t>Material Agreements</w:t>
            </w:r>
          </w:p>
        </w:tc>
        <w:tc>
          <w:tcPr>
            <w:tcW w:w="3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5.21</w:t>
            </w:r>
          </w:p>
        </w:tc>
        <w:tc>
          <w:tcPr>
            <w:tcW w:w="7080" w:type="dxa"/>
            <w:vAlign w:val="bottom"/>
          </w:tcPr>
          <w:p>
            <w:pPr>
              <w:ind w:left="60"/>
              <w:spacing w:after="0"/>
              <w:rPr>
                <w:sz w:val="20"/>
                <w:szCs w:val="20"/>
                <w:color w:val="auto"/>
              </w:rPr>
            </w:pPr>
            <w:r>
              <w:rPr>
                <w:rFonts w:ascii="Arial" w:cs="Arial" w:eastAsia="Arial" w:hAnsi="Arial"/>
                <w:sz w:val="18"/>
                <w:szCs w:val="18"/>
                <w:color w:val="auto"/>
              </w:rPr>
              <w:t>Eligible Receivables</w:t>
            </w:r>
          </w:p>
        </w:tc>
        <w:tc>
          <w:tcPr>
            <w:tcW w:w="3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5.22</w:t>
            </w:r>
          </w:p>
        </w:tc>
        <w:tc>
          <w:tcPr>
            <w:tcW w:w="7080" w:type="dxa"/>
            <w:vAlign w:val="bottom"/>
          </w:tcPr>
          <w:p>
            <w:pPr>
              <w:ind w:left="60"/>
              <w:spacing w:after="0"/>
              <w:rPr>
                <w:sz w:val="20"/>
                <w:szCs w:val="20"/>
                <w:color w:val="auto"/>
              </w:rPr>
            </w:pPr>
            <w:r>
              <w:rPr>
                <w:rFonts w:ascii="Arial" w:cs="Arial" w:eastAsia="Arial" w:hAnsi="Arial"/>
                <w:sz w:val="18"/>
                <w:szCs w:val="18"/>
                <w:color w:val="auto"/>
              </w:rPr>
              <w:t>Eligible Inventory</w:t>
            </w:r>
          </w:p>
        </w:tc>
        <w:tc>
          <w:tcPr>
            <w:tcW w:w="3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5.23</w:t>
            </w:r>
          </w:p>
        </w:tc>
        <w:tc>
          <w:tcPr>
            <w:tcW w:w="7080" w:type="dxa"/>
            <w:vAlign w:val="bottom"/>
          </w:tcPr>
          <w:p>
            <w:pPr>
              <w:ind w:left="60"/>
              <w:spacing w:after="0"/>
              <w:rPr>
                <w:sz w:val="20"/>
                <w:szCs w:val="20"/>
                <w:color w:val="auto"/>
              </w:rPr>
            </w:pPr>
            <w:r>
              <w:rPr>
                <w:rFonts w:ascii="Arial" w:cs="Arial" w:eastAsia="Arial" w:hAnsi="Arial"/>
                <w:sz w:val="18"/>
                <w:szCs w:val="18"/>
                <w:color w:val="auto"/>
              </w:rPr>
              <w:t>Insurance Policies</w:t>
            </w:r>
          </w:p>
        </w:tc>
        <w:tc>
          <w:tcPr>
            <w:tcW w:w="3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5.24</w:t>
            </w:r>
          </w:p>
        </w:tc>
        <w:tc>
          <w:tcPr>
            <w:tcW w:w="7080" w:type="dxa"/>
            <w:vAlign w:val="bottom"/>
          </w:tcPr>
          <w:p>
            <w:pPr>
              <w:ind w:left="60"/>
              <w:spacing w:after="0"/>
              <w:rPr>
                <w:sz w:val="20"/>
                <w:szCs w:val="20"/>
                <w:color w:val="auto"/>
              </w:rPr>
            </w:pPr>
            <w:r>
              <w:rPr>
                <w:rFonts w:ascii="Arial" w:cs="Arial" w:eastAsia="Arial" w:hAnsi="Arial"/>
                <w:sz w:val="18"/>
                <w:szCs w:val="18"/>
                <w:color w:val="auto"/>
              </w:rPr>
              <w:t>Employment and Labor Agreements</w:t>
            </w:r>
          </w:p>
        </w:tc>
        <w:tc>
          <w:tcPr>
            <w:tcW w:w="33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5.25</w:t>
            </w:r>
          </w:p>
        </w:tc>
        <w:tc>
          <w:tcPr>
            <w:tcW w:w="7080" w:type="dxa"/>
            <w:vAlign w:val="bottom"/>
          </w:tcPr>
          <w:p>
            <w:pPr>
              <w:ind w:left="60"/>
              <w:spacing w:after="0"/>
              <w:rPr>
                <w:sz w:val="20"/>
                <w:szCs w:val="20"/>
                <w:color w:val="auto"/>
              </w:rPr>
            </w:pPr>
            <w:r>
              <w:rPr>
                <w:rFonts w:ascii="Arial" w:cs="Arial" w:eastAsia="Arial" w:hAnsi="Arial"/>
                <w:sz w:val="18"/>
                <w:szCs w:val="18"/>
                <w:color w:val="auto"/>
              </w:rPr>
              <w:t>OFAC; Anti-Corruption Laws</w:t>
            </w:r>
          </w:p>
        </w:tc>
        <w:tc>
          <w:tcPr>
            <w:tcW w:w="33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5.26</w:t>
            </w:r>
          </w:p>
        </w:tc>
        <w:tc>
          <w:tcPr>
            <w:tcW w:w="7080" w:type="dxa"/>
            <w:vAlign w:val="bottom"/>
          </w:tcPr>
          <w:p>
            <w:pPr>
              <w:ind w:left="60"/>
              <w:spacing w:after="0"/>
              <w:rPr>
                <w:sz w:val="20"/>
                <w:szCs w:val="20"/>
                <w:color w:val="auto"/>
              </w:rPr>
            </w:pPr>
            <w:r>
              <w:rPr>
                <w:rFonts w:ascii="Arial" w:cs="Arial" w:eastAsia="Arial" w:hAnsi="Arial"/>
                <w:sz w:val="18"/>
                <w:szCs w:val="18"/>
                <w:color w:val="auto"/>
              </w:rPr>
              <w:t>EEA Financial Institution</w:t>
            </w:r>
          </w:p>
        </w:tc>
        <w:tc>
          <w:tcPr>
            <w:tcW w:w="33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1040" w:type="dxa"/>
            <w:vAlign w:val="bottom"/>
          </w:tcPr>
          <w:p>
            <w:pPr>
              <w:jc w:val="right"/>
              <w:spacing w:after="0"/>
              <w:rPr>
                <w:sz w:val="20"/>
                <w:szCs w:val="20"/>
                <w:color w:val="auto"/>
              </w:rPr>
            </w:pPr>
            <w:r>
              <w:rPr>
                <w:rFonts w:ascii="Arial" w:cs="Arial" w:eastAsia="Arial" w:hAnsi="Arial"/>
                <w:sz w:val="18"/>
                <w:szCs w:val="18"/>
                <w:color w:val="auto"/>
              </w:rPr>
              <w:t>5.27</w:t>
            </w:r>
          </w:p>
        </w:tc>
        <w:tc>
          <w:tcPr>
            <w:tcW w:w="7080" w:type="dxa"/>
            <w:vAlign w:val="bottom"/>
          </w:tcPr>
          <w:p>
            <w:pPr>
              <w:ind w:left="60"/>
              <w:spacing w:after="0"/>
              <w:rPr>
                <w:sz w:val="20"/>
                <w:szCs w:val="20"/>
                <w:color w:val="auto"/>
              </w:rPr>
            </w:pPr>
            <w:r>
              <w:rPr>
                <w:rFonts w:ascii="Arial" w:cs="Arial" w:eastAsia="Arial" w:hAnsi="Arial"/>
                <w:sz w:val="18"/>
                <w:szCs w:val="18"/>
                <w:color w:val="auto"/>
              </w:rPr>
              <w:t>Restated Obligations</w:t>
            </w:r>
          </w:p>
        </w:tc>
        <w:tc>
          <w:tcPr>
            <w:tcW w:w="33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18"/>
        </w:trPr>
        <w:tc>
          <w:tcPr>
            <w:tcW w:w="8120" w:type="dxa"/>
            <w:vAlign w:val="bottom"/>
            <w:gridSpan w:val="2"/>
          </w:tcPr>
          <w:p>
            <w:pPr>
              <w:spacing w:after="0"/>
              <w:rPr>
                <w:sz w:val="20"/>
                <w:szCs w:val="20"/>
                <w:color w:val="auto"/>
              </w:rPr>
            </w:pPr>
            <w:r>
              <w:rPr>
                <w:rFonts w:ascii="Arial" w:cs="Arial" w:eastAsia="Arial" w:hAnsi="Arial"/>
                <w:sz w:val="18"/>
                <w:szCs w:val="18"/>
                <w:color w:val="auto"/>
              </w:rPr>
              <w:t>ARTICLE VI AFFIRMATIVE COVENANTS</w:t>
            </w:r>
          </w:p>
        </w:tc>
        <w:tc>
          <w:tcPr>
            <w:tcW w:w="33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6.01</w:t>
            </w:r>
          </w:p>
        </w:tc>
        <w:tc>
          <w:tcPr>
            <w:tcW w:w="708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33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6.02</w:t>
            </w:r>
          </w:p>
        </w:tc>
        <w:tc>
          <w:tcPr>
            <w:tcW w:w="7080" w:type="dxa"/>
            <w:vAlign w:val="bottom"/>
          </w:tcPr>
          <w:p>
            <w:pPr>
              <w:ind w:left="60"/>
              <w:spacing w:after="0"/>
              <w:rPr>
                <w:sz w:val="20"/>
                <w:szCs w:val="20"/>
                <w:color w:val="auto"/>
              </w:rPr>
            </w:pPr>
            <w:r>
              <w:rPr>
                <w:rFonts w:ascii="Arial" w:cs="Arial" w:eastAsia="Arial" w:hAnsi="Arial"/>
                <w:sz w:val="18"/>
                <w:szCs w:val="18"/>
                <w:color w:val="auto"/>
              </w:rPr>
              <w:t>Certificates; Other Information</w:t>
            </w:r>
          </w:p>
        </w:tc>
        <w:tc>
          <w:tcPr>
            <w:tcW w:w="33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6.03</w:t>
            </w:r>
          </w:p>
        </w:tc>
        <w:tc>
          <w:tcPr>
            <w:tcW w:w="7080" w:type="dxa"/>
            <w:vAlign w:val="bottom"/>
          </w:tcPr>
          <w:p>
            <w:pPr>
              <w:ind w:left="60"/>
              <w:spacing w:after="0"/>
              <w:rPr>
                <w:sz w:val="20"/>
                <w:szCs w:val="20"/>
                <w:color w:val="auto"/>
              </w:rPr>
            </w:pPr>
            <w:r>
              <w:rPr>
                <w:rFonts w:ascii="Arial" w:cs="Arial" w:eastAsia="Arial" w:hAnsi="Arial"/>
                <w:sz w:val="18"/>
                <w:szCs w:val="18"/>
                <w:color w:val="auto"/>
              </w:rPr>
              <w:t>Notices</w:t>
            </w:r>
          </w:p>
        </w:tc>
        <w:tc>
          <w:tcPr>
            <w:tcW w:w="33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6.04</w:t>
            </w:r>
          </w:p>
        </w:tc>
        <w:tc>
          <w:tcPr>
            <w:tcW w:w="7080" w:type="dxa"/>
            <w:vAlign w:val="bottom"/>
          </w:tcPr>
          <w:p>
            <w:pPr>
              <w:ind w:left="60"/>
              <w:spacing w:after="0"/>
              <w:rPr>
                <w:sz w:val="20"/>
                <w:szCs w:val="20"/>
                <w:color w:val="auto"/>
              </w:rPr>
            </w:pPr>
            <w:r>
              <w:rPr>
                <w:rFonts w:ascii="Arial" w:cs="Arial" w:eastAsia="Arial" w:hAnsi="Arial"/>
                <w:sz w:val="18"/>
                <w:szCs w:val="18"/>
                <w:color w:val="auto"/>
              </w:rPr>
              <w:t>Payment of Obligations</w:t>
            </w:r>
          </w:p>
        </w:tc>
        <w:tc>
          <w:tcPr>
            <w:tcW w:w="3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6.05</w:t>
            </w:r>
          </w:p>
        </w:tc>
        <w:tc>
          <w:tcPr>
            <w:tcW w:w="7080" w:type="dxa"/>
            <w:vAlign w:val="bottom"/>
          </w:tcPr>
          <w:p>
            <w:pPr>
              <w:ind w:left="60"/>
              <w:spacing w:after="0"/>
              <w:rPr>
                <w:sz w:val="20"/>
                <w:szCs w:val="20"/>
                <w:color w:val="auto"/>
              </w:rPr>
            </w:pPr>
            <w:r>
              <w:rPr>
                <w:rFonts w:ascii="Arial" w:cs="Arial" w:eastAsia="Arial" w:hAnsi="Arial"/>
                <w:sz w:val="18"/>
                <w:szCs w:val="18"/>
                <w:color w:val="auto"/>
              </w:rPr>
              <w:t>Preservation of Existence, Etc</w:t>
            </w:r>
          </w:p>
        </w:tc>
        <w:tc>
          <w:tcPr>
            <w:tcW w:w="3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6.06</w:t>
            </w:r>
          </w:p>
        </w:tc>
        <w:tc>
          <w:tcPr>
            <w:tcW w:w="7080" w:type="dxa"/>
            <w:vAlign w:val="bottom"/>
          </w:tcPr>
          <w:p>
            <w:pPr>
              <w:ind w:left="60"/>
              <w:spacing w:after="0"/>
              <w:rPr>
                <w:sz w:val="20"/>
                <w:szCs w:val="20"/>
                <w:color w:val="auto"/>
              </w:rPr>
            </w:pPr>
            <w:r>
              <w:rPr>
                <w:rFonts w:ascii="Arial" w:cs="Arial" w:eastAsia="Arial" w:hAnsi="Arial"/>
                <w:sz w:val="18"/>
                <w:szCs w:val="18"/>
                <w:color w:val="auto"/>
              </w:rPr>
              <w:t>Maintenance of Properties</w:t>
            </w:r>
          </w:p>
        </w:tc>
        <w:tc>
          <w:tcPr>
            <w:tcW w:w="3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6.07</w:t>
            </w:r>
          </w:p>
        </w:tc>
        <w:tc>
          <w:tcPr>
            <w:tcW w:w="7080" w:type="dxa"/>
            <w:vAlign w:val="bottom"/>
          </w:tcPr>
          <w:p>
            <w:pPr>
              <w:ind w:left="60"/>
              <w:spacing w:after="0"/>
              <w:rPr>
                <w:sz w:val="20"/>
                <w:szCs w:val="20"/>
                <w:color w:val="auto"/>
              </w:rPr>
            </w:pPr>
            <w:r>
              <w:rPr>
                <w:rFonts w:ascii="Arial" w:cs="Arial" w:eastAsia="Arial" w:hAnsi="Arial"/>
                <w:sz w:val="18"/>
                <w:szCs w:val="18"/>
                <w:color w:val="auto"/>
              </w:rPr>
              <w:t>Maintenance of Insurance</w:t>
            </w:r>
          </w:p>
        </w:tc>
        <w:tc>
          <w:tcPr>
            <w:tcW w:w="3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6.08</w:t>
            </w:r>
          </w:p>
        </w:tc>
        <w:tc>
          <w:tcPr>
            <w:tcW w:w="7080" w:type="dxa"/>
            <w:vAlign w:val="bottom"/>
          </w:tcPr>
          <w:p>
            <w:pPr>
              <w:ind w:left="60"/>
              <w:spacing w:after="0"/>
              <w:rPr>
                <w:sz w:val="20"/>
                <w:szCs w:val="20"/>
                <w:color w:val="auto"/>
              </w:rPr>
            </w:pPr>
            <w:r>
              <w:rPr>
                <w:rFonts w:ascii="Arial" w:cs="Arial" w:eastAsia="Arial" w:hAnsi="Arial"/>
                <w:sz w:val="18"/>
                <w:szCs w:val="18"/>
                <w:color w:val="auto"/>
              </w:rPr>
              <w:t>Compliance with Laws</w:t>
            </w:r>
          </w:p>
        </w:tc>
        <w:tc>
          <w:tcPr>
            <w:tcW w:w="3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6.09</w:t>
            </w:r>
          </w:p>
        </w:tc>
        <w:tc>
          <w:tcPr>
            <w:tcW w:w="7080" w:type="dxa"/>
            <w:vAlign w:val="bottom"/>
          </w:tcPr>
          <w:p>
            <w:pPr>
              <w:ind w:left="60"/>
              <w:spacing w:after="0"/>
              <w:rPr>
                <w:sz w:val="20"/>
                <w:szCs w:val="20"/>
                <w:color w:val="auto"/>
              </w:rPr>
            </w:pPr>
            <w:r>
              <w:rPr>
                <w:rFonts w:ascii="Arial" w:cs="Arial" w:eastAsia="Arial" w:hAnsi="Arial"/>
                <w:sz w:val="18"/>
                <w:szCs w:val="18"/>
                <w:color w:val="auto"/>
              </w:rPr>
              <w:t>Books and Records</w:t>
            </w:r>
          </w:p>
        </w:tc>
        <w:tc>
          <w:tcPr>
            <w:tcW w:w="3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6.10</w:t>
            </w:r>
          </w:p>
        </w:tc>
        <w:tc>
          <w:tcPr>
            <w:tcW w:w="7080" w:type="dxa"/>
            <w:vAlign w:val="bottom"/>
          </w:tcPr>
          <w:p>
            <w:pPr>
              <w:ind w:left="60"/>
              <w:spacing w:after="0"/>
              <w:rPr>
                <w:sz w:val="20"/>
                <w:szCs w:val="20"/>
                <w:color w:val="auto"/>
              </w:rPr>
            </w:pPr>
            <w:r>
              <w:rPr>
                <w:rFonts w:ascii="Arial" w:cs="Arial" w:eastAsia="Arial" w:hAnsi="Arial"/>
                <w:sz w:val="18"/>
                <w:szCs w:val="18"/>
                <w:color w:val="auto"/>
              </w:rPr>
              <w:t>Inspection Rights</w:t>
            </w:r>
          </w:p>
        </w:tc>
        <w:tc>
          <w:tcPr>
            <w:tcW w:w="3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6.11</w:t>
            </w:r>
          </w:p>
        </w:tc>
        <w:tc>
          <w:tcPr>
            <w:tcW w:w="7080" w:type="dxa"/>
            <w:vAlign w:val="bottom"/>
          </w:tcPr>
          <w:p>
            <w:pPr>
              <w:ind w:left="60"/>
              <w:spacing w:after="0"/>
              <w:rPr>
                <w:sz w:val="20"/>
                <w:szCs w:val="20"/>
                <w:color w:val="auto"/>
              </w:rPr>
            </w:pPr>
            <w:r>
              <w:rPr>
                <w:rFonts w:ascii="Arial" w:cs="Arial" w:eastAsia="Arial" w:hAnsi="Arial"/>
                <w:sz w:val="18"/>
                <w:szCs w:val="18"/>
                <w:color w:val="auto"/>
              </w:rPr>
              <w:t>Use of Proceeds</w:t>
            </w:r>
          </w:p>
        </w:tc>
        <w:tc>
          <w:tcPr>
            <w:tcW w:w="3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6.12</w:t>
            </w:r>
          </w:p>
        </w:tc>
        <w:tc>
          <w:tcPr>
            <w:tcW w:w="7080" w:type="dxa"/>
            <w:vAlign w:val="bottom"/>
          </w:tcPr>
          <w:p>
            <w:pPr>
              <w:ind w:left="60"/>
              <w:spacing w:after="0"/>
              <w:rPr>
                <w:sz w:val="20"/>
                <w:szCs w:val="20"/>
                <w:color w:val="auto"/>
              </w:rPr>
            </w:pPr>
            <w:r>
              <w:rPr>
                <w:rFonts w:ascii="Arial" w:cs="Arial" w:eastAsia="Arial" w:hAnsi="Arial"/>
                <w:sz w:val="18"/>
                <w:szCs w:val="18"/>
                <w:color w:val="auto"/>
              </w:rPr>
              <w:t>Covenant to Guarantee Obligations and Give Security</w:t>
            </w:r>
          </w:p>
        </w:tc>
        <w:tc>
          <w:tcPr>
            <w:tcW w:w="3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6.13</w:t>
            </w:r>
          </w:p>
        </w:tc>
        <w:tc>
          <w:tcPr>
            <w:tcW w:w="7080" w:type="dxa"/>
            <w:vAlign w:val="bottom"/>
          </w:tcPr>
          <w:p>
            <w:pPr>
              <w:ind w:left="60"/>
              <w:spacing w:after="0"/>
              <w:rPr>
                <w:sz w:val="20"/>
                <w:szCs w:val="20"/>
                <w:color w:val="auto"/>
              </w:rPr>
            </w:pPr>
            <w:r>
              <w:rPr>
                <w:rFonts w:ascii="Arial" w:cs="Arial" w:eastAsia="Arial" w:hAnsi="Arial"/>
                <w:sz w:val="18"/>
                <w:szCs w:val="18"/>
                <w:color w:val="auto"/>
              </w:rPr>
              <w:t>Compliance with Environmental Laws</w:t>
            </w:r>
          </w:p>
        </w:tc>
        <w:tc>
          <w:tcPr>
            <w:tcW w:w="3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6.14</w:t>
            </w:r>
          </w:p>
        </w:tc>
        <w:tc>
          <w:tcPr>
            <w:tcW w:w="7080" w:type="dxa"/>
            <w:vAlign w:val="bottom"/>
          </w:tcPr>
          <w:p>
            <w:pPr>
              <w:ind w:left="60"/>
              <w:spacing w:after="0"/>
              <w:rPr>
                <w:sz w:val="20"/>
                <w:szCs w:val="20"/>
                <w:color w:val="auto"/>
              </w:rPr>
            </w:pPr>
            <w:r>
              <w:rPr>
                <w:rFonts w:ascii="Arial" w:cs="Arial" w:eastAsia="Arial" w:hAnsi="Arial"/>
                <w:sz w:val="18"/>
                <w:szCs w:val="18"/>
                <w:color w:val="auto"/>
              </w:rPr>
              <w:t>Reserved</w:t>
            </w:r>
          </w:p>
        </w:tc>
        <w:tc>
          <w:tcPr>
            <w:tcW w:w="3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6.15</w:t>
            </w:r>
          </w:p>
        </w:tc>
        <w:tc>
          <w:tcPr>
            <w:tcW w:w="708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3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6.16</w:t>
            </w:r>
          </w:p>
        </w:tc>
        <w:tc>
          <w:tcPr>
            <w:tcW w:w="7080" w:type="dxa"/>
            <w:vAlign w:val="bottom"/>
          </w:tcPr>
          <w:p>
            <w:pPr>
              <w:ind w:left="60"/>
              <w:spacing w:after="0"/>
              <w:rPr>
                <w:sz w:val="20"/>
                <w:szCs w:val="20"/>
                <w:color w:val="auto"/>
              </w:rPr>
            </w:pPr>
            <w:r>
              <w:rPr>
                <w:rFonts w:ascii="Arial" w:cs="Arial" w:eastAsia="Arial" w:hAnsi="Arial"/>
                <w:sz w:val="18"/>
                <w:szCs w:val="18"/>
                <w:color w:val="auto"/>
              </w:rPr>
              <w:t>Reserved</w:t>
            </w:r>
          </w:p>
        </w:tc>
        <w:tc>
          <w:tcPr>
            <w:tcW w:w="3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6.17</w:t>
            </w:r>
          </w:p>
        </w:tc>
        <w:tc>
          <w:tcPr>
            <w:tcW w:w="7080" w:type="dxa"/>
            <w:vAlign w:val="bottom"/>
          </w:tcPr>
          <w:p>
            <w:pPr>
              <w:ind w:left="60"/>
              <w:spacing w:after="0"/>
              <w:rPr>
                <w:sz w:val="20"/>
                <w:szCs w:val="20"/>
                <w:color w:val="auto"/>
              </w:rPr>
            </w:pPr>
            <w:r>
              <w:rPr>
                <w:rFonts w:ascii="Arial" w:cs="Arial" w:eastAsia="Arial" w:hAnsi="Arial"/>
                <w:sz w:val="18"/>
                <w:szCs w:val="18"/>
                <w:color w:val="auto"/>
              </w:rPr>
              <w:t>Interest Rate Hedging</w:t>
            </w:r>
          </w:p>
        </w:tc>
        <w:tc>
          <w:tcPr>
            <w:tcW w:w="3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6.18</w:t>
            </w:r>
          </w:p>
        </w:tc>
        <w:tc>
          <w:tcPr>
            <w:tcW w:w="7080" w:type="dxa"/>
            <w:vAlign w:val="bottom"/>
          </w:tcPr>
          <w:p>
            <w:pPr>
              <w:ind w:left="60"/>
              <w:spacing w:after="0"/>
              <w:rPr>
                <w:sz w:val="20"/>
                <w:szCs w:val="20"/>
                <w:color w:val="auto"/>
              </w:rPr>
            </w:pPr>
            <w:r>
              <w:rPr>
                <w:rFonts w:ascii="Arial" w:cs="Arial" w:eastAsia="Arial" w:hAnsi="Arial"/>
                <w:sz w:val="18"/>
                <w:szCs w:val="18"/>
                <w:color w:val="auto"/>
              </w:rPr>
              <w:t>Material Contracts</w:t>
            </w:r>
          </w:p>
        </w:tc>
        <w:tc>
          <w:tcPr>
            <w:tcW w:w="33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6.19</w:t>
            </w:r>
          </w:p>
        </w:tc>
        <w:tc>
          <w:tcPr>
            <w:tcW w:w="7080" w:type="dxa"/>
            <w:vAlign w:val="bottom"/>
          </w:tcPr>
          <w:p>
            <w:pPr>
              <w:ind w:left="60"/>
              <w:spacing w:after="0"/>
              <w:rPr>
                <w:sz w:val="20"/>
                <w:szCs w:val="20"/>
                <w:color w:val="auto"/>
              </w:rPr>
            </w:pPr>
            <w:r>
              <w:rPr>
                <w:rFonts w:ascii="Arial" w:cs="Arial" w:eastAsia="Arial" w:hAnsi="Arial"/>
                <w:sz w:val="18"/>
                <w:szCs w:val="18"/>
                <w:color w:val="auto"/>
              </w:rPr>
              <w:t>Cash Collateral Accounts</w:t>
            </w:r>
          </w:p>
        </w:tc>
        <w:tc>
          <w:tcPr>
            <w:tcW w:w="33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040" w:type="dxa"/>
            <w:vAlign w:val="bottom"/>
          </w:tcPr>
          <w:p>
            <w:pPr>
              <w:jc w:val="right"/>
              <w:spacing w:after="0"/>
              <w:rPr>
                <w:sz w:val="20"/>
                <w:szCs w:val="20"/>
                <w:color w:val="auto"/>
              </w:rPr>
            </w:pPr>
            <w:r>
              <w:rPr>
                <w:rFonts w:ascii="Arial" w:cs="Arial" w:eastAsia="Arial" w:hAnsi="Arial"/>
                <w:sz w:val="18"/>
                <w:szCs w:val="18"/>
                <w:color w:val="auto"/>
              </w:rPr>
              <w:t>6.20</w:t>
            </w:r>
          </w:p>
        </w:tc>
        <w:tc>
          <w:tcPr>
            <w:tcW w:w="7080" w:type="dxa"/>
            <w:vAlign w:val="bottom"/>
          </w:tcPr>
          <w:p>
            <w:pPr>
              <w:ind w:left="60"/>
              <w:spacing w:after="0"/>
              <w:rPr>
                <w:sz w:val="20"/>
                <w:szCs w:val="20"/>
                <w:color w:val="auto"/>
              </w:rPr>
            </w:pPr>
            <w:r>
              <w:rPr>
                <w:rFonts w:ascii="Arial" w:cs="Arial" w:eastAsia="Arial" w:hAnsi="Arial"/>
                <w:sz w:val="18"/>
                <w:szCs w:val="18"/>
                <w:color w:val="auto"/>
              </w:rPr>
              <w:t>Anti-Corruption Laws</w:t>
            </w:r>
          </w:p>
        </w:tc>
        <w:tc>
          <w:tcPr>
            <w:tcW w:w="330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ARTICLE VII NEGATIVE COVENANTS</w:t>
            </w:r>
          </w:p>
        </w:tc>
        <w:tc>
          <w:tcPr>
            <w:tcW w:w="26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7.01</w:t>
            </w:r>
          </w:p>
        </w:tc>
        <w:tc>
          <w:tcPr>
            <w:tcW w:w="7660" w:type="dxa"/>
            <w:vAlign w:val="bottom"/>
          </w:tcPr>
          <w:p>
            <w:pPr>
              <w:ind w:left="20"/>
              <w:spacing w:after="0"/>
              <w:rPr>
                <w:sz w:val="20"/>
                <w:szCs w:val="20"/>
                <w:color w:val="auto"/>
              </w:rPr>
            </w:pPr>
            <w:r>
              <w:rPr>
                <w:rFonts w:ascii="Arial" w:cs="Arial" w:eastAsia="Arial" w:hAnsi="Arial"/>
                <w:sz w:val="18"/>
                <w:szCs w:val="18"/>
                <w:color w:val="auto"/>
              </w:rPr>
              <w:t>Liens, Etc</w:t>
            </w:r>
          </w:p>
        </w:tc>
        <w:tc>
          <w:tcPr>
            <w:tcW w:w="26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7.02</w:t>
            </w:r>
          </w:p>
        </w:tc>
        <w:tc>
          <w:tcPr>
            <w:tcW w:w="7660" w:type="dxa"/>
            <w:vAlign w:val="bottom"/>
          </w:tcPr>
          <w:p>
            <w:pPr>
              <w:ind w:left="20"/>
              <w:spacing w:after="0"/>
              <w:rPr>
                <w:sz w:val="20"/>
                <w:szCs w:val="20"/>
                <w:color w:val="auto"/>
              </w:rPr>
            </w:pPr>
            <w:r>
              <w:rPr>
                <w:rFonts w:ascii="Arial" w:cs="Arial" w:eastAsia="Arial" w:hAnsi="Arial"/>
                <w:sz w:val="18"/>
                <w:szCs w:val="18"/>
                <w:color w:val="auto"/>
              </w:rPr>
              <w:t>Indebtedness</w:t>
            </w:r>
          </w:p>
        </w:tc>
        <w:tc>
          <w:tcPr>
            <w:tcW w:w="26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7.03</w:t>
            </w:r>
          </w:p>
        </w:tc>
        <w:tc>
          <w:tcPr>
            <w:tcW w:w="76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6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7.04</w:t>
            </w:r>
          </w:p>
        </w:tc>
        <w:tc>
          <w:tcPr>
            <w:tcW w:w="7660" w:type="dxa"/>
            <w:vAlign w:val="bottom"/>
          </w:tcPr>
          <w:p>
            <w:pPr>
              <w:ind w:left="20"/>
              <w:spacing w:after="0"/>
              <w:rPr>
                <w:sz w:val="20"/>
                <w:szCs w:val="20"/>
                <w:color w:val="auto"/>
              </w:rPr>
            </w:pPr>
            <w:r>
              <w:rPr>
                <w:rFonts w:ascii="Arial" w:cs="Arial" w:eastAsia="Arial" w:hAnsi="Arial"/>
                <w:sz w:val="18"/>
                <w:szCs w:val="18"/>
                <w:color w:val="auto"/>
              </w:rPr>
              <w:t>Fundamental Changes</w:t>
            </w:r>
          </w:p>
        </w:tc>
        <w:tc>
          <w:tcPr>
            <w:tcW w:w="26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7.05</w:t>
            </w:r>
          </w:p>
        </w:tc>
        <w:tc>
          <w:tcPr>
            <w:tcW w:w="7660" w:type="dxa"/>
            <w:vAlign w:val="bottom"/>
          </w:tcPr>
          <w:p>
            <w:pPr>
              <w:ind w:left="20"/>
              <w:spacing w:after="0"/>
              <w:rPr>
                <w:sz w:val="20"/>
                <w:szCs w:val="20"/>
                <w:color w:val="auto"/>
              </w:rPr>
            </w:pPr>
            <w:r>
              <w:rPr>
                <w:rFonts w:ascii="Arial" w:cs="Arial" w:eastAsia="Arial" w:hAnsi="Arial"/>
                <w:sz w:val="18"/>
                <w:szCs w:val="18"/>
                <w:color w:val="auto"/>
              </w:rPr>
              <w:t>Sale of Assets</w:t>
            </w:r>
          </w:p>
        </w:tc>
        <w:tc>
          <w:tcPr>
            <w:tcW w:w="26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7.06</w:t>
            </w:r>
          </w:p>
        </w:tc>
        <w:tc>
          <w:tcPr>
            <w:tcW w:w="7660" w:type="dxa"/>
            <w:vAlign w:val="bottom"/>
          </w:tcPr>
          <w:p>
            <w:pPr>
              <w:ind w:left="20"/>
              <w:spacing w:after="0"/>
              <w:rPr>
                <w:sz w:val="20"/>
                <w:szCs w:val="20"/>
                <w:color w:val="auto"/>
              </w:rPr>
            </w:pPr>
            <w:r>
              <w:rPr>
                <w:rFonts w:ascii="Arial" w:cs="Arial" w:eastAsia="Arial" w:hAnsi="Arial"/>
                <w:sz w:val="18"/>
                <w:szCs w:val="18"/>
                <w:color w:val="auto"/>
              </w:rPr>
              <w:t>Restricted Payments</w:t>
            </w:r>
          </w:p>
        </w:tc>
        <w:tc>
          <w:tcPr>
            <w:tcW w:w="26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7.07</w:t>
            </w:r>
          </w:p>
        </w:tc>
        <w:tc>
          <w:tcPr>
            <w:tcW w:w="7660" w:type="dxa"/>
            <w:vAlign w:val="bottom"/>
          </w:tcPr>
          <w:p>
            <w:pPr>
              <w:ind w:left="20"/>
              <w:spacing w:after="0"/>
              <w:rPr>
                <w:sz w:val="20"/>
                <w:szCs w:val="20"/>
                <w:color w:val="auto"/>
              </w:rPr>
            </w:pPr>
            <w:r>
              <w:rPr>
                <w:rFonts w:ascii="Arial" w:cs="Arial" w:eastAsia="Arial" w:hAnsi="Arial"/>
                <w:sz w:val="18"/>
                <w:szCs w:val="18"/>
                <w:color w:val="auto"/>
              </w:rPr>
              <w:t>Change in Nature of Business</w:t>
            </w:r>
          </w:p>
        </w:tc>
        <w:tc>
          <w:tcPr>
            <w:tcW w:w="26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7.08</w:t>
            </w:r>
          </w:p>
        </w:tc>
        <w:tc>
          <w:tcPr>
            <w:tcW w:w="7660" w:type="dxa"/>
            <w:vAlign w:val="bottom"/>
          </w:tcPr>
          <w:p>
            <w:pPr>
              <w:ind w:left="20"/>
              <w:spacing w:after="0"/>
              <w:rPr>
                <w:sz w:val="20"/>
                <w:szCs w:val="20"/>
                <w:color w:val="auto"/>
              </w:rPr>
            </w:pPr>
            <w:r>
              <w:rPr>
                <w:rFonts w:ascii="Arial" w:cs="Arial" w:eastAsia="Arial" w:hAnsi="Arial"/>
                <w:sz w:val="18"/>
                <w:szCs w:val="18"/>
                <w:color w:val="auto"/>
              </w:rPr>
              <w:t>Transactions with Affiliates</w:t>
            </w:r>
          </w:p>
        </w:tc>
        <w:tc>
          <w:tcPr>
            <w:tcW w:w="26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7.09</w:t>
            </w:r>
          </w:p>
        </w:tc>
        <w:tc>
          <w:tcPr>
            <w:tcW w:w="7660" w:type="dxa"/>
            <w:vAlign w:val="bottom"/>
          </w:tcPr>
          <w:p>
            <w:pPr>
              <w:ind w:left="20"/>
              <w:spacing w:after="0"/>
              <w:rPr>
                <w:sz w:val="20"/>
                <w:szCs w:val="20"/>
                <w:color w:val="auto"/>
              </w:rPr>
            </w:pPr>
            <w:r>
              <w:rPr>
                <w:rFonts w:ascii="Arial" w:cs="Arial" w:eastAsia="Arial" w:hAnsi="Arial"/>
                <w:sz w:val="18"/>
                <w:szCs w:val="18"/>
                <w:color w:val="auto"/>
              </w:rPr>
              <w:t>Burdensome Agreements</w:t>
            </w:r>
          </w:p>
        </w:tc>
        <w:tc>
          <w:tcPr>
            <w:tcW w:w="26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7.10</w:t>
            </w:r>
          </w:p>
        </w:tc>
        <w:tc>
          <w:tcPr>
            <w:tcW w:w="7660" w:type="dxa"/>
            <w:vAlign w:val="bottom"/>
          </w:tcPr>
          <w:p>
            <w:pPr>
              <w:ind w:left="20"/>
              <w:spacing w:after="0"/>
              <w:rPr>
                <w:sz w:val="20"/>
                <w:szCs w:val="20"/>
                <w:color w:val="auto"/>
              </w:rPr>
            </w:pPr>
            <w:r>
              <w:rPr>
                <w:rFonts w:ascii="Arial" w:cs="Arial" w:eastAsia="Arial" w:hAnsi="Arial"/>
                <w:sz w:val="18"/>
                <w:szCs w:val="18"/>
                <w:color w:val="auto"/>
              </w:rPr>
              <w:t>Use of Proceeds</w:t>
            </w:r>
          </w:p>
        </w:tc>
        <w:tc>
          <w:tcPr>
            <w:tcW w:w="26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7.11</w:t>
            </w:r>
          </w:p>
        </w:tc>
        <w:tc>
          <w:tcPr>
            <w:tcW w:w="7660" w:type="dxa"/>
            <w:vAlign w:val="bottom"/>
          </w:tcPr>
          <w:p>
            <w:pPr>
              <w:ind w:left="20"/>
              <w:spacing w:after="0"/>
              <w:rPr>
                <w:sz w:val="20"/>
                <w:szCs w:val="20"/>
                <w:color w:val="auto"/>
              </w:rPr>
            </w:pPr>
            <w:r>
              <w:rPr>
                <w:rFonts w:ascii="Arial" w:cs="Arial" w:eastAsia="Arial" w:hAnsi="Arial"/>
                <w:sz w:val="18"/>
                <w:szCs w:val="18"/>
                <w:color w:val="auto"/>
              </w:rPr>
              <w:t>Financial Covenants</w:t>
            </w:r>
          </w:p>
        </w:tc>
        <w:tc>
          <w:tcPr>
            <w:tcW w:w="26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7.12</w:t>
            </w:r>
          </w:p>
        </w:tc>
        <w:tc>
          <w:tcPr>
            <w:tcW w:w="7660" w:type="dxa"/>
            <w:vAlign w:val="bottom"/>
          </w:tcPr>
          <w:p>
            <w:pPr>
              <w:ind w:left="20"/>
              <w:spacing w:after="0"/>
              <w:rPr>
                <w:sz w:val="20"/>
                <w:szCs w:val="20"/>
                <w:color w:val="auto"/>
              </w:rPr>
            </w:pPr>
            <w:r>
              <w:rPr>
                <w:rFonts w:ascii="Arial" w:cs="Arial" w:eastAsia="Arial" w:hAnsi="Arial"/>
                <w:sz w:val="18"/>
                <w:szCs w:val="18"/>
                <w:color w:val="auto"/>
              </w:rPr>
              <w:t>Reserved</w:t>
            </w:r>
          </w:p>
        </w:tc>
        <w:tc>
          <w:tcPr>
            <w:tcW w:w="26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7.13</w:t>
            </w:r>
          </w:p>
        </w:tc>
        <w:tc>
          <w:tcPr>
            <w:tcW w:w="7660" w:type="dxa"/>
            <w:vAlign w:val="bottom"/>
          </w:tcPr>
          <w:p>
            <w:pPr>
              <w:ind w:left="20"/>
              <w:spacing w:after="0"/>
              <w:rPr>
                <w:sz w:val="20"/>
                <w:szCs w:val="20"/>
                <w:color w:val="auto"/>
              </w:rPr>
            </w:pPr>
            <w:r>
              <w:rPr>
                <w:rFonts w:ascii="Arial" w:cs="Arial" w:eastAsia="Arial" w:hAnsi="Arial"/>
                <w:sz w:val="18"/>
                <w:szCs w:val="18"/>
                <w:color w:val="auto"/>
              </w:rPr>
              <w:t>Amendments of Organization Documents</w:t>
            </w:r>
          </w:p>
        </w:tc>
        <w:tc>
          <w:tcPr>
            <w:tcW w:w="26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7.14</w:t>
            </w:r>
          </w:p>
        </w:tc>
        <w:tc>
          <w:tcPr>
            <w:tcW w:w="7660" w:type="dxa"/>
            <w:vAlign w:val="bottom"/>
          </w:tcPr>
          <w:p>
            <w:pPr>
              <w:ind w:left="20"/>
              <w:spacing w:after="0"/>
              <w:rPr>
                <w:sz w:val="20"/>
                <w:szCs w:val="20"/>
                <w:color w:val="auto"/>
              </w:rPr>
            </w:pPr>
            <w:r>
              <w:rPr>
                <w:rFonts w:ascii="Arial" w:cs="Arial" w:eastAsia="Arial" w:hAnsi="Arial"/>
                <w:sz w:val="18"/>
                <w:szCs w:val="18"/>
                <w:color w:val="auto"/>
              </w:rPr>
              <w:t>Accounting Changes</w:t>
            </w:r>
          </w:p>
        </w:tc>
        <w:tc>
          <w:tcPr>
            <w:tcW w:w="26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7.15</w:t>
            </w:r>
          </w:p>
        </w:tc>
        <w:tc>
          <w:tcPr>
            <w:tcW w:w="7660" w:type="dxa"/>
            <w:vAlign w:val="bottom"/>
          </w:tcPr>
          <w:p>
            <w:pPr>
              <w:ind w:left="20"/>
              <w:spacing w:after="0"/>
              <w:rPr>
                <w:sz w:val="20"/>
                <w:szCs w:val="20"/>
                <w:color w:val="auto"/>
              </w:rPr>
            </w:pPr>
            <w:r>
              <w:rPr>
                <w:rFonts w:ascii="Arial" w:cs="Arial" w:eastAsia="Arial" w:hAnsi="Arial"/>
                <w:sz w:val="18"/>
                <w:szCs w:val="18"/>
                <w:color w:val="auto"/>
              </w:rPr>
              <w:t>Prepayments, Etc</w:t>
            </w:r>
          </w:p>
        </w:tc>
        <w:tc>
          <w:tcPr>
            <w:tcW w:w="26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7.16</w:t>
            </w:r>
          </w:p>
        </w:tc>
        <w:tc>
          <w:tcPr>
            <w:tcW w:w="7660" w:type="dxa"/>
            <w:vAlign w:val="bottom"/>
          </w:tcPr>
          <w:p>
            <w:pPr>
              <w:ind w:left="20"/>
              <w:spacing w:after="0"/>
              <w:rPr>
                <w:sz w:val="20"/>
                <w:szCs w:val="20"/>
                <w:color w:val="auto"/>
              </w:rPr>
            </w:pPr>
            <w:r>
              <w:rPr>
                <w:rFonts w:ascii="Arial" w:cs="Arial" w:eastAsia="Arial" w:hAnsi="Arial"/>
                <w:sz w:val="18"/>
                <w:szCs w:val="18"/>
                <w:color w:val="auto"/>
              </w:rPr>
              <w:t>Sanctions</w:t>
            </w:r>
          </w:p>
        </w:tc>
        <w:tc>
          <w:tcPr>
            <w:tcW w:w="26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080" w:type="dxa"/>
            <w:vAlign w:val="bottom"/>
          </w:tcPr>
          <w:p>
            <w:pPr>
              <w:ind w:left="660"/>
              <w:spacing w:after="0"/>
              <w:rPr>
                <w:sz w:val="20"/>
                <w:szCs w:val="20"/>
                <w:color w:val="auto"/>
              </w:rPr>
            </w:pPr>
            <w:r>
              <w:rPr>
                <w:rFonts w:ascii="Arial" w:cs="Arial" w:eastAsia="Arial" w:hAnsi="Arial"/>
                <w:sz w:val="18"/>
                <w:szCs w:val="18"/>
                <w:color w:val="auto"/>
              </w:rPr>
              <w:t>7.17</w:t>
            </w:r>
          </w:p>
        </w:tc>
        <w:tc>
          <w:tcPr>
            <w:tcW w:w="7660" w:type="dxa"/>
            <w:vAlign w:val="bottom"/>
          </w:tcPr>
          <w:p>
            <w:pPr>
              <w:ind w:left="20"/>
              <w:spacing w:after="0"/>
              <w:rPr>
                <w:sz w:val="20"/>
                <w:szCs w:val="20"/>
                <w:color w:val="auto"/>
              </w:rPr>
            </w:pPr>
            <w:r>
              <w:rPr>
                <w:rFonts w:ascii="Arial" w:cs="Arial" w:eastAsia="Arial" w:hAnsi="Arial"/>
                <w:sz w:val="18"/>
                <w:szCs w:val="18"/>
                <w:color w:val="auto"/>
              </w:rPr>
              <w:t>Anti-Corruption Laws</w:t>
            </w:r>
          </w:p>
        </w:tc>
        <w:tc>
          <w:tcPr>
            <w:tcW w:w="26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18"/>
        </w:trPr>
        <w:tc>
          <w:tcPr>
            <w:tcW w:w="8740" w:type="dxa"/>
            <w:vAlign w:val="bottom"/>
            <w:gridSpan w:val="2"/>
          </w:tcPr>
          <w:p>
            <w:pPr>
              <w:spacing w:after="0"/>
              <w:rPr>
                <w:sz w:val="20"/>
                <w:szCs w:val="20"/>
                <w:color w:val="auto"/>
              </w:rPr>
            </w:pPr>
            <w:r>
              <w:rPr>
                <w:rFonts w:ascii="Arial" w:cs="Arial" w:eastAsia="Arial" w:hAnsi="Arial"/>
                <w:sz w:val="18"/>
                <w:szCs w:val="18"/>
                <w:color w:val="auto"/>
              </w:rPr>
              <w:t>ARTICLE VIII EVENTS OF DEFAULT AND REMEDIES</w:t>
            </w:r>
          </w:p>
        </w:tc>
        <w:tc>
          <w:tcPr>
            <w:tcW w:w="26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8.01</w:t>
            </w:r>
          </w:p>
        </w:tc>
        <w:tc>
          <w:tcPr>
            <w:tcW w:w="7660" w:type="dxa"/>
            <w:vAlign w:val="bottom"/>
          </w:tcPr>
          <w:p>
            <w:pPr>
              <w:ind w:left="20"/>
              <w:spacing w:after="0"/>
              <w:rPr>
                <w:sz w:val="20"/>
                <w:szCs w:val="20"/>
                <w:color w:val="auto"/>
              </w:rPr>
            </w:pPr>
            <w:r>
              <w:rPr>
                <w:rFonts w:ascii="Arial" w:cs="Arial" w:eastAsia="Arial" w:hAnsi="Arial"/>
                <w:sz w:val="18"/>
                <w:szCs w:val="18"/>
                <w:color w:val="auto"/>
              </w:rPr>
              <w:t>Events of Default</w:t>
            </w:r>
          </w:p>
        </w:tc>
        <w:tc>
          <w:tcPr>
            <w:tcW w:w="26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8.02</w:t>
            </w:r>
          </w:p>
        </w:tc>
        <w:tc>
          <w:tcPr>
            <w:tcW w:w="7660" w:type="dxa"/>
            <w:vAlign w:val="bottom"/>
          </w:tcPr>
          <w:p>
            <w:pPr>
              <w:ind w:left="20"/>
              <w:spacing w:after="0"/>
              <w:rPr>
                <w:sz w:val="20"/>
                <w:szCs w:val="20"/>
                <w:color w:val="auto"/>
              </w:rPr>
            </w:pPr>
            <w:r>
              <w:rPr>
                <w:rFonts w:ascii="Arial" w:cs="Arial" w:eastAsia="Arial" w:hAnsi="Arial"/>
                <w:sz w:val="18"/>
                <w:szCs w:val="18"/>
                <w:color w:val="auto"/>
              </w:rPr>
              <w:t>Remedies upon Event of Default</w:t>
            </w:r>
          </w:p>
        </w:tc>
        <w:tc>
          <w:tcPr>
            <w:tcW w:w="26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080" w:type="dxa"/>
            <w:vAlign w:val="bottom"/>
          </w:tcPr>
          <w:p>
            <w:pPr>
              <w:ind w:left="660"/>
              <w:spacing w:after="0"/>
              <w:rPr>
                <w:sz w:val="20"/>
                <w:szCs w:val="20"/>
                <w:color w:val="auto"/>
              </w:rPr>
            </w:pPr>
            <w:r>
              <w:rPr>
                <w:rFonts w:ascii="Arial" w:cs="Arial" w:eastAsia="Arial" w:hAnsi="Arial"/>
                <w:sz w:val="18"/>
                <w:szCs w:val="18"/>
                <w:color w:val="auto"/>
              </w:rPr>
              <w:t>8.03</w:t>
            </w:r>
          </w:p>
        </w:tc>
        <w:tc>
          <w:tcPr>
            <w:tcW w:w="7660" w:type="dxa"/>
            <w:vAlign w:val="bottom"/>
          </w:tcPr>
          <w:p>
            <w:pPr>
              <w:ind w:left="20"/>
              <w:spacing w:after="0"/>
              <w:rPr>
                <w:sz w:val="20"/>
                <w:szCs w:val="20"/>
                <w:color w:val="auto"/>
              </w:rPr>
            </w:pPr>
            <w:r>
              <w:rPr>
                <w:rFonts w:ascii="Arial" w:cs="Arial" w:eastAsia="Arial" w:hAnsi="Arial"/>
                <w:sz w:val="18"/>
                <w:szCs w:val="18"/>
                <w:color w:val="auto"/>
              </w:rPr>
              <w:t>Application of Funds</w:t>
            </w:r>
          </w:p>
        </w:tc>
        <w:tc>
          <w:tcPr>
            <w:tcW w:w="26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18"/>
        </w:trPr>
        <w:tc>
          <w:tcPr>
            <w:tcW w:w="8740" w:type="dxa"/>
            <w:vAlign w:val="bottom"/>
            <w:gridSpan w:val="2"/>
          </w:tcPr>
          <w:p>
            <w:pPr>
              <w:spacing w:after="0"/>
              <w:rPr>
                <w:sz w:val="20"/>
                <w:szCs w:val="20"/>
                <w:color w:val="auto"/>
              </w:rPr>
            </w:pPr>
            <w:r>
              <w:rPr>
                <w:rFonts w:ascii="Arial" w:cs="Arial" w:eastAsia="Arial" w:hAnsi="Arial"/>
                <w:sz w:val="18"/>
                <w:szCs w:val="18"/>
                <w:color w:val="auto"/>
              </w:rPr>
              <w:t>ARTICLE IX ADMINISTRATIVE AGENT</w:t>
            </w:r>
          </w:p>
        </w:tc>
        <w:tc>
          <w:tcPr>
            <w:tcW w:w="26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9.01</w:t>
            </w:r>
          </w:p>
        </w:tc>
        <w:tc>
          <w:tcPr>
            <w:tcW w:w="7660" w:type="dxa"/>
            <w:vAlign w:val="bottom"/>
          </w:tcPr>
          <w:p>
            <w:pPr>
              <w:ind w:left="20"/>
              <w:spacing w:after="0"/>
              <w:rPr>
                <w:sz w:val="20"/>
                <w:szCs w:val="20"/>
                <w:color w:val="auto"/>
              </w:rPr>
            </w:pPr>
            <w:r>
              <w:rPr>
                <w:rFonts w:ascii="Arial" w:cs="Arial" w:eastAsia="Arial" w:hAnsi="Arial"/>
                <w:sz w:val="18"/>
                <w:szCs w:val="18"/>
                <w:color w:val="auto"/>
              </w:rPr>
              <w:t>Appointment and Authority</w:t>
            </w:r>
          </w:p>
        </w:tc>
        <w:tc>
          <w:tcPr>
            <w:tcW w:w="26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9.02</w:t>
            </w:r>
          </w:p>
        </w:tc>
        <w:tc>
          <w:tcPr>
            <w:tcW w:w="7660" w:type="dxa"/>
            <w:vAlign w:val="bottom"/>
          </w:tcPr>
          <w:p>
            <w:pPr>
              <w:ind w:left="20"/>
              <w:spacing w:after="0"/>
              <w:rPr>
                <w:sz w:val="20"/>
                <w:szCs w:val="20"/>
                <w:color w:val="auto"/>
              </w:rPr>
            </w:pPr>
            <w:r>
              <w:rPr>
                <w:rFonts w:ascii="Arial" w:cs="Arial" w:eastAsia="Arial" w:hAnsi="Arial"/>
                <w:sz w:val="18"/>
                <w:szCs w:val="18"/>
                <w:color w:val="auto"/>
              </w:rPr>
              <w:t>Rights as a Lender</w:t>
            </w:r>
          </w:p>
        </w:tc>
        <w:tc>
          <w:tcPr>
            <w:tcW w:w="26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9.03</w:t>
            </w:r>
          </w:p>
        </w:tc>
        <w:tc>
          <w:tcPr>
            <w:tcW w:w="7660" w:type="dxa"/>
            <w:vAlign w:val="bottom"/>
          </w:tcPr>
          <w:p>
            <w:pPr>
              <w:ind w:left="20"/>
              <w:spacing w:after="0"/>
              <w:rPr>
                <w:sz w:val="20"/>
                <w:szCs w:val="20"/>
                <w:color w:val="auto"/>
              </w:rPr>
            </w:pPr>
            <w:r>
              <w:rPr>
                <w:rFonts w:ascii="Arial" w:cs="Arial" w:eastAsia="Arial" w:hAnsi="Arial"/>
                <w:sz w:val="18"/>
                <w:szCs w:val="18"/>
                <w:color w:val="auto"/>
              </w:rPr>
              <w:t>Exculpatory Provisions</w:t>
            </w:r>
          </w:p>
        </w:tc>
        <w:tc>
          <w:tcPr>
            <w:tcW w:w="26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9.04</w:t>
            </w:r>
          </w:p>
        </w:tc>
        <w:tc>
          <w:tcPr>
            <w:tcW w:w="7660" w:type="dxa"/>
            <w:vAlign w:val="bottom"/>
          </w:tcPr>
          <w:p>
            <w:pPr>
              <w:ind w:left="20"/>
              <w:spacing w:after="0"/>
              <w:rPr>
                <w:sz w:val="20"/>
                <w:szCs w:val="20"/>
                <w:color w:val="auto"/>
              </w:rPr>
            </w:pPr>
            <w:r>
              <w:rPr>
                <w:rFonts w:ascii="Arial" w:cs="Arial" w:eastAsia="Arial" w:hAnsi="Arial"/>
                <w:sz w:val="18"/>
                <w:szCs w:val="18"/>
                <w:color w:val="auto"/>
              </w:rPr>
              <w:t>Reliance by Administrative Agent</w:t>
            </w:r>
          </w:p>
        </w:tc>
        <w:tc>
          <w:tcPr>
            <w:tcW w:w="2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9.05</w:t>
            </w:r>
          </w:p>
        </w:tc>
        <w:tc>
          <w:tcPr>
            <w:tcW w:w="7660" w:type="dxa"/>
            <w:vAlign w:val="bottom"/>
          </w:tcPr>
          <w:p>
            <w:pPr>
              <w:ind w:left="20"/>
              <w:spacing w:after="0"/>
              <w:rPr>
                <w:sz w:val="20"/>
                <w:szCs w:val="20"/>
                <w:color w:val="auto"/>
              </w:rPr>
            </w:pPr>
            <w:r>
              <w:rPr>
                <w:rFonts w:ascii="Arial" w:cs="Arial" w:eastAsia="Arial" w:hAnsi="Arial"/>
                <w:sz w:val="18"/>
                <w:szCs w:val="18"/>
                <w:color w:val="auto"/>
              </w:rPr>
              <w:t>Delegation of Duties</w:t>
            </w:r>
          </w:p>
        </w:tc>
        <w:tc>
          <w:tcPr>
            <w:tcW w:w="2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9.06</w:t>
            </w:r>
          </w:p>
        </w:tc>
        <w:tc>
          <w:tcPr>
            <w:tcW w:w="7660" w:type="dxa"/>
            <w:vAlign w:val="bottom"/>
          </w:tcPr>
          <w:p>
            <w:pPr>
              <w:ind w:left="20"/>
              <w:spacing w:after="0"/>
              <w:rPr>
                <w:sz w:val="20"/>
                <w:szCs w:val="20"/>
                <w:color w:val="auto"/>
              </w:rPr>
            </w:pPr>
            <w:r>
              <w:rPr>
                <w:rFonts w:ascii="Arial" w:cs="Arial" w:eastAsia="Arial" w:hAnsi="Arial"/>
                <w:sz w:val="18"/>
                <w:szCs w:val="18"/>
                <w:color w:val="auto"/>
              </w:rPr>
              <w:t>Resignation of Administrative Agent</w:t>
            </w:r>
          </w:p>
        </w:tc>
        <w:tc>
          <w:tcPr>
            <w:tcW w:w="2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9.07</w:t>
            </w:r>
          </w:p>
        </w:tc>
        <w:tc>
          <w:tcPr>
            <w:tcW w:w="7660" w:type="dxa"/>
            <w:vAlign w:val="bottom"/>
          </w:tcPr>
          <w:p>
            <w:pPr>
              <w:ind w:left="20"/>
              <w:spacing w:after="0"/>
              <w:rPr>
                <w:sz w:val="20"/>
                <w:szCs w:val="20"/>
                <w:color w:val="auto"/>
              </w:rPr>
            </w:pPr>
            <w:r>
              <w:rPr>
                <w:rFonts w:ascii="Arial" w:cs="Arial" w:eastAsia="Arial" w:hAnsi="Arial"/>
                <w:sz w:val="18"/>
                <w:szCs w:val="18"/>
                <w:color w:val="auto"/>
              </w:rPr>
              <w:t>Non-Reliance on Administrative Agent and Other Lenders</w:t>
            </w:r>
          </w:p>
        </w:tc>
        <w:tc>
          <w:tcPr>
            <w:tcW w:w="26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9.08</w:t>
            </w:r>
          </w:p>
        </w:tc>
        <w:tc>
          <w:tcPr>
            <w:tcW w:w="7660" w:type="dxa"/>
            <w:vAlign w:val="bottom"/>
          </w:tcPr>
          <w:p>
            <w:pPr>
              <w:ind w:left="20"/>
              <w:spacing w:after="0"/>
              <w:rPr>
                <w:sz w:val="20"/>
                <w:szCs w:val="20"/>
                <w:color w:val="auto"/>
              </w:rPr>
            </w:pPr>
            <w:r>
              <w:rPr>
                <w:rFonts w:ascii="Arial" w:cs="Arial" w:eastAsia="Arial" w:hAnsi="Arial"/>
                <w:sz w:val="18"/>
                <w:szCs w:val="18"/>
                <w:color w:val="auto"/>
              </w:rPr>
              <w:t>No Other Duties, Etc</w:t>
            </w:r>
          </w:p>
        </w:tc>
        <w:tc>
          <w:tcPr>
            <w:tcW w:w="26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9.09</w:t>
            </w:r>
          </w:p>
        </w:tc>
        <w:tc>
          <w:tcPr>
            <w:tcW w:w="7660" w:type="dxa"/>
            <w:vAlign w:val="bottom"/>
          </w:tcPr>
          <w:p>
            <w:pPr>
              <w:ind w:left="20"/>
              <w:spacing w:after="0"/>
              <w:rPr>
                <w:sz w:val="20"/>
                <w:szCs w:val="20"/>
                <w:color w:val="auto"/>
              </w:rPr>
            </w:pPr>
            <w:r>
              <w:rPr>
                <w:rFonts w:ascii="Arial" w:cs="Arial" w:eastAsia="Arial" w:hAnsi="Arial"/>
                <w:sz w:val="18"/>
                <w:szCs w:val="18"/>
                <w:color w:val="auto"/>
              </w:rPr>
              <w:t>Administrative Agent May File Proofs of Claim</w:t>
            </w:r>
          </w:p>
        </w:tc>
        <w:tc>
          <w:tcPr>
            <w:tcW w:w="26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9.10</w:t>
            </w:r>
          </w:p>
        </w:tc>
        <w:tc>
          <w:tcPr>
            <w:tcW w:w="7660" w:type="dxa"/>
            <w:vAlign w:val="bottom"/>
          </w:tcPr>
          <w:p>
            <w:pPr>
              <w:ind w:left="20"/>
              <w:spacing w:after="0"/>
              <w:rPr>
                <w:sz w:val="20"/>
                <w:szCs w:val="20"/>
                <w:color w:val="auto"/>
              </w:rPr>
            </w:pPr>
            <w:r>
              <w:rPr>
                <w:rFonts w:ascii="Arial" w:cs="Arial" w:eastAsia="Arial" w:hAnsi="Arial"/>
                <w:sz w:val="18"/>
                <w:szCs w:val="18"/>
                <w:color w:val="auto"/>
              </w:rPr>
              <w:t>Collateral and Guaranty Matters</w:t>
            </w:r>
          </w:p>
        </w:tc>
        <w:tc>
          <w:tcPr>
            <w:tcW w:w="26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9.11  Secured Cash Management Agreements and Secured Hedge Agreements</w:t>
            </w:r>
          </w:p>
        </w:tc>
        <w:tc>
          <w:tcPr>
            <w:tcW w:w="26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32"/>
        </w:trPr>
        <w:tc>
          <w:tcPr>
            <w:tcW w:w="8740" w:type="dxa"/>
            <w:vAlign w:val="bottom"/>
            <w:gridSpan w:val="2"/>
          </w:tcPr>
          <w:p>
            <w:pPr>
              <w:spacing w:after="0"/>
              <w:rPr>
                <w:sz w:val="20"/>
                <w:szCs w:val="20"/>
                <w:color w:val="auto"/>
              </w:rPr>
            </w:pPr>
            <w:r>
              <w:rPr>
                <w:rFonts w:ascii="Arial" w:cs="Arial" w:eastAsia="Arial" w:hAnsi="Arial"/>
                <w:sz w:val="18"/>
                <w:szCs w:val="18"/>
                <w:color w:val="auto"/>
              </w:rPr>
              <w:t>ARTICLE X RESERVED</w:t>
            </w:r>
          </w:p>
        </w:tc>
        <w:tc>
          <w:tcPr>
            <w:tcW w:w="26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18"/>
        </w:trPr>
        <w:tc>
          <w:tcPr>
            <w:tcW w:w="874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26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w w:val="88"/>
              </w:rPr>
              <w:t>11.01</w:t>
            </w:r>
          </w:p>
        </w:tc>
        <w:tc>
          <w:tcPr>
            <w:tcW w:w="7660" w:type="dxa"/>
            <w:vAlign w:val="bottom"/>
          </w:tcPr>
          <w:p>
            <w:pPr>
              <w:ind w:left="100"/>
              <w:spacing w:after="0"/>
              <w:rPr>
                <w:sz w:val="20"/>
                <w:szCs w:val="20"/>
                <w:color w:val="auto"/>
              </w:rPr>
            </w:pPr>
            <w:r>
              <w:rPr>
                <w:rFonts w:ascii="Arial" w:cs="Arial" w:eastAsia="Arial" w:hAnsi="Arial"/>
                <w:sz w:val="18"/>
                <w:szCs w:val="18"/>
                <w:color w:val="auto"/>
              </w:rPr>
              <w:t>Amendments, Etc</w:t>
            </w:r>
          </w:p>
        </w:tc>
        <w:tc>
          <w:tcPr>
            <w:tcW w:w="26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11.02  Notices; Effectiveness; Electronic Communications</w:t>
            </w:r>
          </w:p>
        </w:tc>
        <w:tc>
          <w:tcPr>
            <w:tcW w:w="26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11.03  No Waiver; Cumulative Remedies; Enforcement</w:t>
            </w:r>
          </w:p>
        </w:tc>
        <w:tc>
          <w:tcPr>
            <w:tcW w:w="26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11.04  Expenses; Indemnity; Damage Waiver</w:t>
            </w:r>
          </w:p>
        </w:tc>
        <w:tc>
          <w:tcPr>
            <w:tcW w:w="26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w w:val="88"/>
              </w:rPr>
              <w:t>11.05</w:t>
            </w:r>
          </w:p>
        </w:tc>
        <w:tc>
          <w:tcPr>
            <w:tcW w:w="7660" w:type="dxa"/>
            <w:vAlign w:val="bottom"/>
          </w:tcPr>
          <w:p>
            <w:pPr>
              <w:ind w:left="100"/>
              <w:spacing w:after="0"/>
              <w:rPr>
                <w:sz w:val="20"/>
                <w:szCs w:val="20"/>
                <w:color w:val="auto"/>
              </w:rPr>
            </w:pPr>
            <w:r>
              <w:rPr>
                <w:rFonts w:ascii="Arial" w:cs="Arial" w:eastAsia="Arial" w:hAnsi="Arial"/>
                <w:sz w:val="18"/>
                <w:szCs w:val="18"/>
                <w:color w:val="auto"/>
              </w:rPr>
              <w:t>Payments Set Aside</w:t>
            </w:r>
          </w:p>
        </w:tc>
        <w:tc>
          <w:tcPr>
            <w:tcW w:w="26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w w:val="88"/>
              </w:rPr>
              <w:t>11.06</w:t>
            </w:r>
          </w:p>
        </w:tc>
        <w:tc>
          <w:tcPr>
            <w:tcW w:w="766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26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11.07  Treatment of Certain Information; Confidentiality</w:t>
            </w:r>
          </w:p>
        </w:tc>
        <w:tc>
          <w:tcPr>
            <w:tcW w:w="2680" w:type="dxa"/>
            <w:vAlign w:val="bottom"/>
          </w:tcPr>
          <w:p>
            <w:pPr>
              <w:jc w:val="right"/>
              <w:spacing w:after="0"/>
              <w:rPr>
                <w:sz w:val="20"/>
                <w:szCs w:val="20"/>
                <w:color w:val="auto"/>
              </w:rPr>
            </w:pPr>
            <w:r>
              <w:rPr>
                <w:rFonts w:ascii="Arial" w:cs="Arial" w:eastAsia="Arial" w:hAnsi="Arial"/>
                <w:sz w:val="18"/>
                <w:szCs w:val="18"/>
                <w:color w:val="auto"/>
              </w:rPr>
              <w:t>114</w:t>
            </w: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11.08</w:t>
            </w:r>
          </w:p>
        </w:tc>
        <w:tc>
          <w:tcPr>
            <w:tcW w:w="7620" w:type="dxa"/>
            <w:vAlign w:val="bottom"/>
          </w:tcPr>
          <w:p>
            <w:pPr>
              <w:ind w:left="40"/>
              <w:spacing w:after="0"/>
              <w:rPr>
                <w:sz w:val="20"/>
                <w:szCs w:val="20"/>
                <w:color w:val="auto"/>
              </w:rPr>
            </w:pPr>
            <w:r>
              <w:rPr>
                <w:rFonts w:ascii="Arial" w:cs="Arial" w:eastAsia="Arial" w:hAnsi="Arial"/>
                <w:sz w:val="18"/>
                <w:szCs w:val="18"/>
                <w:color w:val="auto"/>
              </w:rPr>
              <w:t>Right of Setoff</w:t>
            </w:r>
          </w:p>
        </w:tc>
        <w:tc>
          <w:tcPr>
            <w:tcW w:w="26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11.09</w:t>
            </w:r>
          </w:p>
        </w:tc>
        <w:tc>
          <w:tcPr>
            <w:tcW w:w="7620" w:type="dxa"/>
            <w:vAlign w:val="bottom"/>
          </w:tcPr>
          <w:p>
            <w:pPr>
              <w:ind w:left="40"/>
              <w:spacing w:after="0"/>
              <w:rPr>
                <w:sz w:val="20"/>
                <w:szCs w:val="20"/>
                <w:color w:val="auto"/>
              </w:rPr>
            </w:pPr>
            <w:r>
              <w:rPr>
                <w:rFonts w:ascii="Arial" w:cs="Arial" w:eastAsia="Arial" w:hAnsi="Arial"/>
                <w:sz w:val="18"/>
                <w:szCs w:val="18"/>
                <w:color w:val="auto"/>
              </w:rPr>
              <w:t>Interest Rate Limitation</w:t>
            </w:r>
          </w:p>
        </w:tc>
        <w:tc>
          <w:tcPr>
            <w:tcW w:w="26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11.10</w:t>
            </w:r>
          </w:p>
        </w:tc>
        <w:tc>
          <w:tcPr>
            <w:tcW w:w="7620" w:type="dxa"/>
            <w:vAlign w:val="bottom"/>
          </w:tcPr>
          <w:p>
            <w:pPr>
              <w:ind w:left="40"/>
              <w:spacing w:after="0"/>
              <w:rPr>
                <w:sz w:val="20"/>
                <w:szCs w:val="20"/>
                <w:color w:val="auto"/>
              </w:rPr>
            </w:pPr>
            <w:r>
              <w:rPr>
                <w:rFonts w:ascii="Arial" w:cs="Arial" w:eastAsia="Arial" w:hAnsi="Arial"/>
                <w:sz w:val="18"/>
                <w:szCs w:val="18"/>
                <w:color w:val="auto"/>
              </w:rPr>
              <w:t>Counterparts; Integration; Effectiveness</w:t>
            </w:r>
          </w:p>
        </w:tc>
        <w:tc>
          <w:tcPr>
            <w:tcW w:w="26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760" w:type="dxa"/>
            <w:vAlign w:val="bottom"/>
            <w:gridSpan w:val="2"/>
          </w:tcPr>
          <w:p>
            <w:pPr>
              <w:ind w:left="660"/>
              <w:spacing w:after="0"/>
              <w:rPr>
                <w:sz w:val="20"/>
                <w:szCs w:val="20"/>
                <w:color w:val="auto"/>
              </w:rPr>
            </w:pPr>
            <w:r>
              <w:rPr>
                <w:rFonts w:ascii="Arial" w:cs="Arial" w:eastAsia="Arial" w:hAnsi="Arial"/>
                <w:sz w:val="18"/>
                <w:szCs w:val="18"/>
                <w:color w:val="auto"/>
              </w:rPr>
              <w:t>11.11  Survival of Representations and Warranties</w:t>
            </w:r>
          </w:p>
        </w:tc>
        <w:tc>
          <w:tcPr>
            <w:tcW w:w="26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11.12</w:t>
            </w:r>
          </w:p>
        </w:tc>
        <w:tc>
          <w:tcPr>
            <w:tcW w:w="762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26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11.13</w:t>
            </w:r>
          </w:p>
        </w:tc>
        <w:tc>
          <w:tcPr>
            <w:tcW w:w="7620" w:type="dxa"/>
            <w:vAlign w:val="bottom"/>
          </w:tcPr>
          <w:p>
            <w:pPr>
              <w:ind w:left="40"/>
              <w:spacing w:after="0"/>
              <w:rPr>
                <w:sz w:val="20"/>
                <w:szCs w:val="20"/>
                <w:color w:val="auto"/>
              </w:rPr>
            </w:pPr>
            <w:r>
              <w:rPr>
                <w:rFonts w:ascii="Arial" w:cs="Arial" w:eastAsia="Arial" w:hAnsi="Arial"/>
                <w:sz w:val="18"/>
                <w:szCs w:val="18"/>
                <w:color w:val="auto"/>
              </w:rPr>
              <w:t>Replacement of Lenders</w:t>
            </w:r>
          </w:p>
        </w:tc>
        <w:tc>
          <w:tcPr>
            <w:tcW w:w="26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11.14</w:t>
            </w:r>
          </w:p>
        </w:tc>
        <w:tc>
          <w:tcPr>
            <w:tcW w:w="7620" w:type="dxa"/>
            <w:vAlign w:val="bottom"/>
          </w:tcPr>
          <w:p>
            <w:pPr>
              <w:ind w:left="40"/>
              <w:spacing w:after="0"/>
              <w:rPr>
                <w:sz w:val="20"/>
                <w:szCs w:val="20"/>
                <w:color w:val="auto"/>
              </w:rPr>
            </w:pPr>
            <w:r>
              <w:rPr>
                <w:rFonts w:ascii="Arial" w:cs="Arial" w:eastAsia="Arial" w:hAnsi="Arial"/>
                <w:sz w:val="18"/>
                <w:szCs w:val="18"/>
                <w:color w:val="auto"/>
              </w:rPr>
              <w:t>Governing Law; Jurisdiction; Etc</w:t>
            </w:r>
          </w:p>
        </w:tc>
        <w:tc>
          <w:tcPr>
            <w:tcW w:w="26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11.15</w:t>
            </w:r>
          </w:p>
        </w:tc>
        <w:tc>
          <w:tcPr>
            <w:tcW w:w="7620" w:type="dxa"/>
            <w:vAlign w:val="bottom"/>
          </w:tcPr>
          <w:p>
            <w:pPr>
              <w:ind w:left="40"/>
              <w:spacing w:after="0"/>
              <w:rPr>
                <w:sz w:val="20"/>
                <w:szCs w:val="20"/>
                <w:color w:val="auto"/>
              </w:rPr>
            </w:pPr>
            <w:r>
              <w:rPr>
                <w:rFonts w:ascii="Arial" w:cs="Arial" w:eastAsia="Arial" w:hAnsi="Arial"/>
                <w:sz w:val="18"/>
                <w:szCs w:val="18"/>
                <w:color w:val="auto"/>
              </w:rPr>
              <w:t>Waiver of Jury Trial</w:t>
            </w:r>
          </w:p>
        </w:tc>
        <w:tc>
          <w:tcPr>
            <w:tcW w:w="26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11.16</w:t>
            </w:r>
          </w:p>
        </w:tc>
        <w:tc>
          <w:tcPr>
            <w:tcW w:w="7620" w:type="dxa"/>
            <w:vAlign w:val="bottom"/>
          </w:tcPr>
          <w:p>
            <w:pPr>
              <w:ind w:left="40"/>
              <w:spacing w:after="0"/>
              <w:rPr>
                <w:sz w:val="20"/>
                <w:szCs w:val="20"/>
                <w:color w:val="auto"/>
              </w:rPr>
            </w:pPr>
            <w:r>
              <w:rPr>
                <w:rFonts w:ascii="Arial" w:cs="Arial" w:eastAsia="Arial" w:hAnsi="Arial"/>
                <w:sz w:val="18"/>
                <w:szCs w:val="18"/>
                <w:color w:val="auto"/>
              </w:rPr>
              <w:t>No Advisory or Fiduciary Responsibility</w:t>
            </w:r>
          </w:p>
        </w:tc>
        <w:tc>
          <w:tcPr>
            <w:tcW w:w="26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11.17</w:t>
            </w:r>
          </w:p>
        </w:tc>
        <w:tc>
          <w:tcPr>
            <w:tcW w:w="7620" w:type="dxa"/>
            <w:vAlign w:val="bottom"/>
          </w:tcPr>
          <w:p>
            <w:pPr>
              <w:ind w:left="40"/>
              <w:spacing w:after="0"/>
              <w:rPr>
                <w:sz w:val="20"/>
                <w:szCs w:val="20"/>
                <w:color w:val="auto"/>
              </w:rPr>
            </w:pPr>
            <w:r>
              <w:rPr>
                <w:rFonts w:ascii="Arial" w:cs="Arial" w:eastAsia="Arial" w:hAnsi="Arial"/>
                <w:sz w:val="18"/>
                <w:szCs w:val="18"/>
                <w:color w:val="auto"/>
              </w:rPr>
              <w:t>Reserved</w:t>
            </w:r>
          </w:p>
        </w:tc>
        <w:tc>
          <w:tcPr>
            <w:tcW w:w="26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11.18</w:t>
            </w:r>
          </w:p>
        </w:tc>
        <w:tc>
          <w:tcPr>
            <w:tcW w:w="7620" w:type="dxa"/>
            <w:vAlign w:val="bottom"/>
          </w:tcPr>
          <w:p>
            <w:pPr>
              <w:ind w:left="40"/>
              <w:spacing w:after="0"/>
              <w:rPr>
                <w:sz w:val="20"/>
                <w:szCs w:val="20"/>
                <w:color w:val="auto"/>
              </w:rPr>
            </w:pPr>
            <w:r>
              <w:rPr>
                <w:rFonts w:ascii="Arial" w:cs="Arial" w:eastAsia="Arial" w:hAnsi="Arial"/>
                <w:sz w:val="18"/>
                <w:szCs w:val="18"/>
                <w:color w:val="auto"/>
              </w:rPr>
              <w:t>USA PATRIOT Act</w:t>
            </w:r>
          </w:p>
        </w:tc>
        <w:tc>
          <w:tcPr>
            <w:tcW w:w="26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11.19</w:t>
            </w:r>
          </w:p>
        </w:tc>
        <w:tc>
          <w:tcPr>
            <w:tcW w:w="7620" w:type="dxa"/>
            <w:vAlign w:val="bottom"/>
          </w:tcPr>
          <w:p>
            <w:pPr>
              <w:ind w:left="40"/>
              <w:spacing w:after="0"/>
              <w:rPr>
                <w:sz w:val="20"/>
                <w:szCs w:val="20"/>
                <w:color w:val="auto"/>
              </w:rPr>
            </w:pPr>
            <w:r>
              <w:rPr>
                <w:rFonts w:ascii="Arial" w:cs="Arial" w:eastAsia="Arial" w:hAnsi="Arial"/>
                <w:sz w:val="18"/>
                <w:szCs w:val="18"/>
                <w:color w:val="auto"/>
              </w:rPr>
              <w:t>Time of the Essence</w:t>
            </w:r>
          </w:p>
        </w:tc>
        <w:tc>
          <w:tcPr>
            <w:tcW w:w="26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11.20</w:t>
            </w:r>
          </w:p>
        </w:tc>
        <w:tc>
          <w:tcPr>
            <w:tcW w:w="7620" w:type="dxa"/>
            <w:vAlign w:val="bottom"/>
          </w:tcPr>
          <w:p>
            <w:pPr>
              <w:ind w:left="40"/>
              <w:spacing w:after="0"/>
              <w:rPr>
                <w:sz w:val="20"/>
                <w:szCs w:val="20"/>
                <w:color w:val="auto"/>
              </w:rPr>
            </w:pPr>
            <w:r>
              <w:rPr>
                <w:rFonts w:ascii="Arial" w:cs="Arial" w:eastAsia="Arial" w:hAnsi="Arial"/>
                <w:sz w:val="18"/>
                <w:szCs w:val="18"/>
                <w:color w:val="auto"/>
              </w:rPr>
              <w:t>Eligible Contract Participant</w:t>
            </w:r>
          </w:p>
        </w:tc>
        <w:tc>
          <w:tcPr>
            <w:tcW w:w="26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11.21</w:t>
            </w:r>
          </w:p>
        </w:tc>
        <w:tc>
          <w:tcPr>
            <w:tcW w:w="7620" w:type="dxa"/>
            <w:vAlign w:val="bottom"/>
          </w:tcPr>
          <w:p>
            <w:pPr>
              <w:ind w:left="40"/>
              <w:spacing w:after="0"/>
              <w:rPr>
                <w:sz w:val="20"/>
                <w:szCs w:val="20"/>
                <w:color w:val="auto"/>
              </w:rPr>
            </w:pPr>
            <w:r>
              <w:rPr>
                <w:rFonts w:ascii="Arial" w:cs="Arial" w:eastAsia="Arial" w:hAnsi="Arial"/>
                <w:sz w:val="18"/>
                <w:szCs w:val="18"/>
                <w:color w:val="auto"/>
              </w:rPr>
              <w:t>Electronic Execution of Assignments and Certain Other Documents</w:t>
            </w:r>
          </w:p>
        </w:tc>
        <w:tc>
          <w:tcPr>
            <w:tcW w:w="26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1140" w:type="dxa"/>
            <w:vAlign w:val="bottom"/>
          </w:tcPr>
          <w:p>
            <w:pPr>
              <w:ind w:left="660"/>
              <w:spacing w:after="0"/>
              <w:rPr>
                <w:sz w:val="20"/>
                <w:szCs w:val="20"/>
                <w:color w:val="auto"/>
              </w:rPr>
            </w:pPr>
            <w:r>
              <w:rPr>
                <w:rFonts w:ascii="Arial" w:cs="Arial" w:eastAsia="Arial" w:hAnsi="Arial"/>
                <w:sz w:val="18"/>
                <w:szCs w:val="18"/>
                <w:color w:val="auto"/>
              </w:rPr>
              <w:t>11.22</w:t>
            </w:r>
          </w:p>
        </w:tc>
        <w:tc>
          <w:tcPr>
            <w:tcW w:w="7620" w:type="dxa"/>
            <w:vAlign w:val="bottom"/>
          </w:tcPr>
          <w:p>
            <w:pPr>
              <w:ind w:left="4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6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18"/>
        </w:trPr>
        <w:tc>
          <w:tcPr>
            <w:tcW w:w="8760" w:type="dxa"/>
            <w:vAlign w:val="bottom"/>
            <w:gridSpan w:val="2"/>
          </w:tcPr>
          <w:p>
            <w:pPr>
              <w:spacing w:after="0"/>
              <w:rPr>
                <w:sz w:val="20"/>
                <w:szCs w:val="20"/>
                <w:color w:val="auto"/>
              </w:rPr>
            </w:pPr>
            <w:r>
              <w:rPr>
                <w:rFonts w:ascii="Arial" w:cs="Arial" w:eastAsia="Arial" w:hAnsi="Arial"/>
                <w:sz w:val="18"/>
                <w:szCs w:val="18"/>
                <w:color w:val="auto"/>
              </w:rPr>
              <w:t>ARTICLE XII RATIFICATION</w:t>
            </w:r>
          </w:p>
        </w:tc>
        <w:tc>
          <w:tcPr>
            <w:tcW w:w="26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12.01</w:t>
            </w:r>
          </w:p>
        </w:tc>
        <w:tc>
          <w:tcPr>
            <w:tcW w:w="7620" w:type="dxa"/>
            <w:vAlign w:val="bottom"/>
          </w:tcPr>
          <w:p>
            <w:pPr>
              <w:ind w:left="60"/>
              <w:spacing w:after="0"/>
              <w:rPr>
                <w:sz w:val="20"/>
                <w:szCs w:val="20"/>
                <w:color w:val="auto"/>
              </w:rPr>
            </w:pPr>
            <w:r>
              <w:rPr>
                <w:rFonts w:ascii="Arial" w:cs="Arial" w:eastAsia="Arial" w:hAnsi="Arial"/>
                <w:sz w:val="18"/>
                <w:szCs w:val="18"/>
                <w:color w:val="auto"/>
              </w:rPr>
              <w:t>General</w:t>
            </w:r>
          </w:p>
        </w:tc>
        <w:tc>
          <w:tcPr>
            <w:tcW w:w="26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140" w:type="dxa"/>
            <w:vAlign w:val="bottom"/>
          </w:tcPr>
          <w:p>
            <w:pPr>
              <w:ind w:left="660"/>
              <w:spacing w:after="0"/>
              <w:rPr>
                <w:sz w:val="20"/>
                <w:szCs w:val="20"/>
                <w:color w:val="auto"/>
              </w:rPr>
            </w:pPr>
            <w:r>
              <w:rPr>
                <w:rFonts w:ascii="Arial" w:cs="Arial" w:eastAsia="Arial" w:hAnsi="Arial"/>
                <w:sz w:val="18"/>
                <w:szCs w:val="18"/>
                <w:color w:val="auto"/>
              </w:rPr>
              <w:t>12.02</w:t>
            </w:r>
          </w:p>
        </w:tc>
        <w:tc>
          <w:tcPr>
            <w:tcW w:w="7620" w:type="dxa"/>
            <w:vAlign w:val="bottom"/>
          </w:tcPr>
          <w:p>
            <w:pPr>
              <w:ind w:left="60"/>
              <w:spacing w:after="0"/>
              <w:rPr>
                <w:sz w:val="20"/>
                <w:szCs w:val="20"/>
                <w:color w:val="auto"/>
              </w:rPr>
            </w:pPr>
            <w:r>
              <w:rPr>
                <w:rFonts w:ascii="Arial" w:cs="Arial" w:eastAsia="Arial" w:hAnsi="Arial"/>
                <w:sz w:val="18"/>
                <w:szCs w:val="18"/>
                <w:color w:val="auto"/>
              </w:rPr>
              <w:t>Reference to Agreement</w:t>
            </w:r>
          </w:p>
        </w:tc>
        <w:tc>
          <w:tcPr>
            <w:tcW w:w="26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1140" w:type="dxa"/>
            <w:vAlign w:val="bottom"/>
          </w:tcPr>
          <w:p>
            <w:pPr>
              <w:ind w:left="660"/>
              <w:spacing w:after="0"/>
              <w:rPr>
                <w:sz w:val="20"/>
                <w:szCs w:val="20"/>
                <w:color w:val="auto"/>
              </w:rPr>
            </w:pPr>
            <w:r>
              <w:rPr>
                <w:rFonts w:ascii="Arial" w:cs="Arial" w:eastAsia="Arial" w:hAnsi="Arial"/>
                <w:sz w:val="18"/>
                <w:szCs w:val="18"/>
                <w:color w:val="auto"/>
              </w:rPr>
              <w:t>12.03</w:t>
            </w:r>
          </w:p>
        </w:tc>
        <w:tc>
          <w:tcPr>
            <w:tcW w:w="762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26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864"/>
        </w:trPr>
        <w:tc>
          <w:tcPr>
            <w:tcW w:w="1140" w:type="dxa"/>
            <w:vAlign w:val="bottom"/>
          </w:tcPr>
          <w:p>
            <w:pPr>
              <w:spacing w:after="0"/>
              <w:rPr>
                <w:sz w:val="20"/>
                <w:szCs w:val="20"/>
                <w:color w:val="auto"/>
              </w:rPr>
            </w:pPr>
            <w:r>
              <w:rPr>
                <w:rFonts w:ascii="Arial" w:cs="Arial" w:eastAsia="Arial" w:hAnsi="Arial"/>
                <w:sz w:val="18"/>
                <w:szCs w:val="18"/>
                <w:color w:val="auto"/>
                <w:w w:val="95"/>
              </w:rPr>
              <w:t>SIGNATURES</w:t>
            </w:r>
          </w:p>
        </w:tc>
        <w:tc>
          <w:tcPr>
            <w:tcW w:w="762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S-1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SCHEDULES</w:t>
            </w:r>
          </w:p>
        </w:tc>
        <w:tc>
          <w:tcPr>
            <w:tcW w:w="4520" w:type="dxa"/>
            <w:vAlign w:val="bottom"/>
          </w:tcPr>
          <w:p>
            <w:pPr>
              <w:spacing w:after="0"/>
              <w:rPr>
                <w:sz w:val="20"/>
                <w:szCs w:val="20"/>
                <w:color w:val="auto"/>
              </w:rPr>
            </w:pPr>
          </w:p>
        </w:tc>
      </w:tr>
      <w:tr>
        <w:trPr>
          <w:trHeight w:val="418"/>
        </w:trPr>
        <w:tc>
          <w:tcPr>
            <w:tcW w:w="1300" w:type="dxa"/>
            <w:vAlign w:val="bottom"/>
          </w:tcPr>
          <w:p>
            <w:pPr>
              <w:ind w:left="460"/>
              <w:spacing w:after="0"/>
              <w:rPr>
                <w:sz w:val="20"/>
                <w:szCs w:val="20"/>
                <w:color w:val="auto"/>
              </w:rPr>
            </w:pPr>
            <w:r>
              <w:rPr>
                <w:rFonts w:ascii="Arial" w:cs="Arial" w:eastAsia="Arial" w:hAnsi="Arial"/>
                <w:sz w:val="18"/>
                <w:szCs w:val="18"/>
                <w:color w:val="auto"/>
              </w:rPr>
              <w:t>2.01</w:t>
            </w:r>
          </w:p>
        </w:tc>
        <w:tc>
          <w:tcPr>
            <w:tcW w:w="4520" w:type="dxa"/>
            <w:vAlign w:val="bottom"/>
          </w:tcPr>
          <w:p>
            <w:pPr>
              <w:ind w:left="80"/>
              <w:spacing w:after="0"/>
              <w:rPr>
                <w:sz w:val="20"/>
                <w:szCs w:val="20"/>
                <w:color w:val="auto"/>
              </w:rPr>
            </w:pPr>
            <w:r>
              <w:rPr>
                <w:rFonts w:ascii="Arial" w:cs="Arial" w:eastAsia="Arial" w:hAnsi="Arial"/>
                <w:sz w:val="18"/>
                <w:szCs w:val="18"/>
                <w:color w:val="auto"/>
              </w:rPr>
              <w:t>Commitments and Applicable Percentages</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5.06</w:t>
            </w:r>
          </w:p>
        </w:tc>
        <w:tc>
          <w:tcPr>
            <w:tcW w:w="4520" w:type="dxa"/>
            <w:vAlign w:val="bottom"/>
          </w:tcPr>
          <w:p>
            <w:pPr>
              <w:ind w:left="80"/>
              <w:spacing w:after="0"/>
              <w:rPr>
                <w:sz w:val="20"/>
                <w:szCs w:val="20"/>
                <w:color w:val="auto"/>
              </w:rPr>
            </w:pPr>
            <w:r>
              <w:rPr>
                <w:rFonts w:ascii="Arial" w:cs="Arial" w:eastAsia="Arial" w:hAnsi="Arial"/>
                <w:sz w:val="18"/>
                <w:szCs w:val="18"/>
                <w:color w:val="auto"/>
              </w:rPr>
              <w:t>Litigation</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5.08(c)</w:t>
            </w:r>
          </w:p>
        </w:tc>
        <w:tc>
          <w:tcPr>
            <w:tcW w:w="4520" w:type="dxa"/>
            <w:vAlign w:val="bottom"/>
          </w:tcPr>
          <w:p>
            <w:pPr>
              <w:ind w:left="80"/>
              <w:spacing w:after="0"/>
              <w:rPr>
                <w:sz w:val="20"/>
                <w:szCs w:val="20"/>
                <w:color w:val="auto"/>
              </w:rPr>
            </w:pPr>
            <w:r>
              <w:rPr>
                <w:rFonts w:ascii="Arial" w:cs="Arial" w:eastAsia="Arial" w:hAnsi="Arial"/>
                <w:sz w:val="18"/>
                <w:szCs w:val="18"/>
                <w:color w:val="auto"/>
              </w:rPr>
              <w:t>Owned Real Property</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5.08(d)(i)</w:t>
            </w:r>
          </w:p>
        </w:tc>
        <w:tc>
          <w:tcPr>
            <w:tcW w:w="4520" w:type="dxa"/>
            <w:vAlign w:val="bottom"/>
          </w:tcPr>
          <w:p>
            <w:pPr>
              <w:ind w:left="80"/>
              <w:spacing w:after="0"/>
              <w:rPr>
                <w:sz w:val="20"/>
                <w:szCs w:val="20"/>
                <w:color w:val="auto"/>
              </w:rPr>
            </w:pPr>
            <w:r>
              <w:rPr>
                <w:rFonts w:ascii="Arial" w:cs="Arial" w:eastAsia="Arial" w:hAnsi="Arial"/>
                <w:sz w:val="18"/>
                <w:szCs w:val="18"/>
                <w:color w:val="auto"/>
              </w:rPr>
              <w:t>Leased Real Property (Lessee)</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5.08(d)(ii)</w:t>
            </w:r>
          </w:p>
        </w:tc>
        <w:tc>
          <w:tcPr>
            <w:tcW w:w="4520" w:type="dxa"/>
            <w:vAlign w:val="bottom"/>
          </w:tcPr>
          <w:p>
            <w:pPr>
              <w:ind w:left="80"/>
              <w:spacing w:after="0"/>
              <w:rPr>
                <w:sz w:val="20"/>
                <w:szCs w:val="20"/>
                <w:color w:val="auto"/>
              </w:rPr>
            </w:pPr>
            <w:r>
              <w:rPr>
                <w:rFonts w:ascii="Arial" w:cs="Arial" w:eastAsia="Arial" w:hAnsi="Arial"/>
                <w:sz w:val="18"/>
                <w:szCs w:val="18"/>
                <w:color w:val="auto"/>
              </w:rPr>
              <w:t>Leased Real Property (Lessor)</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5.08(e)</w:t>
            </w:r>
          </w:p>
        </w:tc>
        <w:tc>
          <w:tcPr>
            <w:tcW w:w="4520" w:type="dxa"/>
            <w:vAlign w:val="bottom"/>
          </w:tcPr>
          <w:p>
            <w:pPr>
              <w:ind w:left="80"/>
              <w:spacing w:after="0"/>
              <w:rPr>
                <w:sz w:val="20"/>
                <w:szCs w:val="20"/>
                <w:color w:val="auto"/>
              </w:rPr>
            </w:pPr>
            <w:r>
              <w:rPr>
                <w:rFonts w:ascii="Arial" w:cs="Arial" w:eastAsia="Arial" w:hAnsi="Arial"/>
                <w:sz w:val="18"/>
                <w:szCs w:val="18"/>
                <w:color w:val="auto"/>
              </w:rPr>
              <w:t>Existing Investments</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5.08(f)</w:t>
            </w:r>
          </w:p>
        </w:tc>
        <w:tc>
          <w:tcPr>
            <w:tcW w:w="4520" w:type="dxa"/>
            <w:vAlign w:val="bottom"/>
          </w:tcPr>
          <w:p>
            <w:pPr>
              <w:ind w:left="80"/>
              <w:spacing w:after="0"/>
              <w:rPr>
                <w:sz w:val="20"/>
                <w:szCs w:val="20"/>
                <w:color w:val="auto"/>
              </w:rPr>
            </w:pPr>
            <w:r>
              <w:rPr>
                <w:rFonts w:ascii="Arial" w:cs="Arial" w:eastAsia="Arial" w:hAnsi="Arial"/>
                <w:sz w:val="18"/>
                <w:szCs w:val="18"/>
                <w:color w:val="auto"/>
              </w:rPr>
              <w:t>Deposit Accounts</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5.11</w:t>
            </w:r>
          </w:p>
        </w:tc>
        <w:tc>
          <w:tcPr>
            <w:tcW w:w="4520" w:type="dxa"/>
            <w:vAlign w:val="bottom"/>
          </w:tcPr>
          <w:p>
            <w:pPr>
              <w:ind w:left="80"/>
              <w:spacing w:after="0"/>
              <w:rPr>
                <w:sz w:val="20"/>
                <w:szCs w:val="20"/>
                <w:color w:val="auto"/>
              </w:rPr>
            </w:pPr>
            <w:r>
              <w:rPr>
                <w:rFonts w:ascii="Arial" w:cs="Arial" w:eastAsia="Arial" w:hAnsi="Arial"/>
                <w:sz w:val="18"/>
                <w:szCs w:val="18"/>
                <w:color w:val="auto"/>
              </w:rPr>
              <w:t>ERISA</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5.13</w:t>
            </w:r>
          </w:p>
        </w:tc>
        <w:tc>
          <w:tcPr>
            <w:tcW w:w="4520" w:type="dxa"/>
            <w:vAlign w:val="bottom"/>
          </w:tcPr>
          <w:p>
            <w:pPr>
              <w:ind w:left="80"/>
              <w:spacing w:after="0"/>
              <w:rPr>
                <w:sz w:val="20"/>
                <w:szCs w:val="20"/>
                <w:color w:val="auto"/>
              </w:rPr>
            </w:pPr>
            <w:r>
              <w:rPr>
                <w:rFonts w:ascii="Arial" w:cs="Arial" w:eastAsia="Arial" w:hAnsi="Arial"/>
                <w:sz w:val="18"/>
                <w:szCs w:val="18"/>
                <w:color w:val="auto"/>
                <w:w w:val="97"/>
              </w:rPr>
              <w:t>Subsidiaries and Other Equity Investments; Loan Parties</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5.17</w:t>
            </w:r>
          </w:p>
        </w:tc>
        <w:tc>
          <w:tcPr>
            <w:tcW w:w="4520" w:type="dxa"/>
            <w:vAlign w:val="bottom"/>
          </w:tcPr>
          <w:p>
            <w:pPr>
              <w:ind w:left="80"/>
              <w:spacing w:after="0"/>
              <w:rPr>
                <w:sz w:val="20"/>
                <w:szCs w:val="20"/>
                <w:color w:val="auto"/>
              </w:rPr>
            </w:pPr>
            <w:r>
              <w:rPr>
                <w:rFonts w:ascii="Arial" w:cs="Arial" w:eastAsia="Arial" w:hAnsi="Arial"/>
                <w:sz w:val="18"/>
                <w:szCs w:val="18"/>
                <w:color w:val="auto"/>
              </w:rPr>
              <w:t>Intellectual Property Matters</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5.23</w:t>
            </w:r>
          </w:p>
        </w:tc>
        <w:tc>
          <w:tcPr>
            <w:tcW w:w="4520" w:type="dxa"/>
            <w:vAlign w:val="bottom"/>
          </w:tcPr>
          <w:p>
            <w:pPr>
              <w:ind w:left="80"/>
              <w:spacing w:after="0"/>
              <w:rPr>
                <w:sz w:val="20"/>
                <w:szCs w:val="20"/>
                <w:color w:val="auto"/>
              </w:rPr>
            </w:pPr>
            <w:r>
              <w:rPr>
                <w:rFonts w:ascii="Arial" w:cs="Arial" w:eastAsia="Arial" w:hAnsi="Arial"/>
                <w:sz w:val="18"/>
                <w:szCs w:val="18"/>
                <w:color w:val="auto"/>
              </w:rPr>
              <w:t>Insurance</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5.24</w:t>
            </w:r>
          </w:p>
        </w:tc>
        <w:tc>
          <w:tcPr>
            <w:tcW w:w="4520" w:type="dxa"/>
            <w:vAlign w:val="bottom"/>
          </w:tcPr>
          <w:p>
            <w:pPr>
              <w:ind w:left="80"/>
              <w:spacing w:after="0"/>
              <w:rPr>
                <w:sz w:val="20"/>
                <w:szCs w:val="20"/>
                <w:color w:val="auto"/>
              </w:rPr>
            </w:pPr>
            <w:r>
              <w:rPr>
                <w:rFonts w:ascii="Arial" w:cs="Arial" w:eastAsia="Arial" w:hAnsi="Arial"/>
                <w:sz w:val="18"/>
                <w:szCs w:val="18"/>
                <w:color w:val="auto"/>
              </w:rPr>
              <w:t>Employment and Labor</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7.01</w:t>
            </w:r>
          </w:p>
        </w:tc>
        <w:tc>
          <w:tcPr>
            <w:tcW w:w="4520" w:type="dxa"/>
            <w:vAlign w:val="bottom"/>
          </w:tcPr>
          <w:p>
            <w:pPr>
              <w:ind w:left="80"/>
              <w:spacing w:after="0"/>
              <w:rPr>
                <w:sz w:val="20"/>
                <w:szCs w:val="20"/>
                <w:color w:val="auto"/>
              </w:rPr>
            </w:pPr>
            <w:r>
              <w:rPr>
                <w:rFonts w:ascii="Arial" w:cs="Arial" w:eastAsia="Arial" w:hAnsi="Arial"/>
                <w:sz w:val="18"/>
                <w:szCs w:val="18"/>
                <w:color w:val="auto"/>
              </w:rPr>
              <w:t>Existing Liens</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7.02</w:t>
            </w:r>
          </w:p>
        </w:tc>
        <w:tc>
          <w:tcPr>
            <w:tcW w:w="4520" w:type="dxa"/>
            <w:vAlign w:val="bottom"/>
          </w:tcPr>
          <w:p>
            <w:pPr>
              <w:ind w:left="80"/>
              <w:spacing w:after="0"/>
              <w:rPr>
                <w:sz w:val="20"/>
                <w:szCs w:val="20"/>
                <w:color w:val="auto"/>
              </w:rPr>
            </w:pPr>
            <w:r>
              <w:rPr>
                <w:rFonts w:ascii="Arial" w:cs="Arial" w:eastAsia="Arial" w:hAnsi="Arial"/>
                <w:sz w:val="18"/>
                <w:szCs w:val="18"/>
                <w:color w:val="auto"/>
              </w:rPr>
              <w:t>Existing Indebtedness</w:t>
            </w: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rPr>
              <w:t>7.09</w:t>
            </w:r>
          </w:p>
        </w:tc>
        <w:tc>
          <w:tcPr>
            <w:tcW w:w="4520" w:type="dxa"/>
            <w:vAlign w:val="bottom"/>
          </w:tcPr>
          <w:p>
            <w:pPr>
              <w:ind w:left="80"/>
              <w:spacing w:after="0"/>
              <w:rPr>
                <w:sz w:val="20"/>
                <w:szCs w:val="20"/>
                <w:color w:val="auto"/>
              </w:rPr>
            </w:pPr>
            <w:r>
              <w:rPr>
                <w:rFonts w:ascii="Arial" w:cs="Arial" w:eastAsia="Arial" w:hAnsi="Arial"/>
                <w:sz w:val="18"/>
                <w:szCs w:val="18"/>
                <w:color w:val="auto"/>
              </w:rPr>
              <w:t>Contractual Obligations</w:t>
            </w:r>
          </w:p>
        </w:tc>
      </w:tr>
      <w:tr>
        <w:trPr>
          <w:trHeight w:val="230"/>
        </w:trPr>
        <w:tc>
          <w:tcPr>
            <w:tcW w:w="1300" w:type="dxa"/>
            <w:vAlign w:val="bottom"/>
          </w:tcPr>
          <w:p>
            <w:pPr>
              <w:ind w:left="460"/>
              <w:spacing w:after="0"/>
              <w:rPr>
                <w:sz w:val="20"/>
                <w:szCs w:val="20"/>
                <w:color w:val="auto"/>
              </w:rPr>
            </w:pPr>
            <w:r>
              <w:rPr>
                <w:rFonts w:ascii="Arial" w:cs="Arial" w:eastAsia="Arial" w:hAnsi="Arial"/>
                <w:sz w:val="18"/>
                <w:szCs w:val="18"/>
                <w:color w:val="auto"/>
              </w:rPr>
              <w:t>11.02</w:t>
            </w:r>
          </w:p>
        </w:tc>
        <w:tc>
          <w:tcPr>
            <w:tcW w:w="4520" w:type="dxa"/>
            <w:vAlign w:val="bottom"/>
          </w:tcPr>
          <w:p>
            <w:pPr>
              <w:ind w:left="80"/>
              <w:spacing w:after="0"/>
              <w:rPr>
                <w:sz w:val="20"/>
                <w:szCs w:val="20"/>
                <w:color w:val="auto"/>
              </w:rPr>
            </w:pPr>
            <w:r>
              <w:rPr>
                <w:rFonts w:ascii="Arial" w:cs="Arial" w:eastAsia="Arial" w:hAnsi="Arial"/>
                <w:sz w:val="18"/>
                <w:szCs w:val="18"/>
                <w:color w:val="auto"/>
                <w:w w:val="92"/>
              </w:rPr>
              <w:t>Administrative Agent’s Office, Certain Addresses for Notices</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of</w:t>
      </w:r>
    </w:p>
    <w:p>
      <w:pPr>
        <w:spacing w:after="0" w:line="225" w:lineRule="exact"/>
        <w:rPr>
          <w:sz w:val="20"/>
          <w:szCs w:val="20"/>
          <w:color w:val="auto"/>
        </w:rPr>
      </w:pPr>
    </w:p>
    <w:p>
      <w:pPr>
        <w:ind w:left="1380" w:hanging="913"/>
        <w:spacing w:after="0"/>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sz w:val="20"/>
          <w:szCs w:val="20"/>
          <w:color w:val="auto"/>
        </w:rPr>
      </w:pPr>
    </w:p>
    <w:p>
      <w:pPr>
        <w:ind w:left="1380" w:hanging="913"/>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Amended and Restated Term Note</w:t>
      </w:r>
    </w:p>
    <w:p>
      <w:pPr>
        <w:spacing w:after="0" w:line="9" w:lineRule="exact"/>
        <w:rPr>
          <w:sz w:val="20"/>
          <w:szCs w:val="20"/>
          <w:color w:val="auto"/>
        </w:rPr>
      </w:pPr>
    </w:p>
    <w:p>
      <w:pPr>
        <w:ind w:left="1380" w:hanging="913"/>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 Amended and Restated Revolving Credit Note</w:t>
      </w:r>
    </w:p>
    <w:p>
      <w:pPr>
        <w:spacing w:after="0" w:line="9" w:lineRule="exact"/>
        <w:rPr>
          <w:sz w:val="20"/>
          <w:szCs w:val="20"/>
          <w:color w:val="auto"/>
        </w:rPr>
      </w:pPr>
    </w:p>
    <w:p>
      <w:pPr>
        <w:ind w:left="1380" w:hanging="913"/>
        <w:spacing w:after="0"/>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E-1</w:t>
            </w:r>
          </w:p>
        </w:tc>
        <w:tc>
          <w:tcPr>
            <w:tcW w:w="2460" w:type="dxa"/>
            <w:vAlign w:val="bottom"/>
          </w:tcPr>
          <w:p>
            <w:pPr>
              <w:ind w:left="320"/>
              <w:spacing w:after="0"/>
              <w:rPr>
                <w:sz w:val="20"/>
                <w:szCs w:val="20"/>
                <w:color w:val="auto"/>
              </w:rPr>
            </w:pPr>
            <w:r>
              <w:rPr>
                <w:rFonts w:ascii="Arial" w:cs="Arial" w:eastAsia="Arial" w:hAnsi="Arial"/>
                <w:sz w:val="18"/>
                <w:szCs w:val="18"/>
                <w:color w:val="auto"/>
                <w:w w:val="92"/>
              </w:rPr>
              <w:t>Assignment and Assumption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E-2</w:t>
            </w:r>
          </w:p>
        </w:tc>
        <w:tc>
          <w:tcPr>
            <w:tcW w:w="2460" w:type="dxa"/>
            <w:vAlign w:val="bottom"/>
          </w:tcPr>
          <w:p>
            <w:pPr>
              <w:ind w:left="320"/>
              <w:spacing w:after="0"/>
              <w:rPr>
                <w:sz w:val="20"/>
                <w:szCs w:val="20"/>
                <w:color w:val="auto"/>
              </w:rPr>
            </w:pPr>
            <w:r>
              <w:rPr>
                <w:rFonts w:ascii="Arial" w:cs="Arial" w:eastAsia="Arial" w:hAnsi="Arial"/>
                <w:sz w:val="18"/>
                <w:szCs w:val="18"/>
                <w:color w:val="auto"/>
                <w:w w:val="92"/>
              </w:rPr>
              <w:t>Administrative Questionnaire</w:t>
            </w:r>
          </w:p>
        </w:tc>
      </w:tr>
    </w:tbl>
    <w:p>
      <w:pPr>
        <w:ind w:left="460" w:right="6279" w:firstLine="7"/>
        <w:spacing w:after="0" w:line="323" w:lineRule="auto"/>
        <w:tabs>
          <w:tab w:leader="none" w:pos="1378" w:val="left"/>
        </w:tabs>
        <w:numPr>
          <w:ilvl w:val="0"/>
          <w:numId w:val="34"/>
        </w:numPr>
        <w:rPr>
          <w:rFonts w:ascii="Arial" w:cs="Arial" w:eastAsia="Arial" w:hAnsi="Arial"/>
          <w:sz w:val="16"/>
          <w:szCs w:val="16"/>
          <w:color w:val="auto"/>
        </w:rPr>
      </w:pPr>
      <w:r>
        <w:rPr>
          <w:rFonts w:ascii="Arial" w:cs="Arial" w:eastAsia="Arial" w:hAnsi="Arial"/>
          <w:sz w:val="16"/>
          <w:szCs w:val="16"/>
          <w:color w:val="auto"/>
        </w:rPr>
        <w:t>Authorization to Share Information G-1 to G-4 U.S. Tax Compliance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t>THIRD AMENDED AND RESTATED CREDIT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This THIRD AMENDED AND RESTATED CREDIT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May 1, 2017, among HARVARD BIOSCIENCE,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BROWN BROTHERS HARRIMAN &amp; CO. and each other lender from time to time party hereto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individually, a “</w:t>
      </w:r>
      <w:r>
        <w:rPr>
          <w:rFonts w:ascii="Arial" w:cs="Arial" w:eastAsia="Arial" w:hAnsi="Arial"/>
          <w:sz w:val="17"/>
          <w:szCs w:val="17"/>
          <w:u w:val="single" w:color="auto"/>
          <w:color w:val="auto"/>
        </w:rPr>
        <w:t>Lender</w:t>
      </w:r>
      <w:r>
        <w:rPr>
          <w:rFonts w:ascii="Arial" w:cs="Arial" w:eastAsia="Arial" w:hAnsi="Arial"/>
          <w:sz w:val="17"/>
          <w:szCs w:val="17"/>
          <w:color w:val="auto"/>
        </w:rPr>
        <w:t>”), and BANK OF AMERICA, N.A., as Administrative Agent and L/C Issuer.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Borrower, the Administrative Agent and the Lenders entered into an Amended and Restated Revolving Credit Loan Agreement dated as of August 7, 2009, which was amended by First Amendment to Amended and Restated Revolving Credit Loan Agreement dated as of September 30, 2011, which was further amended by Second Amendment to Amended and Restated Revolving Credit Loan Agreement, Limited Consent and Limited Waiver dated as of October 4, 2012; which was further amended by a Second Amended and Restated Credit Agreement dated as of March 29, 2013, which was amended by that certain First Amendment to Second Amended and Restated Credit Agreement dated as of May 30, 2013; which was further amended by that certain Second Amendment to Second Amended and Restated Credit Agreement and Waiver dated as of October 31, 2013; which was further amended by that certain Third Amendment to Second Amended and Restated Credit Agreement dated as of April 24, 2015; which was further amended by that certain Fourth Amendment to Second Amended and Restated Credit Agreement dated as of June 30, 2015; which was further amended by that certain Fifth Amendment to Second Amended and Restated Credit Agreement dated as of November 5, 2015; and which was further amended by that certain Sixth Amendment to Second Amended and Restated Credit Agreement dated as of March 9, 2016 (collectively, the “</w:t>
      </w:r>
      <w:r>
        <w:rPr>
          <w:rFonts w:ascii="Arial" w:cs="Arial" w:eastAsia="Arial" w:hAnsi="Arial"/>
          <w:sz w:val="16"/>
          <w:szCs w:val="16"/>
          <w:u w:val="single" w:color="auto"/>
          <w:color w:val="auto"/>
        </w:rPr>
        <w:t>Original Credit Agreement</w:t>
      </w:r>
      <w:r>
        <w:rPr>
          <w:rFonts w:ascii="Arial" w:cs="Arial" w:eastAsia="Arial" w:hAnsi="Arial"/>
          <w:sz w:val="16"/>
          <w:szCs w:val="16"/>
          <w:color w:val="auto"/>
        </w:rPr>
        <w:t>”).</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Borrower, the Guarantors, the Lenders and the Administrative Agent have agreed to amend the Original Credit Agreement and are entering into this Agreement, among other things, to consolidate, combine and restate certain outstanding indebtedness into a single term loan and to extend the maturity date, as provided herein. The Borrower and the Lenders hereby confirm, acknowledge and agree that, as of the date hereof, the outstanding principal amount of all Term Loans and certain amounts of outstanding Revolving Credit Loans under the Original Credit Agreement to be consolidated, combined and restated is $14,000,000 (the “</w:t>
      </w:r>
      <w:r>
        <w:rPr>
          <w:rFonts w:ascii="Arial" w:cs="Arial" w:eastAsia="Arial" w:hAnsi="Arial"/>
          <w:sz w:val="18"/>
          <w:szCs w:val="18"/>
          <w:u w:val="single" w:color="auto"/>
          <w:color w:val="auto"/>
        </w:rPr>
        <w:t>Restated Obligations</w:t>
      </w:r>
      <w:r>
        <w:rPr>
          <w:rFonts w:ascii="Arial" w:cs="Arial" w:eastAsia="Arial" w:hAnsi="Arial"/>
          <w:sz w:val="18"/>
          <w:szCs w:val="18"/>
          <w:color w:val="auto"/>
        </w:rPr>
        <w:t>”). The Lenders have indicated their willingness to restate the Restated Obligations, and to provide the amendments contained herein, and the L/C Issuer has indicated its willingness to issue letters of credit, in each case, on the terms and subject to the conditions set forth herein.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ACCOUNTING TERMS</w:t>
      </w:r>
    </w:p>
    <w:p>
      <w:pPr>
        <w:spacing w:after="0" w:line="21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Defined Terms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 the following terms shall have the meanings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EBITDA</w:t>
      </w:r>
      <w:r>
        <w:rPr>
          <w:rFonts w:ascii="Arial" w:cs="Arial" w:eastAsia="Arial" w:hAnsi="Arial"/>
          <w:sz w:val="18"/>
          <w:szCs w:val="18"/>
          <w:color w:val="auto"/>
        </w:rPr>
        <w:t>” means for any period, EBITDA for such period after adjusting for (a) non-cash stock compensation expense, (b) restructuring charges related to Permitted Acquisitions contemplated at the time of such Permitted Acquisition and mutually agreed upon by the Borrower and the Administrative Agent, (c) acquired in-process research and development expense, (d) fair value adjustments resulting from purchase price allocation related to Permitted Acquisitions and (e) other non-recurring exceptional items of income or expense mutually agreed upon by the Borrower and the Administrative Agent.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in its capacity as administrative agent under any of the Loan Documents, or any successor administrative agent.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or such other address or account as the Administrative Agent may from time to time notify to the Borrower and the Lenders.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Agency Fee</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2.09(b)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Credit Exposures</w:t>
      </w:r>
      <w:r>
        <w:rPr>
          <w:rFonts w:ascii="Arial" w:cs="Arial" w:eastAsia="Arial" w:hAnsi="Arial"/>
          <w:sz w:val="18"/>
          <w:szCs w:val="18"/>
          <w:color w:val="auto"/>
        </w:rPr>
        <w:t>” means, at any time, in respect of (a) the aggregate amount of the Term Loan outstanding at such time, and (b) the Revolving Credit Facility, the sum of (i) the unused portion of the Revolving Credit Facility at such time and (ii) the Total Revolving Credit Outstandings at such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(a) in respect of the Term Loan, with respect to any Term Lender at any time, the percentage (carried out to the ninth decimal place) of the Term Loan represented by the principal amount of such Term Lender’s portion of the Term Loan at such time, and (b) in respect of the Revolving Credit Facility, with respect to any Revolving Credit Lender at any time, the percentage (carried out to the ninth decimal place) of the Revolving Credit Facility represented by such Revolving Credit Lender’s Revolving Credit Commitment at such time. If the commitment of each Revolving Credit Lender to make Revolving Credit Loans and the obligation of the L/C Issuer to make L/C Credit Extensions have been terminated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if the Revolving Credit Commitments have expired, then the Applicable Percentage of each Revolving Credit Lender in respect of the Revolving Credit Facility shall be determined based on the Applicable Percentage of such Revolving Credit Lender in respect of the Revolving Credit Facility most recently in effect, giving effect to any subsequent assignments. The initial Applicable Percentage of each Lender in respect of each Facility is set forth opposite the name of such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 as applicable.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means (a) in respect of the Term Loan, 2.75% per annum and (b) in respect of the Revolving Credit Facility, 2.25% per annum.</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Revolving Credit Percentage</w:t>
      </w:r>
      <w:r>
        <w:rPr>
          <w:rFonts w:ascii="Arial" w:cs="Arial" w:eastAsia="Arial" w:hAnsi="Arial"/>
          <w:sz w:val="18"/>
          <w:szCs w:val="18"/>
          <w:color w:val="auto"/>
        </w:rPr>
        <w:t>” means with respect to any Revolving Credit Lender at any time, such Revolving Credit Lender’s Applicable Percentage in respect of the Revolving Credit Facility at such time.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Appropriate Lender</w:t>
      </w:r>
      <w:r>
        <w:rPr>
          <w:rFonts w:ascii="Arial" w:cs="Arial" w:eastAsia="Arial" w:hAnsi="Arial"/>
          <w:sz w:val="16"/>
          <w:szCs w:val="16"/>
          <w:color w:val="auto"/>
        </w:rPr>
        <w:t xml:space="preserve">” means, at any time, (a) with respect to the Term Loan or the Revolving Credit Facility, a Lender that has a Commitment with respect to the Revolving Credit Facility or holds a portion of the Term Loan or a Revolving Credit Loan, respectively, at such time and (b) with respect to the Letter of Credit Sublimit, (i) the L/C Issuer and (ii) if any Letters of Credit have been issued pursuant to </w:t>
      </w:r>
      <w:r>
        <w:rPr>
          <w:rFonts w:ascii="Arial" w:cs="Arial" w:eastAsia="Arial" w:hAnsi="Arial"/>
          <w:sz w:val="16"/>
          <w:szCs w:val="16"/>
          <w:u w:val="single" w:color="auto"/>
          <w:color w:val="auto"/>
        </w:rPr>
        <w:t>Section 2.03(a)</w:t>
      </w:r>
      <w:r>
        <w:rPr>
          <w:rFonts w:ascii="Arial" w:cs="Arial" w:eastAsia="Arial" w:hAnsi="Arial"/>
          <w:sz w:val="16"/>
          <w:szCs w:val="16"/>
          <w:color w:val="auto"/>
        </w:rPr>
        <w:t>, the Revolving Credit Lenders.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party whose consent is required by </w:t>
      </w:r>
      <w:r>
        <w:rPr>
          <w:rFonts w:ascii="Arial" w:cs="Arial" w:eastAsia="Arial" w:hAnsi="Arial"/>
          <w:sz w:val="17"/>
          <w:szCs w:val="17"/>
          <w:u w:val="single" w:color="auto"/>
          <w:color w:val="auto"/>
        </w:rPr>
        <w:t>Section 11.06(b)</w:t>
      </w:r>
      <w:r>
        <w:rPr>
          <w:rFonts w:ascii="Arial" w:cs="Arial" w:eastAsia="Arial" w:hAnsi="Arial"/>
          <w:sz w:val="17"/>
          <w:szCs w:val="17"/>
          <w:color w:val="auto"/>
        </w:rPr>
        <w:t xml:space="preserve">), and accepted by the Administrative Agent, in substantially the form of </w:t>
      </w:r>
      <w:r>
        <w:rPr>
          <w:rFonts w:ascii="Arial" w:cs="Arial" w:eastAsia="Arial" w:hAnsi="Arial"/>
          <w:sz w:val="17"/>
          <w:szCs w:val="17"/>
          <w:u w:val="single" w:color="auto"/>
          <w:color w:val="auto"/>
        </w:rPr>
        <w:t>Exhibit E-1</w:t>
      </w:r>
      <w:r>
        <w:rPr>
          <w:rFonts w:ascii="Arial" w:cs="Arial" w:eastAsia="Arial" w:hAnsi="Arial"/>
          <w:sz w:val="17"/>
          <w:szCs w:val="17"/>
          <w:color w:val="auto"/>
        </w:rPr>
        <w:t xml:space="preserve"> or any other form (including electronic documentation generated by use of an electronic platform) approved by the Administrative Agent.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Borrower and its Subsidiaries for the fiscal year ended December 31, 2016, and the related consolidated statements of income or operations, shareholders’ equity and cash flows for such fiscal year of the Borrower and its Subsidiaries, including the notes thereto.</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in respect of the Revolving Credit Facility, the period from and including the Third A&amp;R Effective Date to the earliest of (i) the Maturity Date with respect to the Revolving Credit Facility, (ii) the date of termination of the Revolving Credit Commitments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2.06</w:t>
      </w:r>
      <w:r>
        <w:rPr>
          <w:rFonts w:ascii="Arial" w:cs="Arial" w:eastAsia="Arial" w:hAnsi="Arial"/>
          <w:sz w:val="18"/>
          <w:szCs w:val="18"/>
          <w:color w:val="auto"/>
        </w:rPr>
        <w:t xml:space="preserve">, and (iii) the date of termination of the commitment of each Revolving Credit Lender to make Revolving Credit Loans and of the obligation of the L/C Issuer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Books</w:t>
      </w:r>
      <w:r>
        <w:rPr>
          <w:rFonts w:ascii="Arial" w:cs="Arial" w:eastAsia="Arial" w:hAnsi="Arial"/>
          <w:sz w:val="18"/>
          <w:szCs w:val="18"/>
          <w:color w:val="auto"/>
        </w:rPr>
        <w:t>” means all of Borrower’s or its Subsidiaries now owned or hereafter acquired books and records (including all of its records indicating, summarizing, or evidencing its assets (including the Accounts and Inventory) or liabilities, all of Borrower’s records relating to its business operations or financial condition, and all of its goods or General Intangibles related to such information).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shall mean the making of simultaneous Revolving Credit Loans, having the same Interest Period if a Eurodollar Rate Loan or a LIBOR Daily Floating Rate Loan, made by each Lender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on which dealings in Dollar deposits are conducted by and between banks in the London interbank eurodollar market.</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Expenditure</w:t>
      </w:r>
      <w:r>
        <w:rPr>
          <w:rFonts w:ascii="Arial" w:cs="Arial" w:eastAsia="Arial" w:hAnsi="Arial"/>
          <w:sz w:val="16"/>
          <w:szCs w:val="16"/>
          <w:color w:val="auto"/>
        </w:rPr>
        <w:t>” shall mean any payment made directly or indirectly for the purpose of acquiring or constructing fixed assets, real property or equipment which in accordance with GAAP would be added as a debit to the fixed asset account of the Person making such expenditure, including without limitation, amounts paid or payable under any conditional sale or other title retention agreement or under any lease or other periodic payment arrangement which is of such a nature that payment obligations of the lessee or obligor thereunder would be required by GAAP to be capitalized and shown as liabilities or otherwise appear in the category of property, plant or equipment or intangibles on the balance sheet of such lessee or obligor but excluding amounts expended in connection with Permitted Acquisitions (including reasonable capitalized transaction costs related to such Permitted Acquisitions).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Leases</w:t>
      </w:r>
      <w:r>
        <w:rPr>
          <w:rFonts w:ascii="Arial" w:cs="Arial" w:eastAsia="Arial" w:hAnsi="Arial"/>
          <w:sz w:val="18"/>
          <w:szCs w:val="18"/>
          <w:color w:val="auto"/>
        </w:rPr>
        <w:t>” means all leases that have been or should be, in accordance with GAAP, recorded as capitalized leases.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 Account</w:t>
      </w:r>
      <w:r>
        <w:rPr>
          <w:rFonts w:ascii="Arial" w:cs="Arial" w:eastAsia="Arial" w:hAnsi="Arial"/>
          <w:sz w:val="18"/>
          <w:szCs w:val="18"/>
          <w:color w:val="auto"/>
        </w:rPr>
        <w:t xml:space="preserve">” means a blocked, non-interest bearing deposit account of one or more of the Loan Parties at Bank of America (or another commercial bank selected in compliance with </w:t>
      </w:r>
      <w:r>
        <w:rPr>
          <w:rFonts w:ascii="Arial" w:cs="Arial" w:eastAsia="Arial" w:hAnsi="Arial"/>
          <w:sz w:val="18"/>
          <w:szCs w:val="18"/>
          <w:u w:val="single" w:color="auto"/>
          <w:color w:val="auto"/>
        </w:rPr>
        <w:t>Section 6.19</w:t>
      </w:r>
      <w:r>
        <w:rPr>
          <w:rFonts w:ascii="Arial" w:cs="Arial" w:eastAsia="Arial" w:hAnsi="Arial"/>
          <w:sz w:val="18"/>
          <w:szCs w:val="18"/>
          <w:color w:val="auto"/>
        </w:rPr>
        <w:t>) in the name of the Administrative Agent and under the sole dominion and control of the Administrative Agent, and otherwise established in a manner reasonably satisfactory to the Administrative Agent.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2.03(g)</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shall mean (a) negotiable certificates of deposit, time deposits (including sweep accounts), demand deposits and bankers’ acceptances having a maturity of nine months or less and issued by any United States financial institution having capital and surplus and undivided profits aggregating at least $100,000,000 and rated Prime-1 by Moody’s Investors Service, Inc. or A-1 by Standard &amp; Poor’s Ratings Group or issued by the Administrative Agent or any Lender; (b) corporate obligations having a maturity of nine months or less and rated Prime-1 by Moody’s Investors Service, Inc. or A-1 by Standard &amp; Poor’s Ratings Group or issued by the Administrative Agent or any Lender; (c) any direct obligation of the United States of America or any agency or instrumentality thereof, or of any state or municipality thereof, (i) which has a remaining maturity at the time of purchase of not more than one year or which is subject to a repurchase agreement with the Administrative Agent or any Lender (or any other financial institution referred to in clause (a) above) exercisable within one year from the time of purchase and (ii) which, in the case of obligations of any state or municipality, is rated AA or better by Moody’s Investors Services, Inc. or AA or better by Standard &amp; Poor’s Ratings Group; and (d) any mutual fund or other pooled investment vehicle rated AA or better by Moody’s Investors Service, Inc. or AA or better by Standard &amp; Poor’s Ratings Group which invests principally in obligations described above.</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to provide cash management services, including treasury, depository, overdraft, credit or debit card, electronic funds transfer, ACH transfer and other cash management arrangements.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means any Person that, at the time it enters into a Cash Management Agreement, is a Lender or an Affiliate of a Lender, in its capacity as a party to such Cash Management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means the Comprehensive Environmental Response, Compensation and Liability Act of 1980.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CERCLIS</w:t>
      </w:r>
      <w:r>
        <w:rPr>
          <w:rFonts w:ascii="Arial" w:cs="Arial" w:eastAsia="Arial" w:hAnsi="Arial"/>
          <w:sz w:val="17"/>
          <w:szCs w:val="17"/>
          <w:color w:val="auto"/>
        </w:rPr>
        <w:t>” means the Comprehensive Environmental Response, Compensation and Liability Information System maintained by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Environmental Protection Agency.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Person that is a controlled foreign corporation under Section 957 of the Code.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w:t>
      </w:r>
    </w:p>
    <w:p>
      <w:pPr>
        <w:spacing w:after="0" w:line="225" w:lineRule="exact"/>
        <w:rPr>
          <w:sz w:val="20"/>
          <w:szCs w:val="20"/>
          <w:color w:val="auto"/>
        </w:rPr>
      </w:pPr>
    </w:p>
    <w:p>
      <w:pPr>
        <w:jc w:val="both"/>
        <w:ind w:left="660" w:firstLine="645"/>
        <w:spacing w:after="0" w:line="291" w:lineRule="auto"/>
        <w:tabs>
          <w:tab w:leader="none" w:pos="1859"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6"/>
          <w:szCs w:val="16"/>
          <w:u w:val="single" w:color="auto"/>
          <w:color w:val="auto"/>
        </w:rPr>
        <w:t>option right</w:t>
      </w:r>
      <w:r>
        <w:rPr>
          <w:rFonts w:ascii="Arial" w:cs="Arial" w:eastAsia="Arial" w:hAnsi="Arial"/>
          <w:sz w:val="16"/>
          <w:szCs w:val="16"/>
          <w:color w:val="auto"/>
        </w:rPr>
        <w:t>”)), directly or indirectly, of 35% or more of the equity securities of the Borrower entitled to vote for members of the board of directors or equivalent governing body of the Borrower on a fully-diluted basis (and taking into account all such securities that such “person” or “group” has the right to acquire pursuant to any option right); or</w:t>
      </w:r>
    </w:p>
    <w:p>
      <w:pPr>
        <w:spacing w:after="0" w:line="167" w:lineRule="exact"/>
        <w:rPr>
          <w:rFonts w:ascii="Arial" w:cs="Arial" w:eastAsia="Arial" w:hAnsi="Arial"/>
          <w:sz w:val="16"/>
          <w:szCs w:val="16"/>
          <w:color w:val="auto"/>
        </w:rPr>
      </w:pPr>
    </w:p>
    <w:p>
      <w:pPr>
        <w:jc w:val="both"/>
        <w:ind w:left="660" w:firstLine="645"/>
        <w:spacing w:after="0" w:line="273" w:lineRule="auto"/>
        <w:tabs>
          <w:tab w:leader="none" w:pos="1847" w:val="left"/>
        </w:tabs>
        <w:numPr>
          <w:ilvl w:val="0"/>
          <w:numId w:val="35"/>
        </w:numPr>
        <w:rPr>
          <w:rFonts w:ascii="Arial" w:cs="Arial" w:eastAsia="Arial" w:hAnsi="Arial"/>
          <w:sz w:val="17"/>
          <w:szCs w:val="17"/>
          <w:color w:val="auto"/>
        </w:rPr>
      </w:pPr>
      <w:r>
        <w:rPr>
          <w:rFonts w:ascii="Arial" w:cs="Arial" w:eastAsia="Arial" w:hAnsi="Arial"/>
          <w:sz w:val="17"/>
          <w:szCs w:val="17"/>
          <w:color w:val="auto"/>
        </w:rPr>
        <w:t>during any period of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w:t>
      </w:r>
    </w:p>
    <w:p>
      <w:pPr>
        <w:spacing w:after="0" w:line="178" w:lineRule="exact"/>
        <w:rPr>
          <w:rFonts w:ascii="Arial" w:cs="Arial" w:eastAsia="Arial" w:hAnsi="Arial"/>
          <w:sz w:val="17"/>
          <w:szCs w:val="17"/>
          <w:color w:val="auto"/>
        </w:rPr>
      </w:pPr>
    </w:p>
    <w:p>
      <w:pPr>
        <w:jc w:val="both"/>
        <w:ind w:left="660" w:firstLine="645"/>
        <w:spacing w:after="0" w:line="255" w:lineRule="auto"/>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Person or two or more Persons acting in concert shall have acquired by contract or otherwise, or shall have entered into a contract or arrangement that, upon consummation thereof, will result in its or their acquisition of the power to exercise, directly or indirectly, a controlling influence over the management or policies of the Borrower, or control over the equity securities of the Borrower entitled to vote for members of the board of directors or equivalent governing body of the Borrower on a fully-diluted basis (and taking into account all such securities that such Person or Persons have the right to acquire pursuant to any option right) representing 35% or more of the combined voting power of such securities.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means all of the “</w:t>
      </w:r>
      <w:r>
        <w:rPr>
          <w:rFonts w:ascii="Arial" w:cs="Arial" w:eastAsia="Arial" w:hAnsi="Arial"/>
          <w:sz w:val="17"/>
          <w:szCs w:val="17"/>
          <w:u w:val="single" w:color="auto"/>
          <w:color w:val="auto"/>
        </w:rPr>
        <w:t>Collateral</w:t>
      </w:r>
      <w:r>
        <w:rPr>
          <w:rFonts w:ascii="Arial" w:cs="Arial" w:eastAsia="Arial" w:hAnsi="Arial"/>
          <w:sz w:val="17"/>
          <w:szCs w:val="17"/>
          <w:color w:val="auto"/>
        </w:rPr>
        <w:t>” and “</w:t>
      </w:r>
      <w:r>
        <w:rPr>
          <w:rFonts w:ascii="Arial" w:cs="Arial" w:eastAsia="Arial" w:hAnsi="Arial"/>
          <w:sz w:val="17"/>
          <w:szCs w:val="17"/>
          <w:u w:val="single" w:color="auto"/>
          <w:color w:val="auto"/>
        </w:rPr>
        <w:t>Mortgaged Property</w:t>
      </w:r>
      <w:r>
        <w:rPr>
          <w:rFonts w:ascii="Arial" w:cs="Arial" w:eastAsia="Arial" w:hAnsi="Arial"/>
          <w:sz w:val="17"/>
          <w:szCs w:val="17"/>
          <w:color w:val="auto"/>
        </w:rPr>
        <w:t>” referred to in the Collateral Documents and all of the other property that is or is intended under the terms of the Collateral Documents to be subject to Liens in favor of the Administrative Agent for the benefit of the Secured Parties.</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xml:space="preserve">” means, collectively, the Security Agreement, the Pledge Agreement, the Intellectual Property Security Agreement, the control agreements, each of the mortgages, collateral assignments, Security Agreement Supplements, IP Security Agreement Supplements, security agreements, pledge agreements or other similar agreements delivered to the Administrative Agent pursuant to </w:t>
      </w:r>
      <w:r>
        <w:rPr>
          <w:rFonts w:ascii="Arial" w:cs="Arial" w:eastAsia="Arial" w:hAnsi="Arial"/>
          <w:sz w:val="16"/>
          <w:szCs w:val="16"/>
          <w:u w:val="single" w:color="auto"/>
          <w:color w:val="auto"/>
        </w:rPr>
        <w:t>Section 6.12</w:t>
      </w:r>
      <w:r>
        <w:rPr>
          <w:rFonts w:ascii="Arial" w:cs="Arial" w:eastAsia="Arial" w:hAnsi="Arial"/>
          <w:sz w:val="16"/>
          <w:szCs w:val="16"/>
          <w:color w:val="auto"/>
        </w:rPr>
        <w:t>, and each of the other agreements, instruments or documents that creates or purports to create a Lien in favor of the Administrative Agent for the benefit of the Secured Parties.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a Revolving Credit Commitment, or (b) the amount of the applicable Lender’s portion of the Term Loan in relation to the aggregate amount of the Term Loan outstanding at such time, as the context may require.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 Notice</w:t>
      </w:r>
      <w:r>
        <w:rPr>
          <w:rFonts w:ascii="Arial" w:cs="Arial" w:eastAsia="Arial" w:hAnsi="Arial"/>
          <w:sz w:val="18"/>
          <w:szCs w:val="18"/>
          <w:color w:val="auto"/>
        </w:rPr>
        <w:t xml:space="preserve">” means a notice of (a) a Revolving Credit Borrowing, (b) a conversion of Loans from one Type to the other, or (c) a continuation of Eurodollar Rate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i w:val="1"/>
          <w:iCs w:val="1"/>
          <w:color w:val="auto"/>
        </w:rPr>
        <w:t>et seq.</w:t>
      </w:r>
      <w:r>
        <w:rPr>
          <w:rFonts w:ascii="Arial" w:cs="Arial" w:eastAsia="Arial" w:hAnsi="Arial"/>
          <w:sz w:val="16"/>
          <w:szCs w:val="16"/>
          <w:color w:val="auto"/>
        </w:rPr>
        <w:t>), as amended from time to time, and any successor statute.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jc w:val="both"/>
        <w:ind w:firstLine="76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w:t>
      </w:r>
      <w:r>
        <w:rPr>
          <w:rFonts w:ascii="Arial" w:cs="Arial" w:eastAsia="Arial" w:hAnsi="Arial"/>
          <w:sz w:val="18"/>
          <w:szCs w:val="18"/>
          <w:color w:val="auto"/>
        </w:rPr>
        <w:t>” means the calculated cost of Inventory, as determined from invoices received by Borrower or any of its Subsidiaries, Borrower’s or such Subsidiaries’ purchase journals or stock ledgers, based upon Borrower’s accounting practices, known to Administrative Agent, which practices are in effect on the date on which this Agreement was executed. “Cost” does not include any inventory capitalization costs inclusive of advertising, but may include other charges used in Borrower’s determination of cost of goods sold and bringing goods to market, all within Administrative Agent’s reasonable discretion and in accordance with GAAP.</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when used with respect to Obligations other than Letter of Credit Fees, an interest rate equal to (i) the LIBOR Daily Floating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if any, applicable to LIBOR Daily Floating Rate Loans under the Term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 Eurodollar Rate Loan, the Default Rate shall be an interest rate equal to the interest rate (including any Applicable Rate) otherwise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and (b) when used with respect to Letter of Credit Fees, a rate equal to the Applicable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w:t>
      </w:r>
    </w:p>
    <w:p>
      <w:pPr>
        <w:spacing w:after="0" w:line="18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2.15(b)</w:t>
      </w:r>
      <w:r>
        <w:rPr>
          <w:rFonts w:ascii="Arial" w:cs="Arial" w:eastAsia="Arial" w:hAnsi="Arial"/>
          <w:sz w:val="16"/>
          <w:szCs w:val="16"/>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or any other Lender any other amount required to be paid by it hereunder (including in respect of its participation in Letters of Credit) within two (2) Business Days of the date when due, (b) has notified the Borrower, the Administrative Agent or the L/C Issuer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and the Borrower), or (d) has, or has a direct or indirect parent company that has,</w:t>
      </w:r>
    </w:p>
    <w:p>
      <w:pPr>
        <w:spacing w:after="0" w:line="4" w:lineRule="exact"/>
        <w:rPr>
          <w:sz w:val="20"/>
          <w:szCs w:val="20"/>
          <w:color w:val="auto"/>
        </w:rPr>
      </w:pPr>
    </w:p>
    <w:p>
      <w:pPr>
        <w:jc w:val="both"/>
        <w:ind w:firstLine="8"/>
        <w:spacing w:after="0" w:line="267" w:lineRule="auto"/>
        <w:tabs>
          <w:tab w:leader="none" w:pos="244"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the effective date of such status, shall be conclusive and binding absent manifest error, and such Lender shall be deemed to be a Defaulting Lender (subject to </w:t>
      </w:r>
      <w:r>
        <w:rPr>
          <w:rFonts w:ascii="Arial" w:cs="Arial" w:eastAsia="Arial" w:hAnsi="Arial"/>
          <w:sz w:val="17"/>
          <w:szCs w:val="17"/>
          <w:u w:val="single" w:color="auto"/>
          <w:color w:val="auto"/>
        </w:rPr>
        <w:t>Section 2.15(b)</w:t>
      </w:r>
      <w:r>
        <w:rPr>
          <w:rFonts w:ascii="Arial" w:cs="Arial" w:eastAsia="Arial" w:hAnsi="Arial"/>
          <w:sz w:val="17"/>
          <w:szCs w:val="17"/>
          <w:color w:val="auto"/>
        </w:rPr>
        <w:t>) as of the date established therefor by the Administrative Agent in a written notice of such determination, which shall be delivered by the Administrative Agent to the Borrower, the L/C Issuer and each other Lender promptly following such determination.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itself is the subject of any Sanction (including, without limitation, Crimea, Cuba, Iran, North Korea, Sudan and Syria).</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under the laws of any political subdivision of the United States.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means for any period, Net Income for such period, after restoring thereto amounts deducted for (a) federal and state taxes in respect of income and profits, (b) Interest Expense and (c) depreciation and amortization, as determined in accordance with GAAP.</w:t>
      </w:r>
    </w:p>
    <w:p>
      <w:pPr>
        <w:spacing w:after="0" w:line="170" w:lineRule="exact"/>
        <w:rPr>
          <w:sz w:val="20"/>
          <w:szCs w:val="20"/>
          <w:color w:val="auto"/>
        </w:rPr>
      </w:pPr>
    </w:p>
    <w:p>
      <w:pPr>
        <w:jc w:val="both"/>
        <w:ind w:firstLine="76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Section 11.06(b)(iii), (v) and (vi)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Inventory</w:t>
      </w:r>
      <w:r>
        <w:rPr>
          <w:rFonts w:ascii="Arial" w:cs="Arial" w:eastAsia="Arial" w:hAnsi="Arial"/>
          <w:sz w:val="17"/>
          <w:szCs w:val="17"/>
          <w:color w:val="auto"/>
        </w:rPr>
        <w:t>” means Inventory of the Borrower and its Subsidiaries, the value of which shall be determined by its book value determined in accordance with GAAP; provided, however, that none of the following classes of Inventory shall be deemed to be Eligible Inventory:</w:t>
      </w:r>
    </w:p>
    <w:p>
      <w:pPr>
        <w:spacing w:after="0" w:line="147" w:lineRule="exact"/>
        <w:rPr>
          <w:sz w:val="20"/>
          <w:szCs w:val="20"/>
          <w:color w:val="auto"/>
        </w:rPr>
      </w:pPr>
    </w:p>
    <w:p>
      <w:pPr>
        <w:ind w:left="1820" w:hanging="515"/>
        <w:spacing w:after="0"/>
        <w:tabs>
          <w:tab w:leader="none" w:pos="1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Inventory that is obsolete, unusable or otherwise unavailable for sale;</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Inventory consisting of promotional, marketing, packaging or shipping materials and supplies;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left="1880" w:hanging="575"/>
        <w:spacing w:after="0"/>
        <w:tabs>
          <w:tab w:leader="none" w:pos="1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Inventory that fails to meet all standards imposed by any Governmental Authority having regulatory authority over such Inventory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 its use or sale;</w:t>
      </w:r>
    </w:p>
    <w:p>
      <w:pPr>
        <w:spacing w:after="0" w:line="210" w:lineRule="exact"/>
        <w:rPr>
          <w:rFonts w:ascii="Arial" w:cs="Arial" w:eastAsia="Arial" w:hAnsi="Arial"/>
          <w:sz w:val="16"/>
          <w:szCs w:val="16"/>
          <w:color w:val="auto"/>
        </w:rPr>
      </w:pPr>
    </w:p>
    <w:p>
      <w:pPr>
        <w:ind w:left="660" w:firstLine="645"/>
        <w:spacing w:after="0" w:line="277" w:lineRule="auto"/>
        <w:tabs>
          <w:tab w:leader="none" w:pos="18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Inventory that is subject to any licensing, patent, royalty, trademark, trade name or copyright agreement with any third party from which the Borrower or any of its Subsidiaries has received notice of a dispute in respect of any such agreement;</w:t>
      </w:r>
    </w:p>
    <w:p>
      <w:pPr>
        <w:spacing w:after="0" w:line="170" w:lineRule="exact"/>
        <w:rPr>
          <w:rFonts w:ascii="Arial" w:cs="Arial" w:eastAsia="Arial" w:hAnsi="Arial"/>
          <w:sz w:val="18"/>
          <w:szCs w:val="18"/>
          <w:color w:val="auto"/>
        </w:rPr>
      </w:pPr>
    </w:p>
    <w:p>
      <w:pPr>
        <w:ind w:left="1800" w:hanging="495"/>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8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Inventory that is not in the possession of or under the sole control of the Borrower or any of its Subsidiaries, unless the applicable third party has executed a collateral access agreement in favor of the Administrative Agent in form and substance reasonably acceptable to Administrative Agent;</w:t>
      </w:r>
    </w:p>
    <w:p>
      <w:pPr>
        <w:spacing w:after="0" w:line="181" w:lineRule="exact"/>
        <w:rPr>
          <w:rFonts w:ascii="Arial" w:cs="Arial" w:eastAsia="Arial" w:hAnsi="Arial"/>
          <w:sz w:val="18"/>
          <w:szCs w:val="18"/>
          <w:color w:val="auto"/>
        </w:rPr>
      </w:pPr>
    </w:p>
    <w:p>
      <w:pPr>
        <w:ind w:left="1820" w:hanging="515"/>
        <w:spacing w:after="0"/>
        <w:tabs>
          <w:tab w:leader="none" w:pos="1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Inventory consisting of work in progress; and</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Inventory with respect to which the representations and warranties set forth herein applicable to Inventory are not correct.</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Receivables</w:t>
      </w:r>
      <w:r>
        <w:rPr>
          <w:rFonts w:ascii="Arial" w:cs="Arial" w:eastAsia="Arial" w:hAnsi="Arial"/>
          <w:sz w:val="18"/>
          <w:szCs w:val="18"/>
          <w:color w:val="auto"/>
        </w:rPr>
        <w:t>” means Receivables of the Borrower and its Subsidiaries, the value of which shall be determined by taking into consideration, among other factors, their book value determined in accordance with GAAP; provided, however, that none of the following classes of Receivables shall be deemed to be Eligible Receivables:</w:t>
      </w:r>
    </w:p>
    <w:p>
      <w:pPr>
        <w:spacing w:after="0" w:line="181" w:lineRule="exact"/>
        <w:rPr>
          <w:sz w:val="20"/>
          <w:szCs w:val="20"/>
          <w:color w:val="auto"/>
        </w:rPr>
      </w:pPr>
    </w:p>
    <w:p>
      <w:pPr>
        <w:ind w:left="660" w:firstLine="645"/>
        <w:spacing w:after="0" w:line="277" w:lineRule="auto"/>
        <w:tabs>
          <w:tab w:leader="none" w:pos="1874"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Receivables that do not arise out of sales of goods or rendering of services in the ordinary course of the Borrower’s or the relevant Subsidiary’s business;</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Receivables that are otherwise on terms other than those normal or customary in the Borrower’s or the relevant Subsidiary’s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10" w:lineRule="exact"/>
        <w:rPr>
          <w:rFonts w:ascii="Arial" w:cs="Arial" w:eastAsia="Arial" w:hAnsi="Arial"/>
          <w:sz w:val="17"/>
          <w:szCs w:val="17"/>
          <w:color w:val="auto"/>
        </w:rPr>
      </w:pPr>
    </w:p>
    <w:p>
      <w:pPr>
        <w:ind w:left="1820" w:hanging="515"/>
        <w:spacing w:after="0"/>
        <w:tabs>
          <w:tab w:leader="none" w:pos="1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Receivables owing from any Person that is an Affiliate of the Borrower;</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Receivables more than 90 days past original invoice date or more than 60 days past the date due;</w:t>
      </w:r>
    </w:p>
    <w:p>
      <w:pPr>
        <w:spacing w:after="0" w:line="225" w:lineRule="exact"/>
        <w:rPr>
          <w:rFonts w:ascii="Arial" w:cs="Arial" w:eastAsia="Arial" w:hAnsi="Arial"/>
          <w:sz w:val="18"/>
          <w:szCs w:val="18"/>
          <w:color w:val="auto"/>
        </w:rPr>
      </w:pPr>
    </w:p>
    <w:p>
      <w:pPr>
        <w:ind w:left="660" w:firstLine="645"/>
        <w:spacing w:after="0" w:line="277" w:lineRule="auto"/>
        <w:tabs>
          <w:tab w:leader="none" w:pos="183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Receivables owing from any Person from which an aggregate amount of more than 20% of the Receivables owing therefrom is more than 60 days past the date due;</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8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Receivables owing from any Person that (i) has disputed liability for any Receivable owing from such Person or (ii) has otherwise asserted any claim, demand or liability against the Borrower or any of its Subsidiaries, whether by action, suit, counterclaim or otherwise; provided that for purposes of subclause (f)(i), such Receivables shall be excluded only to the extent of the amounts being disputed by such Person at any date of determination;</w:t>
      </w:r>
    </w:p>
    <w:p>
      <w:pPr>
        <w:spacing w:after="0" w:line="186" w:lineRule="exact"/>
        <w:rPr>
          <w:rFonts w:ascii="Arial" w:cs="Arial" w:eastAsia="Arial" w:hAnsi="Arial"/>
          <w:sz w:val="18"/>
          <w:szCs w:val="18"/>
          <w:color w:val="auto"/>
        </w:rPr>
      </w:pPr>
    </w:p>
    <w:p>
      <w:pPr>
        <w:ind w:left="2100" w:hanging="795"/>
        <w:spacing w:after="0"/>
        <w:tabs>
          <w:tab w:leader="none" w:pos="21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Receivables owing from any Person that shall take or be the subject of any action or proceeding of a type described in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u w:val="single" w:color="auto"/>
          <w:color w:val="auto"/>
        </w:rPr>
        <w:t>Section 8.01(f)</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ind w:left="660" w:firstLine="645"/>
        <w:spacing w:after="0" w:line="312" w:lineRule="auto"/>
        <w:tabs>
          <w:tab w:leader="none" w:pos="1909"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Receivables (i) owing from any Person that is also a supplier to or creditor of the Borrower or any of its Subsidiaries unless such Person has waived any right of setoff in a manner acceptable to the Administrative Agent or (ii) representing any manufacturer’s or supplier’s credits, discounts, incentive plans or similar arrangements entitling the Borrower or any of its Subsidiaries to discounts on future purchase therefrom;</w:t>
      </w:r>
    </w:p>
    <w:p>
      <w:pPr>
        <w:spacing w:after="0" w:line="146" w:lineRule="exact"/>
        <w:rPr>
          <w:rFonts w:ascii="Arial" w:cs="Arial" w:eastAsia="Arial" w:hAnsi="Arial"/>
          <w:sz w:val="16"/>
          <w:szCs w:val="16"/>
          <w:color w:val="auto"/>
        </w:rPr>
      </w:pPr>
    </w:p>
    <w:p>
      <w:pPr>
        <w:ind w:left="1780" w:hanging="475"/>
        <w:spacing w:after="0"/>
        <w:tabs>
          <w:tab w:leader="none" w:pos="1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60" w:firstLine="645"/>
        <w:spacing w:after="0" w:line="277" w:lineRule="auto"/>
        <w:tabs>
          <w:tab w:leader="none" w:pos="18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Receivables arising out of sales on a bill-and-hold, guaranteed sale, sale-or-return, sale on approval or consignment basis or subject to any right of return, setoff or charge back;</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8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Receivables owing from an account debtor that is an agency, department or instrumentality of the United States or any state thereof unless the Borrower or its relevant Subsidiary shall have satisfied the requirements of the Assignment of Claims Act of 1940, and any similar state legislation and the Administrative Agent is satisfied as to the absence of setoffs, counterclaims and other defenses on the part of such account debtor; and</w:t>
      </w:r>
    </w:p>
    <w:p>
      <w:pPr>
        <w:spacing w:after="0" w:line="186" w:lineRule="exact"/>
        <w:rPr>
          <w:rFonts w:ascii="Arial" w:cs="Arial" w:eastAsia="Arial" w:hAnsi="Arial"/>
          <w:sz w:val="18"/>
          <w:szCs w:val="18"/>
          <w:color w:val="auto"/>
        </w:rPr>
      </w:pPr>
    </w:p>
    <w:p>
      <w:pPr>
        <w:ind w:left="1780" w:hanging="475"/>
        <w:spacing w:after="0"/>
        <w:tabs>
          <w:tab w:leader="none" w:pos="1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Receivables with respect to which the representations and warranties set forth in herein applicable to Receivables are not correct.</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Plan amendment as a termination under Section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or (f) the imposition of any liability under Title IV of ERISA, other than for PBGC premiums due but not delinquent under Section 4007 of ERISA, upon the Borrower or any ERISA Affiliate.</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Base Rate</w:t>
      </w:r>
      <w:r>
        <w:rPr>
          <w:rFonts w:ascii="Arial" w:cs="Arial" w:eastAsia="Arial" w:hAnsi="Arial"/>
          <w:sz w:val="18"/>
          <w:szCs w:val="18"/>
          <w:color w:val="auto"/>
        </w:rPr>
        <w:t>” has the meaning specified in the definition of Eurodollar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means:</w:t>
      </w:r>
    </w:p>
    <w:p>
      <w:pPr>
        <w:spacing w:after="0" w:line="225" w:lineRule="exact"/>
        <w:rPr>
          <w:sz w:val="20"/>
          <w:szCs w:val="20"/>
          <w:color w:val="auto"/>
        </w:rPr>
      </w:pPr>
    </w:p>
    <w:p>
      <w:pPr>
        <w:jc w:val="both"/>
        <w:ind w:left="660" w:firstLine="645"/>
        <w:spacing w:after="0" w:line="255" w:lineRule="auto"/>
        <w:tabs>
          <w:tab w:leader="none" w:pos="1951"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any Interest Period with respect to a Eurodollar Rate Loan, the rate per annum equal to the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and if the Eurodollar Rate shall be less than zero, such rate shall be deemed zero for purposes of this Agreement; and</w:t>
      </w:r>
    </w:p>
    <w:p>
      <w:pPr>
        <w:spacing w:after="0" w:line="193" w:lineRule="exact"/>
        <w:rPr>
          <w:rFonts w:ascii="Arial" w:cs="Arial" w:eastAsia="Arial" w:hAnsi="Arial"/>
          <w:sz w:val="18"/>
          <w:szCs w:val="18"/>
          <w:color w:val="auto"/>
        </w:rPr>
      </w:pPr>
    </w:p>
    <w:p>
      <w:pPr>
        <w:ind w:left="660" w:firstLine="645"/>
        <w:spacing w:after="0" w:line="342" w:lineRule="auto"/>
        <w:tabs>
          <w:tab w:leader="none" w:pos="1839"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 any interest calculation with respect to a Base Rate Loan on any date, the rate per annum equal to LIBOR, at or about 11:00 a.m., London time determined two Business Days prior to such date for U.S. Dollar deposits with a term of one month commencing that day;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ind w:firstLine="648"/>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the Eurodollar Rate shall be less than zero, such rate shall be deemed zero for purposes of this Agreement, and (ii) to the extent a comparable or successor rate is approved by the Administrative Agent in connection herewith, the approved rate shall be applied in a manner consistent with market practice;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to the extent such market practice is not administratively feasible for the Administrative Agent, such approval rate shall be applied in a manner as otherwise reasonably determined by the Administrative Agent.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means a Loan that bears interest at a rate based on the Eurodollar Rate.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Reserve Percentage</w:t>
      </w:r>
      <w:r>
        <w:rPr>
          <w:rFonts w:ascii="Arial" w:cs="Arial" w:eastAsia="Arial" w:hAnsi="Arial"/>
          <w:sz w:val="18"/>
          <w:szCs w:val="18"/>
          <w:color w:val="auto"/>
        </w:rPr>
        <w:t>” means, for any day during any Interest Period, the reserve percentage (expressed as a decimal, carried out to five decimal places) in effect on such day, whether or not applicable to any Lender, under regulations issued from time to time by the FRB for determining the maximum reserve requirement (including any emergency, supplemental or other marginal reserve requirement) with respect to Eurocurrency funding (currently referred to as “Eurocurrency liabilities”). The Eurodollar Rate for each outstanding Eurodollar Rate Loan shall be adjusted automatically as of the effective date of any change in the Eurodollar Reserve Percentage.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xml:space="preserve">”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Arial" w:cs="Arial" w:eastAsia="Arial" w:hAnsi="Arial"/>
          <w:sz w:val="17"/>
          <w:szCs w:val="17"/>
          <w:u w:val="single" w:color="auto"/>
          <w:color w:val="auto"/>
        </w:rPr>
        <w:t>Section 11.20(b)</w:t>
      </w:r>
      <w:r>
        <w:rPr>
          <w:rFonts w:ascii="Arial" w:cs="Arial" w:eastAsia="Arial" w:hAnsi="Arial"/>
          <w:sz w:val="17"/>
          <w:szCs w:val="17"/>
          <w:color w:val="auto"/>
        </w:rPr>
        <w:t xml:space="preserve"> and any other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8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3.01(a)(ii), (a)(iii)</w:t>
      </w:r>
      <w:r>
        <w:rPr>
          <w:rFonts w:ascii="Arial" w:cs="Arial" w:eastAsia="Arial" w:hAnsi="Arial"/>
          <w:sz w:val="16"/>
          <w:szCs w:val="16"/>
          <w:color w:val="auto"/>
        </w:rPr>
        <w:t xml:space="preserve"> or</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(d) any U.S. federal withholding Taxes imposed pursuant to FATCA.</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Receipt</w:t>
      </w:r>
      <w:r>
        <w:rPr>
          <w:rFonts w:ascii="Arial" w:cs="Arial" w:eastAsia="Arial" w:hAnsi="Arial"/>
          <w:sz w:val="18"/>
          <w:szCs w:val="18"/>
          <w:color w:val="auto"/>
        </w:rPr>
        <w:t xml:space="preserve">” means any cash received by or paid to or for the account of any Person not in the ordinary course of business, including tax refunds, pension plan reversions, proceeds of insurance (other than proceeds of business interruption insurance to the extent such proceeds constitute compensation for lost earnings), condemnation awards (and payments in lieu thereof), indemnity payments and any purchase price adjustments;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 Extraordinary Receipt shall not include cash receipts from proceeds of insurance, condemnation awards (or payments in lieu thereof) or indemnity payments to the extent that such proceeds, awards or payments (a) in respect of loss or damage to equipment, fixed assets or real property are applied (or in respect of which expenditures were previously incurred) to replace or repair the equipment, fixed assets or real property in respect of which such proceeds were received in accordance with the terms of </w:t>
      </w:r>
      <w:r>
        <w:rPr>
          <w:rFonts w:ascii="Arial" w:cs="Arial" w:eastAsia="Arial" w:hAnsi="Arial"/>
          <w:sz w:val="18"/>
          <w:szCs w:val="18"/>
          <w:u w:val="single" w:color="auto"/>
          <w:color w:val="auto"/>
        </w:rPr>
        <w:t>Section 2.05(b)(v)</w:t>
      </w:r>
      <w:r>
        <w:rPr>
          <w:rFonts w:ascii="Arial" w:cs="Arial" w:eastAsia="Arial" w:hAnsi="Arial"/>
          <w:sz w:val="18"/>
          <w:szCs w:val="18"/>
          <w:color w:val="auto"/>
        </w:rPr>
        <w:t xml:space="preserve"> or (b) are received by any Person in respect of any third party claim against such Person and applied to pay (or to reimburse such Person for its prior payment of) such claim and the costs and expenses of such Person with respect thereto.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Term Loan or the Revolving Credit Facility, as the context may require.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substantially comparable and not materially more onerous to comply with), any current or future regulations or official interpretations thereof and any agreements entered into pursuant to Section 1471(b)(1) of the Code, any intergovernmental agreements implementing any of the foregoing, and any fiscal or regulatory legislation, rules or procedures adopted pursuant to the foregoing.</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organized under the Laws of a jurisdiction other than that in which the Borrower is resident for tax purposes (including such a Lender when acting in the capacity of the L/C Issuer). For purposes of this definition, the United States, each State thereof and the District of Columbia shall be deemed to constitute a single jurisdiction. “</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that is a Revolving Lender with respect to the L/C Issuer, such Defaulting Lender’s Applicable Percentage of the Outstanding L/C Obligations other than L/C Obligations as to which such Defaulting Lender’s participation obligation has been reallocated to other Revolving Lenders or Cash Collateralized in accordance with the terms hereof.</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Debt</w:t>
      </w:r>
      <w:r>
        <w:rPr>
          <w:rFonts w:ascii="Arial" w:cs="Arial" w:eastAsia="Arial" w:hAnsi="Arial"/>
          <w:sz w:val="18"/>
          <w:szCs w:val="18"/>
          <w:color w:val="auto"/>
        </w:rPr>
        <w:t>” means all Indebtedness to the Lenders, all Indebtedness for borrowed money incurred in connection with Permitted Acquisitions which is not subordinated to the Indebtedness owing to the Lenders hereunder and all Indebtedness in respect of Capital Leases.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Intangible</w:t>
      </w:r>
      <w:r>
        <w:rPr>
          <w:rFonts w:ascii="Arial" w:cs="Arial" w:eastAsia="Arial" w:hAnsi="Arial"/>
          <w:sz w:val="18"/>
          <w:szCs w:val="18"/>
          <w:color w:val="auto"/>
        </w:rPr>
        <w:t>” means all of Borrowers’ and its Subsidiaries’ now owned or hereafter acquired right, title, and interest with respect to “general intangibles” (as such term is defined from time to time in the Code), and any and all supporting obligations in respect thereof.</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as to any Person, any (a) any obligation, contingent or otherwise, of such Person guaranteeing or having the economic effect of guaranteeing any Indebtedness or other obligation payable or performable by another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7"/>
          <w:szCs w:val="17"/>
          <w:u w:val="single" w:color="auto"/>
          <w:color w:val="auto"/>
        </w:rPr>
        <w:t>Guarantee</w:t>
      </w:r>
      <w:r>
        <w:rPr>
          <w:rFonts w:ascii="Arial" w:cs="Arial" w:eastAsia="Arial" w:hAnsi="Arial"/>
          <w:sz w:val="17"/>
          <w:szCs w:val="17"/>
          <w:color w:val="auto"/>
        </w:rPr>
        <w:t>” as a verb has a corresponding meaning.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collectively, all direct and indirect Domestic Subsidiaries of the Borrower and each other Subsidiary of the Borrower that shall be required to execute and deliver a guaranty or guaranty supplement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collectively, that certain Guaranty dated as of March 29, 2013 by and among Borrower, the Guarantors and the Administrative Agent, together with each other guaranty and guaranty supplement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in each case as amended, modified, supplemented or restated from time to time.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xml:space="preserve">” means any Person that, at the time it enters into an interest rate Swap Contract required or permitted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 is a Lender or an Affiliate of a Lender, in its capacity as a party to such Swap Contract.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has the meaning specified in Section 3.03.</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shall mean as applied to any Person, (i) all items (except items of capital or surplus or of retained earnings) which in accordance with GAAP would be included in determining total liabilities as shown on the liability side of the balance sheet of such Person as of the date of which Indebtedness is to be determined, including without limitation subordinated debt, if any, and any Capital Lease, (ii) all indebtedness secured by any mortgage, pledge, lien or conditional sale or other title retention agreement to which any property or asset owned or held by such Person is subject, whether or not the indebtedness secured thereby shall have been assumed, and (iii) all indebtedness of others which such Person has directly or indirectly guaranteed, endorsed (otherwise than for collection or deposit in the ordinary course of business), discounted or sold with recourse or agreed (contingently or otherwise) to purchase or repurchase or otherwise acquire, or in respect of which such Person has agreed to supply or advance funds (whether by way of loan, stock purchase, capital contributions or otherwise) or otherwise to become directly or indirectly liable. For avoidance of doubt, the parties hereby agree that the term Indebtedness shall not include the issuance of any equity interests by the Borrower and/or any of its Subsidiaries, whether such equity interests constitute common stock or preferred stock.</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means that certain Intellectual Property Security Agreement dated as of March 29, 2013 by and among the Borrower, the Administrative Agent, and the other parties identified as “Grantors” therein, as amended, modified, supplemented or restated from time to time.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Charges</w:t>
      </w:r>
      <w:r>
        <w:rPr>
          <w:rFonts w:ascii="Arial" w:cs="Arial" w:eastAsia="Arial" w:hAnsi="Arial"/>
          <w:sz w:val="18"/>
          <w:szCs w:val="18"/>
          <w:color w:val="auto"/>
        </w:rPr>
        <w:t>” means, for any Measurement Period,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(b) all interest paid or payable with respect to discontinued operations and (c) the portion of rent expense under Capitalized Leases that is treated as interest in accordance with GAAP, in each case, of or by the Borrower and its Subsidiaries on a consolidated basis for the most recently completed Measurement Period.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means cash Interest Charges paid or payable on Funded Debt.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as to any Eurodollar Rate Loan, the last day of each Interest Period applicable to such Loan and the Maturity Date of the Facility under which such Loan was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Interest Period for a Eurodollar Rate Loan exceeds three months, the respective dates that fall every three months after the beginning of such Interest Period shall also be Interest Payment Dates; and (b) as to any LIBOR Daily Floating Rate Loan, the last Business Day of each calendar month and the Maturity Date of the Facility under which such Loan was made.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Eurodollar Rate Loan, the period commencing on the date such Eurodollar Rate Loan is disbursed or converted to or continued as a Eurodollar Rate Loan and ending on the date one, two or three months thereafter, as selected by the Borrower in its Committed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ind w:left="660" w:right="20" w:firstLine="645"/>
        <w:spacing w:after="0" w:line="342" w:lineRule="auto"/>
        <w:tabs>
          <w:tab w:leader="none" w:pos="1864"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23" w:lineRule="exact"/>
        <w:rPr>
          <w:rFonts w:ascii="Arial" w:cs="Arial" w:eastAsia="Arial" w:hAnsi="Arial"/>
          <w:sz w:val="16"/>
          <w:szCs w:val="16"/>
          <w:color w:val="auto"/>
        </w:rPr>
      </w:pPr>
    </w:p>
    <w:p>
      <w:pPr>
        <w:jc w:val="both"/>
        <w:ind w:left="660" w:firstLine="645"/>
        <w:spacing w:after="0" w:line="264" w:lineRule="auto"/>
        <w:tabs>
          <w:tab w:leader="none" w:pos="20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left="660" w:firstLine="645"/>
        <w:spacing w:after="0" w:line="277" w:lineRule="auto"/>
        <w:tabs>
          <w:tab w:leader="none" w:pos="20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 of the Facility under which such Loan was made, unless otherwise consented to by the Borrower, Lenders and Administrative Agent.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means all Borrower’s and its Subsidiaries now owned or hereafter acquired right, title, and interest with respect to inventory, including goods held for sale or lease or to be furnished under a contract of service, goods that are leased by Borrower or any of its Subsidiaries as lessor, goods that are furnished by Borrower or any of its Subsidiaries under a contract of service, and raw materials, work in process, or materials used or consumed in Borrower’s or any of its Subsidiaries’ business.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or all or a substantial part of the business of, such Person. For purposes of covenant compliance, the amount of any Investment shall be the amount actually invested, without adjustment for subsequent increases or decreases in the value of such Investment.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Security Agreement Supplement</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Documents</w:t>
      </w:r>
      <w:r>
        <w:rPr>
          <w:rFonts w:ascii="Arial" w:cs="Arial" w:eastAsia="Arial" w:hAnsi="Arial"/>
          <w:sz w:val="17"/>
          <w:szCs w:val="17"/>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Revolving Credit Lender, such Lender’s funding of its participation in any L/C Borrowing in accordance with its Applicable Revolving Credit Percentage.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Revolving Credit Borrowing.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Issuer</w:t>
      </w:r>
      <w:r>
        <w:rPr>
          <w:rFonts w:ascii="Arial" w:cs="Arial" w:eastAsia="Arial" w:hAnsi="Arial"/>
          <w:sz w:val="16"/>
          <w:szCs w:val="16"/>
          <w:color w:val="auto"/>
        </w:rPr>
        <w:t>” means Bank of America in its capacity as issuer of Letters of Credit hereunder, or any successor issuer of Letters of Credit hereunder.</w:t>
      </w:r>
    </w:p>
    <w:p>
      <w:pPr>
        <w:spacing w:after="0" w:line="2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Obligations</w:t>
      </w:r>
      <w:r>
        <w:rPr>
          <w:rFonts w:ascii="Arial" w:cs="Arial" w:eastAsia="Arial" w:hAnsi="Arial"/>
          <w:sz w:val="17"/>
          <w:szCs w:val="17"/>
          <w:color w:val="auto"/>
        </w:rPr>
        <w:t xml:space="preserve">” means, as at any date of determination, the aggregate amount available to be drawn under all outstanding Letters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 and, as the context requires.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hereunder and, for avoidance of doubt, excludes any commercial, documentary or other types of letters of credit.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L/C Issuer.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seven days prior to the Maturity Date then in effect for the Revolving Credit Facility (or, if such day is not a Business Day, the next preceding Business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$3,000,000. The Letter of Credit Sublimit is part of, and not in addition to, the Revolving Credit Facility.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w:t>
      </w:r>
      <w:r>
        <w:rPr>
          <w:rFonts w:ascii="Arial" w:cs="Arial" w:eastAsia="Arial" w:hAnsi="Arial"/>
          <w:sz w:val="17"/>
          <w:szCs w:val="17"/>
          <w:color w:val="auto"/>
        </w:rPr>
        <w:t>” for any Interest Period with respect to a Eurodollar Rate Loan or a Loan bearing interest at the LIBOR Daily Floating Rate, the rate per annum equal to the London Interbank Offered Rate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London time, two Business Days prior to the commencement of an Interest Period or the LIBOR Rate, respectively, for Dollar deposits (for delivery on the first day of such Interest Period or period for such LIBOR Rate) LIBOR with a term equivalent to one (1) month term beginning on that date which LIBOR is effective for such period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 Daily Floating Rate</w:t>
      </w:r>
      <w:r>
        <w:rPr>
          <w:rFonts w:ascii="Arial" w:cs="Arial" w:eastAsia="Arial" w:hAnsi="Arial"/>
          <w:sz w:val="17"/>
          <w:szCs w:val="17"/>
          <w:color w:val="auto"/>
        </w:rPr>
        <w:t xml:space="preserve">” means: LIBOR with a term equivalent to one (1) month term beginning on that date which LIBOR is effective for such period provided that: (i) to the extent a comparable or successor rate is approved by the Administrative Agent in connection herewith, the approved rate shall be applied in a manner consistent with market practice;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to the extent such market practice is not administratively feasible for the Administrative Agent, such approved rate shall be applied in a manner as otherwise reasonably determined by the Administrative Agent and (ii) if the LIBOR Daily Floating Rate shall be less than zero, such rate shall be deemed zero for purposes of this Agreement</w:t>
      </w:r>
      <w:r>
        <w:rPr>
          <w:rFonts w:ascii="Arial" w:cs="Arial" w:eastAsia="Arial" w:hAnsi="Arial"/>
          <w:sz w:val="17"/>
          <w:szCs w:val="17"/>
          <w:u w:val="single" w:color="auto"/>
          <w:color w:val="auto"/>
        </w:rPr>
        <w:t>.</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w:t>
      </w:r>
      <w:r>
        <w:rPr>
          <w:rFonts w:ascii="Arial" w:cs="Arial" w:eastAsia="Arial" w:hAnsi="Arial"/>
          <w:sz w:val="17"/>
          <w:szCs w:val="17"/>
          <w:color w:val="auto"/>
        </w:rPr>
        <w:t xml:space="preserve">” means an extension of credit by a Lender to the Borrower under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 the form of a Term Loan or a Revolving Credit Loan.</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(a) this Agreement, (b) the Notes, (c) the Guaranty, (d) the Collateral Documents and (e) each Issuer Document.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each Guarantor.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shall mean any event, matter or condition which is reasonably likely to have a material adverse effect on (a) the business, assets, properties, liabilities (actual or contingent), operations or conditions (financial or otherwise) of the Borrower and its Subsidiaries taken as a whole,</w:t>
      </w:r>
    </w:p>
    <w:p>
      <w:pPr>
        <w:ind w:firstLine="8"/>
        <w:spacing w:after="0" w:line="261" w:lineRule="auto"/>
        <w:tabs>
          <w:tab w:leader="none" w:pos="25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Borrower’s or any Guarantor’s ability to pay and perform its obligations under the Loan Documents, (c) the rights and remedies of the Administrative Agent or the Lenders under the Loan Documents, and/or (d) the Eligible Receivables or the Eligible Inventory.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means the “Material Agreements” listed on the Borrower’s most recent Form 10K filed with the SEC, as supplemented by the Borrower’s Forms 10Q and 8K filed with the SEC thereafter and, with respect to any other Person, each contract to which such Person is a party involving aggregate consideration payable to or by such Person of $4,000,000 or more in any year or otherwise if terminated by the counterparty could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(a) with respect to the Revolving Credit Facility, May 1, 2022 and (b) with respect to the Term Loan, May 1, 2022;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if such date is not a Business Day, the Maturity Date shall be the next preceding Business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means, at any date of determination, the most recently completed four fiscal quarters of the Borrower.</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Collateral Amount</w:t>
      </w:r>
      <w:r>
        <w:rPr>
          <w:rFonts w:ascii="Arial" w:cs="Arial" w:eastAsia="Arial" w:hAnsi="Arial"/>
          <w:sz w:val="16"/>
          <w:szCs w:val="16"/>
          <w:color w:val="auto"/>
        </w:rPr>
        <w:t xml:space="preserve">” means, at any time, (a) with respect to Cash Collateral consisting of cash or deposit account balances provided to reduce or eliminate Fronting Exposure during any period when a Lender constitutes a Defaulting Lender, an amount equal to 103% of the Fronting Exposure of the L/C Issuer with respect to Letters of Credit issued and outstanding at such time, (b) with respect to Cash Collateral consisting of cash or deposit account balances provided in accordance with the provisions of </w:t>
      </w:r>
      <w:r>
        <w:rPr>
          <w:rFonts w:ascii="Arial" w:cs="Arial" w:eastAsia="Arial" w:hAnsi="Arial"/>
          <w:sz w:val="16"/>
          <w:szCs w:val="16"/>
          <w:u w:val="single" w:color="auto"/>
          <w:color w:val="auto"/>
        </w:rPr>
        <w:t>Section 2.14(a)(i)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(a)(iv)</w:t>
      </w:r>
      <w:r>
        <w:rPr>
          <w:rFonts w:ascii="Arial" w:cs="Arial" w:eastAsia="Arial" w:hAnsi="Arial"/>
          <w:sz w:val="16"/>
          <w:szCs w:val="16"/>
          <w:color w:val="auto"/>
        </w:rPr>
        <w:t>, an amount equal to 103% of the Outstanding Amount of all L/C Obligations, and (c) otherwise, an amount determined by the Administrative Agent and the L/C Issuer in their sole discretion.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225" w:lineRule="exact"/>
        <w:rPr>
          <w:sz w:val="20"/>
          <w:szCs w:val="20"/>
          <w:color w:val="auto"/>
        </w:rPr>
      </w:pPr>
    </w:p>
    <w:p>
      <w:pPr>
        <w:jc w:val="both"/>
        <w:ind w:left="660" w:firstLine="645"/>
        <w:spacing w:after="0" w:line="289" w:lineRule="auto"/>
        <w:tabs>
          <w:tab w:leader="none" w:pos="1938"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with respect to any Disposition by the Borrower or any of its Subsidiaries, or any Extraordinary Receipt received or paid to the account of the Borrower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 (B) the reasonable and customary out-of-pocket expenses incurred by the Borrower or such Subsidiary in connection with such transaction and (C) income taxes reasonably estimated to be actually payable within two years of the date of the relevant transaction as a result of any gain recognized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of any estimated taxes pursuant to subclause (C) exceeds the amount of taxes actually required to be paid in cash in respect of such Disposition, the aggregate amount of such excess shall constitute Net Cash Proceeds; and</w:t>
      </w:r>
    </w:p>
    <w:p>
      <w:pPr>
        <w:spacing w:after="0" w:line="166" w:lineRule="exact"/>
        <w:rPr>
          <w:rFonts w:ascii="Arial" w:cs="Arial" w:eastAsia="Arial" w:hAnsi="Arial"/>
          <w:sz w:val="16"/>
          <w:szCs w:val="16"/>
          <w:color w:val="auto"/>
        </w:rPr>
      </w:pPr>
    </w:p>
    <w:p>
      <w:pPr>
        <w:jc w:val="both"/>
        <w:ind w:left="660" w:firstLine="645"/>
        <w:spacing w:after="0" w:line="259" w:lineRule="auto"/>
        <w:tabs>
          <w:tab w:leader="none" w:pos="18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the sale or issuance of any Equity Interest by the Borrower or any of its Subsidiaries, or the incurrence or issuance of any Indebtedness by the Borrower or any of its Subsidiaries, the excess of (i) the sum of the cash and Cash Equivalents received in connection with such transaction over (ii) the underwriting discounts and commissions, and other reasonable and customary out-of-pocket expenses, incurred by the Borrower or such Subsidiary in connection therewith.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for any period, shall mean net income (or loss) for such period, determined in accordance with GAAP.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Term Note or a Revolving Credit Note, as the context may require.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NPL</w:t>
      </w:r>
      <w:r>
        <w:rPr>
          <w:rFonts w:ascii="Arial" w:cs="Arial" w:eastAsia="Arial" w:hAnsi="Arial"/>
          <w:sz w:val="18"/>
          <w:szCs w:val="18"/>
          <w:color w:val="auto"/>
        </w:rPr>
        <w:t>” means the National Priorities List under CERCLA.</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all advances to, and debts, liabilities, obligations, covenants and duties of, any Loan Party arising under any Loan Document or otherwise with respect to any Loan, Letter of Credit,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Obligations shall exclude any Excluded Swap Obligations.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Treasury.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 under, received or perfected a security interest under, engaged in any other transaction pursuant to or enforced any Loan Document, or sold or assigned an interest in any Loan or Loan Documents).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(a) with respect to the Term Loan and Revolving Credit Loans on any date, the aggregate outstanding principal amount thereof after giving effect to any borrowings and prepayments or repayments of the Term Loan and Revolving Credit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(as such term is defined in Section 3(2) of ERISA), other than a Multiemployer Plan, that is subject to Title IV of ERISA and is sponsored or maintained by the Borrower or any ERISA Affiliate or to which the Borrower or any ERISA Affiliate contributes or has an obligation to contribute, or in the case of a multiple employer or other plan described in Section 4064(a) of ERISA, has made contributions at any time during the immediately preceding five plan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7.03(g)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(as such term is defined in Section 3(3) of ERISA) established by the Borrower or, with respect to any such plan that is subject to Section 412 of the Code or Title IV of ERISA, any ERISA Affiliate.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w:t>
      </w:r>
      <w:r>
        <w:rPr>
          <w:rFonts w:ascii="Arial" w:cs="Arial" w:eastAsia="Arial" w:hAnsi="Arial"/>
          <w:sz w:val="18"/>
          <w:szCs w:val="18"/>
          <w:color w:val="auto"/>
        </w:rPr>
        <w:t>” means, collectively, (a) that certain Stock Pledge Agreement dated as of March 29, 2013 by and between the Borrower and the Administrative Agent, and (b) that certain Stock Pledge Agreement dated as of March 29, 2013 by and between the Guarantors and the Administrative Agent, in each case as amended, modified, supplemented or restated from time to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Debt</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Equity</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shall mean, at any time, each Loan Party with total assets exceeding $10,000,000 or that qualifies at such time as an “eligible contract participant” under the Commodity Exchange Act and can cause another person to qualify as an “eligible contract participant” at such time under §1a(18)(A)(v)(II) of the Commodity Exchange Act.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“accounts” as such term is defined in the UCC.</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the L/C Issuer or any other recipient of any payment to be made by or on account of any Obligation of any Loan Party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Reduction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2.05(b)(vii)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the Term Loan or Revolving Credit Loans, a Committed Loan Notice and (b) with respect to an L/C Credit Extension, a Letter of Credit Application.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as of any date of determination, if there are two Lenders (with each Lender and its Affiliate constituting one Lender), then both Lenders, and if more than two Lenders, (a) the Required Revolving Lenders; and (b) the Required Term Lenders.</w:t>
      </w:r>
    </w:p>
    <w:p>
      <w:pPr>
        <w:spacing w:after="0" w:line="1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Revolving Lenders</w:t>
      </w:r>
      <w:r>
        <w:rPr>
          <w:rFonts w:ascii="Arial" w:cs="Arial" w:eastAsia="Arial" w:hAnsi="Arial"/>
          <w:sz w:val="17"/>
          <w:szCs w:val="17"/>
          <w:color w:val="auto"/>
        </w:rPr>
        <w:t xml:space="preserve">” means, as of any date of determination, Revolving Credit Lenders holding at least 66-⅔% of the sum of the (a) Total Revolving Credit Outstandings (with the aggregate amount of each Revolving Credit Lender’s risk participation and funded participation in L/C Obligations being deemed “held” by such Revolving Credit Lender for purposes of this definition) and (b) aggregate unused Revolving Credit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unused Revolving Credit Commitment of, and the portion of the Total Revolving Credit Outstandings held or deemed held by, any Defaulting Lender shall be excluded for purposes of making a determination of Required Revolving Lenders.</w:t>
      </w:r>
    </w:p>
    <w:p>
      <w:pPr>
        <w:spacing w:after="0" w:line="1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Term Lenders</w:t>
      </w:r>
      <w:r>
        <w:rPr>
          <w:rFonts w:ascii="Arial" w:cs="Arial" w:eastAsia="Arial" w:hAnsi="Arial"/>
          <w:sz w:val="18"/>
          <w:szCs w:val="18"/>
          <w:color w:val="auto"/>
        </w:rPr>
        <w:t xml:space="preserve">” means, as of any date of determination, the Term Lenders holding at least 66-2/3% of the aggregate of the Term Loan outstanding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portion of the Term Loan held by any Defaulting Lender shall be excluded for purposes of making a determination of Required Term Lenders.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the chief executive officer, president, chief financial officer, treasurer, assistant treasurer or controller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and, solely for purposes of notices given pursuant to Article II,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Restated Obligations</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(i) any cash dividend or other cash distribution or payment, direct or indirect, on or on account of any shares of any class of stock of the Borrower now or hereafter outstanding or (ii) any redemption, purchase or other acquisition, direct or indirect, of any shares of any class of stock of the Borrower now or hereafter outstanding or of any warrants, options or rights to purchase any such stock (including, without limitation, the repurchase of any such stock, warrant, option or right or any refund of the purchase price thereof in connection with the exercise by the holder thereof of any right of rescission or similar remedies with respect thereto).</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Borrowing</w:t>
      </w:r>
      <w:r>
        <w:rPr>
          <w:rFonts w:ascii="Arial" w:cs="Arial" w:eastAsia="Arial" w:hAnsi="Arial"/>
          <w:sz w:val="18"/>
          <w:szCs w:val="18"/>
          <w:color w:val="auto"/>
        </w:rPr>
        <w:t xml:space="preserve">” means a borrowing consisting of simultaneous Revolving Credit Loans of the same Type and, in the case of Eurodollar Rate Loans, having the same Interest Period made by each of the Revolving Credit Lenders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Commitment</w:t>
      </w:r>
      <w:r>
        <w:rPr>
          <w:rFonts w:ascii="Arial" w:cs="Arial" w:eastAsia="Arial" w:hAnsi="Arial"/>
          <w:sz w:val="17"/>
          <w:szCs w:val="17"/>
          <w:color w:val="auto"/>
        </w:rPr>
        <w:t xml:space="preserve">” means, as to each Revolving Credit Lender, its obligation to (a) make Revolving Credit Loans to the Borrower pursuant to </w:t>
      </w:r>
      <w:r>
        <w:rPr>
          <w:rFonts w:ascii="Arial" w:cs="Arial" w:eastAsia="Arial" w:hAnsi="Arial"/>
          <w:sz w:val="17"/>
          <w:szCs w:val="17"/>
          <w:u w:val="single" w:color="auto"/>
          <w:color w:val="auto"/>
        </w:rPr>
        <w:t>Section 2.01(b)(ii)</w:t>
      </w:r>
      <w:r>
        <w:rPr>
          <w:rFonts w:ascii="Arial" w:cs="Arial" w:eastAsia="Arial" w:hAnsi="Arial"/>
          <w:sz w:val="17"/>
          <w:szCs w:val="17"/>
          <w:color w:val="auto"/>
        </w:rPr>
        <w:t xml:space="preserve"> and (b) purchase participations in L/C Obligations , in an aggregate principal amount at any one time outstanding not to exceed the amount set forth opposite such Lender’s name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under the caption “Revolving Credit Commitment” or opposite such caption in the Assignment and Assumption pursuant to which such Lender becomes a party hereto, as applicable, as such amount may be adjusted from time to time in accordance with this Agreement. The aggregate amount of the Revolving Credit Commitments on the Third A&amp;R Effective Date is $25,000,000, which amount may be reduced from time to time in accordance with the terms of this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Facility</w:t>
      </w:r>
      <w:r>
        <w:rPr>
          <w:rFonts w:ascii="Arial" w:cs="Arial" w:eastAsia="Arial" w:hAnsi="Arial"/>
          <w:sz w:val="17"/>
          <w:szCs w:val="17"/>
          <w:color w:val="auto"/>
        </w:rPr>
        <w:t>” means, at any time, the aggregate amount of the Revolving Credit Lenders’ Revolving Credit Commitments at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means, at any time, any Lender that has a Revolving Credit Commitment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w:t>
      </w:r>
      <w:r>
        <w:rPr>
          <w:rFonts w:ascii="Arial" w:cs="Arial" w:eastAsia="Arial" w:hAnsi="Arial"/>
          <w:sz w:val="18"/>
          <w:szCs w:val="18"/>
          <w:color w:val="auto"/>
        </w:rPr>
        <w:t xml:space="preserve">” means a promissory note made by the Borrower in favor of a Revolving Credit Lender evidencing Revolving Credit Loans, as the case may be, made by such Revolving Credit Lender,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any successor thereto.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sanction administered or enforced by the United States Government (including without limitation, OFAC), the United Nations Security Council, the European Union, Her Majesty’s Treasury, or other relevant sanctions authority.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means any Cash Management Agreement that is entered into by and between any Loan Party and any Cash Management Bank.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xml:space="preserve">” means any interest rate Swap Contract required or permitted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that is entered into by and between any Loan Party and any Hedge Bank.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the L/C Issuer, the Hedge Banks, the Cash Management Banks,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and the other Persons the Obligations owing to which are or are purported to be secured by the Collateral under the terms of the Collateral Documents.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collectively, (a) that certain Security and Pledge Agreement dated as of March 29, 2013 by and between the Borrower and the Administrative Agent and (b) that certain Security and Pledge Agreement dated as of March 29, 2013 by and among the Guarantors and the Administrative Agent, in each case as amended, modified, supplemented or restated from time to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 Supplement</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and “</w:t>
      </w:r>
      <w:r>
        <w:rPr>
          <w:rFonts w:ascii="Arial" w:cs="Arial" w:eastAsia="Arial" w:hAnsi="Arial"/>
          <w:sz w:val="16"/>
          <w:szCs w:val="16"/>
          <w:u w:val="single" w:color="auto"/>
          <w:color w:val="auto"/>
        </w:rPr>
        <w:t>Solvency</w:t>
      </w:r>
      <w:r>
        <w:rPr>
          <w:rFonts w:ascii="Arial" w:cs="Arial" w:eastAsia="Arial" w:hAnsi="Arial"/>
          <w:sz w:val="16"/>
          <w:szCs w:val="16"/>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Loan Party</w:t>
      </w:r>
      <w:r>
        <w:rPr>
          <w:rFonts w:ascii="Arial" w:cs="Arial" w:eastAsia="Arial" w:hAnsi="Arial"/>
          <w:sz w:val="18"/>
          <w:szCs w:val="18"/>
          <w:color w:val="auto"/>
        </w:rPr>
        <w:t xml:space="preserve">” means any Loan Party that is not an “eligible contract participant” under the Commodity Exchange Act (determined prior to giving effect to </w:t>
      </w:r>
      <w:r>
        <w:rPr>
          <w:rFonts w:ascii="Arial" w:cs="Arial" w:eastAsia="Arial" w:hAnsi="Arial"/>
          <w:sz w:val="18"/>
          <w:szCs w:val="18"/>
          <w:u w:val="single" w:color="auto"/>
          <w:color w:val="auto"/>
        </w:rPr>
        <w:t>Section 11.20(b)</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18"/>
          <w:szCs w:val="18"/>
          <w:u w:val="single" w:color="auto"/>
          <w:color w:val="auto"/>
        </w:rPr>
        <w:t>Subsidiary</w:t>
      </w:r>
      <w:r>
        <w:rPr>
          <w:rFonts w:ascii="Arial" w:cs="Arial" w:eastAsia="Arial" w:hAnsi="Arial"/>
          <w:sz w:val="18"/>
          <w:szCs w:val="18"/>
          <w:color w:val="auto"/>
        </w:rPr>
        <w:t>” or to “</w:t>
      </w:r>
      <w:r>
        <w:rPr>
          <w:rFonts w:ascii="Arial" w:cs="Arial" w:eastAsia="Arial" w:hAnsi="Arial"/>
          <w:sz w:val="18"/>
          <w:szCs w:val="18"/>
          <w:u w:val="single" w:color="auto"/>
          <w:color w:val="auto"/>
        </w:rPr>
        <w:t>Subsidiaries</w:t>
      </w:r>
      <w:r>
        <w:rPr>
          <w:rFonts w:ascii="Arial" w:cs="Arial" w:eastAsia="Arial" w:hAnsi="Arial"/>
          <w:sz w:val="18"/>
          <w:szCs w:val="18"/>
          <w:color w:val="auto"/>
        </w:rPr>
        <w:t>” shall refer to a Subsidiary or Subsidiaries of the Borrower.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including any such obligations or liabilities under any Master Agreement.</w:t>
      </w:r>
    </w:p>
    <w:p>
      <w:pPr>
        <w:spacing w:after="0" w:line="18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Debt</w:t>
      </w:r>
      <w:r>
        <w:rPr>
          <w:rFonts w:ascii="Arial" w:cs="Arial" w:eastAsia="Arial" w:hAnsi="Arial"/>
          <w:sz w:val="18"/>
          <w:szCs w:val="18"/>
          <w:color w:val="auto"/>
        </w:rPr>
        <w:t>” means, with respect to any Person as of any date of determination thereof, all obligations of such Person in respect of transactions entered into by such Person that are intended to function primarily as a borrowing of funds but are not otherwise included in the definition of “</w:t>
      </w:r>
      <w:r>
        <w:rPr>
          <w:rFonts w:ascii="Arial" w:cs="Arial" w:eastAsia="Arial" w:hAnsi="Arial"/>
          <w:sz w:val="18"/>
          <w:szCs w:val="18"/>
          <w:u w:val="single" w:color="auto"/>
          <w:color w:val="auto"/>
        </w:rPr>
        <w:t>Indebtedness</w:t>
      </w:r>
      <w:r>
        <w:rPr>
          <w:rFonts w:ascii="Arial" w:cs="Arial" w:eastAsia="Arial" w:hAnsi="Arial"/>
          <w:sz w:val="18"/>
          <w:szCs w:val="18"/>
          <w:color w:val="auto"/>
        </w:rPr>
        <w:t>” or as a liability on the consolidated balance sheet of such Person and its Subsidiaries in accordance with GAAP.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jc w:val="both"/>
        <w:ind w:firstLine="8"/>
        <w:spacing w:after="0" w:line="255" w:lineRule="auto"/>
        <w:tabs>
          <w:tab w:leader="none" w:pos="259"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Borrowing</w:t>
      </w:r>
      <w:r>
        <w:rPr>
          <w:rFonts w:ascii="Arial" w:cs="Arial" w:eastAsia="Arial" w:hAnsi="Arial"/>
          <w:sz w:val="18"/>
          <w:szCs w:val="18"/>
          <w:color w:val="auto"/>
        </w:rPr>
        <w:t xml:space="preserve">” means a borrowing consisting of the Term Loan, each portion of which shall be of the same Type and, in the case of Eurodollar Rate Loans, having the same Interest Period, made by each of the Term Lenders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any Lender that holds a portion of the Term Loan at a given time.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means each Lender’s proportionate share of the outstanding aggregate principal amount of the Restated Obligations on the Third A&amp;R Effective Date, which, on the date hereof, is in an aggregate principal amount of $14,000,000.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Note</w:t>
      </w:r>
      <w:r>
        <w:rPr>
          <w:rFonts w:ascii="Arial" w:cs="Arial" w:eastAsia="Arial" w:hAnsi="Arial"/>
          <w:sz w:val="18"/>
          <w:szCs w:val="18"/>
          <w:color w:val="auto"/>
        </w:rPr>
        <w:t xml:space="preserve">” means an amended and restated promissory note made by the Borrower in favor of a Term Lender evidencing the portion of the Term Loan made by such Term Lender,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A&amp;R Effective Date</w:t>
      </w:r>
      <w:r>
        <w:rPr>
          <w:rFonts w:ascii="Arial" w:cs="Arial" w:eastAsia="Arial" w:hAnsi="Arial"/>
          <w:sz w:val="17"/>
          <w:szCs w:val="17"/>
          <w:color w:val="auto"/>
        </w:rPr>
        <w:t xml:space="preserve">” means the first date all the conditions precedent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11.01</w:t>
      </w:r>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Threshold Amount</w:t>
      </w:r>
      <w:r>
        <w:rPr>
          <w:rFonts w:ascii="Arial" w:cs="Arial" w:eastAsia="Arial" w:hAnsi="Arial"/>
          <w:sz w:val="16"/>
          <w:szCs w:val="16"/>
          <w:color w:val="auto"/>
        </w:rPr>
        <w:t>” means $500,000, or any lesser amount where a failure to pay or perform is reasonably likely to have a Material Adverse Effect.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Funded Debt</w:t>
      </w:r>
      <w:r>
        <w:rPr>
          <w:rFonts w:ascii="Arial" w:cs="Arial" w:eastAsia="Arial" w:hAnsi="Arial"/>
          <w:sz w:val="18"/>
          <w:szCs w:val="18"/>
          <w:color w:val="auto"/>
        </w:rPr>
        <w:t>” means at any date of determination, the aggregate outstanding amount of Funded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and all L/C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Outstandings</w:t>
      </w:r>
      <w:r>
        <w:rPr>
          <w:rFonts w:ascii="Arial" w:cs="Arial" w:eastAsia="Arial" w:hAnsi="Arial"/>
          <w:sz w:val="18"/>
          <w:szCs w:val="18"/>
          <w:color w:val="auto"/>
        </w:rPr>
        <w:t>” means the aggregate Outstanding Amount of all Revolving Credit Loans and L/C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LIBOR Daily Floating Rate Loan or a Eurodollar Rate Loan.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Commonwealth of Massachusetts;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Commonwealth of Massachusetts,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Pension Liability</w:t>
      </w:r>
      <w:r>
        <w:rPr>
          <w:rFonts w:ascii="Arial" w:cs="Arial" w:eastAsia="Arial" w:hAnsi="Arial"/>
          <w:sz w:val="18"/>
          <w:szCs w:val="18"/>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w:t>
      </w:r>
      <w:r>
        <w:rPr>
          <w:rFonts w:ascii="Arial" w:cs="Arial" w:eastAsia="Arial" w:hAnsi="Arial"/>
          <w:sz w:val="18"/>
          <w:szCs w:val="18"/>
          <w:color w:val="auto"/>
        </w:rPr>
        <w:t xml:space="preserve">” means an amount equal to the sum of (i) one hundred percent (100%) of the Borrower’s and its Subsidiaries’ cash and Cash Equivalents on deposit, plus (ii) eighty-five percent (85%) of the Borrower’s and its Subsidiaries’ Eligible Receivables plus (iii) the </w:t>
      </w:r>
      <w:r>
        <w:rPr>
          <w:rFonts w:ascii="Arial" w:cs="Arial" w:eastAsia="Arial" w:hAnsi="Arial"/>
          <w:sz w:val="18"/>
          <w:szCs w:val="18"/>
          <w:u w:val="single" w:color="auto"/>
          <w:color w:val="auto"/>
        </w:rPr>
        <w:t>lesser</w:t>
      </w:r>
      <w:r>
        <w:rPr>
          <w:rFonts w:ascii="Arial" w:cs="Arial" w:eastAsia="Arial" w:hAnsi="Arial"/>
          <w:sz w:val="18"/>
          <w:szCs w:val="18"/>
          <w:color w:val="auto"/>
        </w:rPr>
        <w:t xml:space="preserve"> of (a) an amount equal to forty percent (40%) of the Borrower’s and its Subsidiaries’ Eligible Inventory and (b) $8,500,000. For purposes of computing Working Capital hereunder after application of the forty percent (40%) formula as set forth in clause (ii) above, the Borrower shall not include more than $4,250,000 of Eligible Inventory maintained at any one warehouse, distribution center or other real property leased by the Borrower or any Subsidiary in the calculation thereof.</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Other Interpretive Provisions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225" w:lineRule="exact"/>
        <w:rPr>
          <w:sz w:val="20"/>
          <w:szCs w:val="20"/>
          <w:color w:val="auto"/>
        </w:rPr>
      </w:pPr>
    </w:p>
    <w:p>
      <w:pPr>
        <w:jc w:val="both"/>
        <w:ind w:left="660" w:firstLine="645"/>
        <w:spacing w:after="0" w:line="286" w:lineRule="auto"/>
        <w:tabs>
          <w:tab w:leader="none" w:pos="2237"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6"/>
          <w:szCs w:val="16"/>
          <w:u w:val="single" w:color="auto"/>
          <w:color w:val="auto"/>
        </w:rPr>
        <w:t>asset</w:t>
      </w:r>
      <w:r>
        <w:rPr>
          <w:rFonts w:ascii="Arial" w:cs="Arial" w:eastAsia="Arial" w:hAnsi="Arial"/>
          <w:sz w:val="16"/>
          <w:szCs w:val="16"/>
          <w:color w:val="auto"/>
        </w:rPr>
        <w:t>” and “</w:t>
      </w:r>
      <w:r>
        <w:rPr>
          <w:rFonts w:ascii="Arial" w:cs="Arial" w:eastAsia="Arial" w:hAnsi="Arial"/>
          <w:sz w:val="16"/>
          <w:szCs w:val="16"/>
          <w:u w:val="single" w:color="auto"/>
          <w:color w:val="auto"/>
        </w:rPr>
        <w:t>property</w:t>
      </w:r>
      <w:r>
        <w:rPr>
          <w:rFonts w:ascii="Arial" w:cs="Arial" w:eastAsia="Arial" w:hAnsi="Arial"/>
          <w:sz w:val="16"/>
          <w:szCs w:val="16"/>
          <w:color w:val="auto"/>
        </w:rPr>
        <w:t>” shall be construed to have the same meaning and effect and to refer to any and all tangible and intangible assets and properties, including cash, securities, accounts and contract rights.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ind w:left="660" w:right="20" w:firstLine="645"/>
        <w:spacing w:after="0" w:line="277" w:lineRule="auto"/>
        <w:tabs>
          <w:tab w:leader="none" w:pos="252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firstLine="645"/>
        <w:spacing w:after="0" w:line="277" w:lineRule="auto"/>
        <w:tabs>
          <w:tab w:leader="none" w:pos="2291"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Accounting Terms</w:t>
      </w:r>
    </w:p>
    <w:p>
      <w:pPr>
        <w:spacing w:after="0" w:line="225" w:lineRule="exact"/>
        <w:rPr>
          <w:sz w:val="20"/>
          <w:szCs w:val="20"/>
          <w:color w:val="auto"/>
        </w:rPr>
      </w:pPr>
    </w:p>
    <w:p>
      <w:pPr>
        <w:jc w:val="both"/>
        <w:ind w:left="660" w:firstLine="645"/>
        <w:spacing w:after="0" w:line="259" w:lineRule="auto"/>
        <w:tabs>
          <w:tab w:leader="none" w:pos="236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w:t>
      </w:r>
    </w:p>
    <w:p>
      <w:pPr>
        <w:spacing w:after="0" w:line="186" w:lineRule="exact"/>
        <w:rPr>
          <w:rFonts w:ascii="Arial" w:cs="Arial" w:eastAsia="Arial" w:hAnsi="Arial"/>
          <w:sz w:val="18"/>
          <w:szCs w:val="18"/>
          <w:color w:val="auto"/>
        </w:rPr>
      </w:pPr>
    </w:p>
    <w:p>
      <w:pPr>
        <w:jc w:val="both"/>
        <w:ind w:left="660" w:firstLine="645"/>
        <w:spacing w:after="0" w:line="272" w:lineRule="auto"/>
        <w:tabs>
          <w:tab w:leader="none" w:pos="2274"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Changes in GAAP</w:t>
      </w:r>
      <w:r>
        <w:rPr>
          <w:rFonts w:ascii="Arial" w:cs="Arial" w:eastAsia="Arial" w:hAnsi="Arial"/>
          <w:sz w:val="17"/>
          <w:szCs w:val="17"/>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7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Rounding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Times of Day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Unless otherwise specified, all references herein to times of day shall be references to Eastern time (daylight or standard, as applicable).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ind w:left="660"/>
        <w:spacing w:after="0"/>
        <w:tabs>
          <w:tab w:leader="none" w:pos="14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Letter of Credit Amounts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Unless otherwise specified herein, the amount of a Letter of Credit at any time shall be deemed to be the stated amount of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7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u w:val="single" w:color="auto"/>
          <w:color w:val="auto"/>
        </w:rPr>
        <w:t>Currency Equivalents Generally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Any amount specified in this Agreement (other than in </w:t>
      </w:r>
      <w:r>
        <w:rPr>
          <w:rFonts w:ascii="Arial" w:cs="Arial" w:eastAsia="Arial" w:hAnsi="Arial"/>
          <w:sz w:val="18"/>
          <w:szCs w:val="18"/>
          <w:u w:val="single" w:color="auto"/>
          <w:color w:val="auto"/>
        </w:rPr>
        <w:t>Articles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X</w:t>
      </w:r>
      <w:r>
        <w:rPr>
          <w:rFonts w:ascii="Arial" w:cs="Arial" w:eastAsia="Arial" w:hAnsi="Arial"/>
          <w:sz w:val="18"/>
          <w:szCs w:val="18"/>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Arial" w:cs="Arial" w:eastAsia="Arial" w:hAnsi="Arial"/>
          <w:sz w:val="18"/>
          <w:szCs w:val="18"/>
          <w:u w:val="single" w:color="auto"/>
          <w:color w:val="auto"/>
        </w:rPr>
        <w:t>Section 1.07</w:t>
      </w:r>
      <w:r>
        <w:rPr>
          <w:rFonts w:ascii="Arial" w:cs="Arial" w:eastAsia="Arial" w:hAnsi="Arial"/>
          <w:sz w:val="18"/>
          <w:szCs w:val="18"/>
          <w:color w:val="auto"/>
        </w:rPr>
        <w:t>, the “</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COMMITMENTS AND CREDIT EXTENSIONS</w:t>
      </w:r>
    </w:p>
    <w:p>
      <w:pPr>
        <w:spacing w:after="0" w:line="21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u w:val="single" w:color="auto"/>
          <w:color w:val="auto"/>
        </w:rPr>
        <w:t>The Loans</w:t>
      </w:r>
    </w:p>
    <w:p>
      <w:pPr>
        <w:spacing w:after="0" w:line="225" w:lineRule="exact"/>
        <w:rPr>
          <w:sz w:val="20"/>
          <w:szCs w:val="20"/>
          <w:color w:val="auto"/>
        </w:rPr>
      </w:pPr>
    </w:p>
    <w:p>
      <w:pPr>
        <w:jc w:val="both"/>
        <w:ind w:left="660" w:firstLine="645"/>
        <w:spacing w:after="0" w:line="257" w:lineRule="auto"/>
        <w:tabs>
          <w:tab w:leader="none" w:pos="2323"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The Term Borrowing</w:t>
      </w:r>
      <w:r>
        <w:rPr>
          <w:rFonts w:ascii="Arial" w:cs="Arial" w:eastAsia="Arial" w:hAnsi="Arial"/>
          <w:sz w:val="18"/>
          <w:szCs w:val="18"/>
          <w:color w:val="auto"/>
        </w:rPr>
        <w:t>. Subject to the terms and conditions set forth herein, each Term Lender severally agrees to consolidate, combine and restate the Restated Obligations in a single loan on the Third A&amp;R Effective Date in an aggregate principal amount not to exceed $14,000,000. The Borrower and each Lender hereby acknowledge, confirm and agree that such consolidation, combination and restatement shall be effected by a cashless settlement. Any portion of the Term Loan which is repaid or prepaid may not be reborrowed. The Term Loan may be a LIBOR Daily Floating Rate Loan or a Eurodollar Rate Loan, as further provided herein.</w:t>
      </w:r>
    </w:p>
    <w:p>
      <w:pPr>
        <w:spacing w:after="0" w:line="188" w:lineRule="exact"/>
        <w:rPr>
          <w:rFonts w:ascii="Arial" w:cs="Arial" w:eastAsia="Arial" w:hAnsi="Arial"/>
          <w:sz w:val="18"/>
          <w:szCs w:val="18"/>
          <w:color w:val="auto"/>
        </w:rPr>
      </w:pPr>
    </w:p>
    <w:p>
      <w:pPr>
        <w:jc w:val="both"/>
        <w:ind w:left="660" w:firstLine="645"/>
        <w:spacing w:after="0" w:line="270" w:lineRule="auto"/>
        <w:tabs>
          <w:tab w:leader="none" w:pos="2206"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The Revolving Credit Borrowings</w:t>
      </w:r>
      <w:r>
        <w:rPr>
          <w:rFonts w:ascii="Arial" w:cs="Arial" w:eastAsia="Arial" w:hAnsi="Arial"/>
          <w:sz w:val="17"/>
          <w:szCs w:val="17"/>
          <w:color w:val="auto"/>
        </w:rPr>
        <w:t>. Subject to the terms and conditions set forth herein, each Revolving Credit Lender severally agrees to make loans (each such loan, a “</w:t>
      </w:r>
      <w:r>
        <w:rPr>
          <w:rFonts w:ascii="Arial" w:cs="Arial" w:eastAsia="Arial" w:hAnsi="Arial"/>
          <w:sz w:val="17"/>
          <w:szCs w:val="17"/>
          <w:u w:val="single" w:color="auto"/>
          <w:color w:val="auto"/>
        </w:rPr>
        <w:t>Revolving Credit Loan</w:t>
      </w:r>
      <w:r>
        <w:rPr>
          <w:rFonts w:ascii="Arial" w:cs="Arial" w:eastAsia="Arial" w:hAnsi="Arial"/>
          <w:sz w:val="17"/>
          <w:szCs w:val="17"/>
          <w:color w:val="auto"/>
        </w:rPr>
        <w:t xml:space="preserve">”) to the Borrower from time to time, on any Business Day during the Availability Period for the Revolving Credit Facility, in an aggregate amount not to exceed at any time outstanding the amount of such Lender’s Revolving Credit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Revolving Credit Borrowing, (i) the Total Revolving Credit Outstandings, shall not exceed the Revolving Credit Facility and (ii) the aggregate Outstanding Amount of the Revolving Credit Loans of any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Revolving Credit Lender’s Applicable Revolving Credit Percentage of the Outstanding Amount of all L/C Obligations, shall not exceed such Revolving Credit Lender’s Revolving Credit Commitment. Within the limits of each Revolving Credit Lender’s Revolving Credit Commitment, and subject to the other terms and conditions hereof, including, without limitation, any voluntary or automatic reduction thereof, as provided under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the Borrower may borrow under this </w:t>
      </w:r>
      <w:r>
        <w:rPr>
          <w:rFonts w:ascii="Arial" w:cs="Arial" w:eastAsia="Arial" w:hAnsi="Arial"/>
          <w:sz w:val="17"/>
          <w:szCs w:val="17"/>
          <w:u w:val="single" w:color="auto"/>
          <w:color w:val="auto"/>
        </w:rPr>
        <w:t>Section 2.01(b)</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2.01(b)</w:t>
      </w:r>
      <w:r>
        <w:rPr>
          <w:rFonts w:ascii="Arial" w:cs="Arial" w:eastAsia="Arial" w:hAnsi="Arial"/>
          <w:sz w:val="17"/>
          <w:szCs w:val="17"/>
          <w:color w:val="auto"/>
        </w:rPr>
        <w:t>. Revolving Credit Loans may be LIBOR Daily Floating Rate Loans or Eurodollar Rate Loans, as further provided herein.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spacing w:after="0"/>
        <w:tabs>
          <w:tab w:leader="none" w:pos="7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u w:val="single" w:color="auto"/>
          <w:color w:val="auto"/>
        </w:rPr>
        <w:t>Borrowings, Conversions and Continuations of Loans</w:t>
      </w:r>
    </w:p>
    <w:p>
      <w:pPr>
        <w:spacing w:after="0" w:line="225" w:lineRule="exact"/>
        <w:rPr>
          <w:sz w:val="20"/>
          <w:szCs w:val="20"/>
          <w:color w:val="auto"/>
        </w:rPr>
      </w:pPr>
    </w:p>
    <w:p>
      <w:pPr>
        <w:jc w:val="both"/>
        <w:ind w:firstLine="645"/>
        <w:spacing w:after="0" w:line="284" w:lineRule="auto"/>
        <w:tabs>
          <w:tab w:leader="none" w:pos="1622"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Each Term Borrowing, each Revolving Credit Borrowing, each conversion of the Term Loan or Revolving Credit Loans from one Type to the other, and each continuation of Eurodollar Rate Loans shall be made upon the Borrower’s irrevocable notice to the Administrative Agent, which may be given by (A) telephone, or (B) a Committed Loan Notice; provided that any telephone notice must be confirmed immediately by delivery to the Administrative Agent of a Committed Loan Notice. Each such Committed Loan Notice must be received by the Administrative Agent not later than 11:00 a.m. (i) three Business Days prior to the requested date of any Borrowing of, conversion to or continuation of Eurodollar Rate Loans or of any conversion of Eurodollar Rate Loans to LIBOR Daily Floating Rate Loans, and (ii) on the requested date of any Borrowing of LIBOR Daily Floating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Borrower wishes to request Eurodollar Rate Loans having an Interest Period other than one, two, three or six months in duration as provided in the definition of “Interest Period,” the applicable notice must be received by the Administrative Agent not later than 11:00 a.m. four Business Days prior to the requested date of such Borrowing, conversion or continuation, whereupon the Administrative Agent shall give prompt notice to the Appropriate Lenders of such request and determine whether the requested Interest Period is acceptable to all of them. Not later than 11:00 a.m., three Business Days before the requested date of such Borrowing, conversion or continuation, the Administrative Agent shall notify the Borrower (which notice may be by telephone) whether or not the requested Interest Period has been consented to by all the Lenders. Each Borrowing of, conversion to or continuation of Eurodollar Rate Loans shall be in a principal amount of $1,000,000 or a whole multiple of $100,000 in excess thereof. Except as provided in </w:t>
      </w:r>
      <w:r>
        <w:rPr>
          <w:rFonts w:ascii="Arial" w:cs="Arial" w:eastAsia="Arial" w:hAnsi="Arial"/>
          <w:sz w:val="16"/>
          <w:szCs w:val="16"/>
          <w:u w:val="single" w:color="auto"/>
          <w:color w:val="auto"/>
        </w:rPr>
        <w:t>Sections 2.03(c)</w:t>
      </w:r>
      <w:r>
        <w:rPr>
          <w:rFonts w:ascii="Arial" w:cs="Arial" w:eastAsia="Arial" w:hAnsi="Arial"/>
          <w:sz w:val="16"/>
          <w:szCs w:val="16"/>
          <w:color w:val="auto"/>
        </w:rPr>
        <w:t>, each Borrowing of or conversion to LIBOR Daily Floating Rate Loans shall be in a principal amount of $500,000 or a whole multiple of $100,000 in excess thereof. Each Committed Loan Notice shall specify (i) whether the Borrower is requesting a Term Borrowing, a Revolving Credit Borrowing, a conversion of the Term Loan or Revolving Credit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the existing Term Loan or Revolving Credit Loans are to be converted, and (v) if applicable, the duration of the Interest Period with respect thereto. If the Borrower fails to specify a Type of Loan in a Committed Loan Notice or if the Borrower fails to give a timely notice requesting a conversion or continuation, then the applicable Term Loan or Revolving Credit Loans shall be made as, or converted to, LIBOR Daily Floating Rate Loans. Any such automatic conversion to LIBOR Daily Floating Rate Loans shall be effective as of the last day of the Interest Period then in effect with respect to the applicable Eurodollar Rate Loans. If the Borrower requests a Borrowing of, conversion to, or continuation of Eurodollar Rate Loans in any such Committed Loan Notice, but fails to specify an Interest Period, it will be deemed to have specified an Interest Period of one month.</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70" w:name="page71"/>
    <w:bookmarkEnd w:id="70"/>
    <w:p>
      <w:pPr>
        <w:jc w:val="both"/>
        <w:ind w:left="-540" w:firstLine="645"/>
        <w:spacing w:after="0" w:line="268" w:lineRule="auto"/>
        <w:tabs>
          <w:tab w:leader="none" w:pos="1074"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Following receipt of a Committed Loan Notice, the Administrative Agent shall promptly notify each Lender of the amount of its Applicable Percentage under the applicable Facility of the applicable Term Loan or Revolving Credit Loans, and if no timely notice of a conversion or continuation is provided by the Borrower, the Administrative Agent shall notify each Lender of the details of any automatic conversion to LIBOR Daily Floating Rate Loans described in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In the case of a Term Borrowing or a Revolving Credit Borrowing, each Appropriate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if such Borrowing is the initial Credit Extension,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on the date a Committed Loan Notice with respect to a Revolving Credit Borrowing is given by the Borrower, there are L/C Borrowings outstanding, then the proceeds of such Revolving Credit Borrowing,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shall be applied to the payment in full of any such L/C Borrowings, and </w:t>
      </w:r>
      <w:r>
        <w:rPr>
          <w:rFonts w:ascii="Arial" w:cs="Arial" w:eastAsia="Arial" w:hAnsi="Arial"/>
          <w:sz w:val="17"/>
          <w:szCs w:val="17"/>
          <w:u w:val="single" w:color="auto"/>
          <w:color w:val="auto"/>
        </w:rPr>
        <w:t>second</w:t>
      </w:r>
      <w:r>
        <w:rPr>
          <w:rFonts w:ascii="Arial" w:cs="Arial" w:eastAsia="Arial" w:hAnsi="Arial"/>
          <w:sz w:val="17"/>
          <w:szCs w:val="17"/>
          <w:color w:val="auto"/>
        </w:rPr>
        <w:t>, shall be made available to the Borrower as provided above.</w:t>
      </w:r>
    </w:p>
    <w:p>
      <w:pPr>
        <w:spacing w:after="0" w:line="187" w:lineRule="exact"/>
        <w:rPr>
          <w:rFonts w:ascii="Arial" w:cs="Arial" w:eastAsia="Arial" w:hAnsi="Arial"/>
          <w:sz w:val="17"/>
          <w:szCs w:val="17"/>
          <w:color w:val="auto"/>
        </w:rPr>
      </w:pPr>
    </w:p>
    <w:p>
      <w:pPr>
        <w:jc w:val="both"/>
        <w:ind w:left="-540" w:firstLine="645"/>
        <w:spacing w:after="0" w:line="264" w:lineRule="auto"/>
        <w:tabs>
          <w:tab w:leader="none" w:pos="10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181" w:lineRule="exact"/>
        <w:rPr>
          <w:rFonts w:ascii="Arial" w:cs="Arial" w:eastAsia="Arial" w:hAnsi="Arial"/>
          <w:sz w:val="18"/>
          <w:szCs w:val="18"/>
          <w:color w:val="auto"/>
        </w:rPr>
      </w:pPr>
    </w:p>
    <w:p>
      <w:pPr>
        <w:jc w:val="both"/>
        <w:ind w:left="-540" w:firstLine="645"/>
        <w:spacing w:after="0" w:line="259" w:lineRule="auto"/>
        <w:tabs>
          <w:tab w:leader="none" w:pos="11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Eurodollar Rate Loans upon determination of such interest rate. At any time that LIBOR Daily Floating Rate Loans are outstanding, the Administrative Agent shall notify the Borrower and the Lenders of any change in Bank of America’s prime rate used in determining the LIBOR Daily Floating Rate promptly following the public announcement of such change.</w:t>
      </w:r>
    </w:p>
    <w:p>
      <w:pPr>
        <w:spacing w:after="0" w:line="186" w:lineRule="exact"/>
        <w:rPr>
          <w:rFonts w:ascii="Arial" w:cs="Arial" w:eastAsia="Arial" w:hAnsi="Arial"/>
          <w:sz w:val="18"/>
          <w:szCs w:val="18"/>
          <w:color w:val="auto"/>
        </w:rPr>
      </w:pPr>
    </w:p>
    <w:p>
      <w:pPr>
        <w:ind w:left="-540" w:right="20" w:firstLine="645"/>
        <w:spacing w:after="0" w:line="308" w:lineRule="auto"/>
        <w:tabs>
          <w:tab w:leader="none" w:pos="1028" w:val="left"/>
        </w:tabs>
        <w:numPr>
          <w:ilvl w:val="0"/>
          <w:numId w:val="52"/>
        </w:numPr>
        <w:rPr>
          <w:rFonts w:ascii="Arial" w:cs="Arial" w:eastAsia="Arial" w:hAnsi="Arial"/>
          <w:sz w:val="17"/>
          <w:szCs w:val="17"/>
          <w:color w:val="auto"/>
        </w:rPr>
      </w:pPr>
      <w:r>
        <w:rPr>
          <w:rFonts w:ascii="Arial" w:cs="Arial" w:eastAsia="Arial" w:hAnsi="Arial"/>
          <w:sz w:val="17"/>
          <w:szCs w:val="17"/>
          <w:color w:val="auto"/>
        </w:rPr>
        <w:t>After giving effect to all Borrowings, all conversions of Loans from one Type to the other, and all continuations of Loans as the same Type, there shall not be more than five Interest Periods in effect in respect of the Term Loan, and the Revolving Credit Facility.</w:t>
      </w:r>
    </w:p>
    <w:p>
      <w:pPr>
        <w:spacing w:after="0" w:line="36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71" w:name="page72"/>
    <w:bookmarkEnd w:id="71"/>
    <w:p>
      <w:pPr>
        <w:spacing w:after="0"/>
        <w:tabs>
          <w:tab w:leader="none" w:pos="7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u w:val="single" w:color="auto"/>
          <w:color w:val="auto"/>
        </w:rPr>
        <w:t>Letters of Credit</w:t>
      </w:r>
    </w:p>
    <w:p>
      <w:pPr>
        <w:spacing w:after="0" w:line="225" w:lineRule="exact"/>
        <w:rPr>
          <w:sz w:val="20"/>
          <w:szCs w:val="20"/>
          <w:color w:val="auto"/>
        </w:rPr>
      </w:pPr>
    </w:p>
    <w:p>
      <w:pPr>
        <w:ind w:left="1560" w:hanging="915"/>
        <w:spacing w:after="0"/>
        <w:tabs>
          <w:tab w:leader="none" w:pos="15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53"/>
        <w:spacing w:after="0" w:line="286" w:lineRule="auto"/>
        <w:tabs>
          <w:tab w:leader="none" w:pos="2264"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(A) the L/C Issuer agrees, in reliance upon the agreements of the Revolving Credit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(1) from time to time on any Business Day during the period from the Third A&amp;R Effective Date until the Letter of Credit Expiration Date, to issue Letters of Credit for the account of the Borrower, and to amend Letters of Credit previously issued by it, in accordance with </w:t>
      </w:r>
      <w:r>
        <w:rPr>
          <w:rFonts w:ascii="Arial" w:cs="Arial" w:eastAsia="Arial" w:hAnsi="Arial"/>
          <w:sz w:val="16"/>
          <w:szCs w:val="16"/>
          <w:u w:val="single" w:color="auto"/>
          <w:color w:val="auto"/>
        </w:rPr>
        <w:t>Section 2.03(b)</w:t>
      </w:r>
      <w:r>
        <w:rPr>
          <w:rFonts w:ascii="Arial" w:cs="Arial" w:eastAsia="Arial" w:hAnsi="Arial"/>
          <w:sz w:val="16"/>
          <w:szCs w:val="16"/>
          <w:color w:val="auto"/>
        </w:rPr>
        <w:t xml:space="preserve">, and (2) to honor drawings under the Letters of Credit; and (B) the Revolving Credit Lenders severally agree to participate in Letters of Credit issued for the account of the Borrower and any drawings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L/C Credit Extension with respect to any Letter of Credit, (x) the Total Revolving Credit Outstandings, shall not exceed the Revolving Credit Facility, (y) the aggregate Outstanding Amount of the Revolving Credit Loans of any Revolving Credit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Revolving Credit Percentage of the Outstanding Amount of all L/C Obligations shall not exceed such Lender’s Revolving Credit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171" w:lineRule="exact"/>
        <w:rPr>
          <w:rFonts w:ascii="Arial" w:cs="Arial" w:eastAsia="Arial" w:hAnsi="Arial"/>
          <w:sz w:val="16"/>
          <w:szCs w:val="16"/>
          <w:color w:val="auto"/>
        </w:rPr>
      </w:pPr>
    </w:p>
    <w:p>
      <w:pPr>
        <w:ind w:left="2180" w:hanging="887"/>
        <w:spacing w:after="0"/>
        <w:tabs>
          <w:tab w:leader="none" w:pos="21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L/C Issuer shall not issue any Letter of Credit if:</w:t>
      </w:r>
    </w:p>
    <w:p>
      <w:pPr>
        <w:spacing w:after="0" w:line="225" w:lineRule="exact"/>
        <w:rPr>
          <w:sz w:val="20"/>
          <w:szCs w:val="20"/>
          <w:color w:val="auto"/>
        </w:rPr>
      </w:pPr>
    </w:p>
    <w:p>
      <w:pPr>
        <w:ind w:firstLine="645"/>
        <w:spacing w:after="0" w:line="277" w:lineRule="auto"/>
        <w:tabs>
          <w:tab w:leader="none" w:pos="13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more than twelve months after the date of issuance, unless the Required Revolving Lenders have approved such expiry date; or</w:t>
      </w:r>
    </w:p>
    <w:p>
      <w:pPr>
        <w:spacing w:after="0" w:line="170" w:lineRule="exact"/>
        <w:rPr>
          <w:rFonts w:ascii="Arial" w:cs="Arial" w:eastAsia="Arial" w:hAnsi="Arial"/>
          <w:sz w:val="18"/>
          <w:szCs w:val="18"/>
          <w:color w:val="auto"/>
        </w:rPr>
      </w:pPr>
    </w:p>
    <w:p>
      <w:pPr>
        <w:ind w:firstLine="645"/>
        <w:spacing w:after="0" w:line="277" w:lineRule="auto"/>
        <w:tabs>
          <w:tab w:leader="none" w:pos="12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all the Revolving Credit Lenders have approved such expiry date.</w:t>
      </w:r>
    </w:p>
    <w:p>
      <w:pPr>
        <w:spacing w:after="0" w:line="170" w:lineRule="exact"/>
        <w:rPr>
          <w:rFonts w:ascii="Arial" w:cs="Arial" w:eastAsia="Arial" w:hAnsi="Arial"/>
          <w:sz w:val="18"/>
          <w:szCs w:val="18"/>
          <w:color w:val="auto"/>
        </w:rPr>
      </w:pPr>
    </w:p>
    <w:p>
      <w:pPr>
        <w:ind w:left="2140" w:hanging="847"/>
        <w:spacing w:after="0"/>
        <w:tabs>
          <w:tab w:leader="none" w:pos="2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L/C Issuer shall not be under any obligation to issue any Letter of Credit if:</w:t>
      </w:r>
    </w:p>
    <w:p>
      <w:pPr>
        <w:spacing w:after="0" w:line="225" w:lineRule="exact"/>
        <w:rPr>
          <w:sz w:val="20"/>
          <w:szCs w:val="20"/>
          <w:color w:val="auto"/>
        </w:rPr>
      </w:pPr>
    </w:p>
    <w:p>
      <w:pPr>
        <w:jc w:val="both"/>
        <w:ind w:firstLine="645"/>
        <w:spacing w:after="0" w:line="255" w:lineRule="auto"/>
        <w:tabs>
          <w:tab w:leader="none" w:pos="1281"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Third A&amp;R Effective Date, or shall impose upon the L/C Issuer any unreimbursed loss, cost or expense which was not applicable on the Third A&amp;R Effective Date and which the L/C Issuer in good faith deems material to it;</w:t>
      </w:r>
    </w:p>
    <w:p>
      <w:pPr>
        <w:spacing w:after="0" w:line="200" w:lineRule="exact"/>
        <w:rPr>
          <w:sz w:val="20"/>
          <w:szCs w:val="20"/>
          <w:color w:val="auto"/>
        </w:rPr>
      </w:pPr>
    </w:p>
    <w:p>
      <w:pPr>
        <w:spacing w:after="0" w:line="20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72" w:name="page73"/>
    <w:bookmarkEnd w:id="72"/>
    <w:p>
      <w:pPr>
        <w:ind w:left="660" w:hanging="555"/>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the L/C Issuer applicable to letters of credit generally;</w:t>
      </w:r>
    </w:p>
    <w:p>
      <w:pPr>
        <w:spacing w:after="0" w:line="248" w:lineRule="exact"/>
        <w:rPr>
          <w:rFonts w:ascii="Arial" w:cs="Arial" w:eastAsia="Arial" w:hAnsi="Arial"/>
          <w:sz w:val="16"/>
          <w:szCs w:val="16"/>
          <w:color w:val="auto"/>
        </w:rPr>
      </w:pPr>
    </w:p>
    <w:p>
      <w:pPr>
        <w:ind w:left="-540" w:firstLine="645"/>
        <w:spacing w:after="0" w:line="277" w:lineRule="auto"/>
        <w:tabs>
          <w:tab w:leader="none" w:pos="706"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the L/C Issuer, such Letter of Credit is in an initial stated amount less than $100,000, in the case of a commercial Letter of Credit, or $500,000, in the case of a standby Letter of Credit;</w:t>
      </w:r>
    </w:p>
    <w:p>
      <w:pPr>
        <w:spacing w:after="0" w:line="170" w:lineRule="exact"/>
        <w:rPr>
          <w:rFonts w:ascii="Arial" w:cs="Arial" w:eastAsia="Arial" w:hAnsi="Arial"/>
          <w:sz w:val="18"/>
          <w:szCs w:val="18"/>
          <w:color w:val="auto"/>
        </w:rPr>
      </w:pPr>
    </w:p>
    <w:p>
      <w:pPr>
        <w:ind w:left="660" w:hanging="555"/>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such Letter of Credit is to be denominated in a currency other than Dollars; or</w:t>
      </w:r>
    </w:p>
    <w:p>
      <w:pPr>
        <w:spacing w:after="0" w:line="225" w:lineRule="exact"/>
        <w:rPr>
          <w:rFonts w:ascii="Arial" w:cs="Arial" w:eastAsia="Arial" w:hAnsi="Arial"/>
          <w:sz w:val="18"/>
          <w:szCs w:val="18"/>
          <w:color w:val="auto"/>
        </w:rPr>
      </w:pPr>
    </w:p>
    <w:p>
      <w:pPr>
        <w:jc w:val="both"/>
        <w:ind w:left="-540" w:firstLine="645"/>
        <w:spacing w:after="0" w:line="264" w:lineRule="auto"/>
        <w:tabs>
          <w:tab w:leader="none" w:pos="819"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 default of any Lender’s obligations to fund under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exists or any Lender is at such time a Defaulting Lender hereunder, unless the L/C Issuer has entered into satisfactory arrangements with the Borrower or such Lender to eliminate the L/C Issuer’s risk with respect to such Lender.</w:t>
      </w:r>
    </w:p>
    <w:p>
      <w:pPr>
        <w:spacing w:after="0" w:line="181" w:lineRule="exact"/>
        <w:rPr>
          <w:rFonts w:ascii="Arial" w:cs="Arial" w:eastAsia="Arial" w:hAnsi="Arial"/>
          <w:sz w:val="18"/>
          <w:szCs w:val="18"/>
          <w:color w:val="auto"/>
        </w:rPr>
      </w:pPr>
    </w:p>
    <w:p>
      <w:pPr>
        <w:ind w:left="100" w:firstLine="653"/>
        <w:spacing w:after="0" w:line="277" w:lineRule="auto"/>
        <w:tabs>
          <w:tab w:leader="none" w:pos="1606"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L/C Issuer shall not amend any Letter of Credit if the L/C Issuer would not be permitted at such time to issue such Letter of Credit in its amended form under the terms hereof.</w:t>
      </w:r>
    </w:p>
    <w:p>
      <w:pPr>
        <w:spacing w:after="0" w:line="170" w:lineRule="exact"/>
        <w:rPr>
          <w:rFonts w:ascii="Arial" w:cs="Arial" w:eastAsia="Arial" w:hAnsi="Arial"/>
          <w:sz w:val="18"/>
          <w:szCs w:val="18"/>
          <w:color w:val="auto"/>
        </w:rPr>
      </w:pPr>
    </w:p>
    <w:p>
      <w:pPr>
        <w:jc w:val="both"/>
        <w:ind w:left="100" w:firstLine="653"/>
        <w:spacing w:after="0" w:line="264" w:lineRule="auto"/>
        <w:tabs>
          <w:tab w:leader="none" w:pos="1903"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81" w:lineRule="exact"/>
        <w:rPr>
          <w:rFonts w:ascii="Arial" w:cs="Arial" w:eastAsia="Arial" w:hAnsi="Arial"/>
          <w:sz w:val="18"/>
          <w:szCs w:val="18"/>
          <w:color w:val="auto"/>
        </w:rPr>
      </w:pPr>
    </w:p>
    <w:p>
      <w:pPr>
        <w:jc w:val="both"/>
        <w:ind w:left="100" w:firstLine="653"/>
        <w:spacing w:after="0" w:line="255" w:lineRule="auto"/>
        <w:tabs>
          <w:tab w:leader="none" w:pos="1701"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The L/C Issuer shall act on behalf of the Revolving Credit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included the L/C Issuer with respect to such acts or omissions, and (B) as additionally provided herein with respect to the L/C Issuer.</w:t>
      </w:r>
    </w:p>
    <w:p>
      <w:pPr>
        <w:spacing w:after="0" w:line="193" w:lineRule="exact"/>
        <w:rPr>
          <w:sz w:val="20"/>
          <w:szCs w:val="20"/>
          <w:color w:val="auto"/>
        </w:rPr>
      </w:pPr>
    </w:p>
    <w:p>
      <w:pPr>
        <w:ind w:left="4440" w:right="4800" w:hanging="4335"/>
        <w:spacing w:after="0" w:line="778" w:lineRule="auto"/>
        <w:tabs>
          <w:tab w:leader="none" w:pos="999"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w:t>
      </w:r>
      <w:r>
        <w:rPr>
          <w:rFonts w:ascii="Arial" w:cs="Arial" w:eastAsia="Arial" w:hAnsi="Arial"/>
          <w:sz w:val="18"/>
          <w:szCs w:val="18"/>
          <w:color w:val="auto"/>
        </w:rPr>
        <w: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-293370</wp:posOffset>
            </wp:positionV>
            <wp:extent cx="724662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73" w:name="page74"/>
    <w:bookmarkEnd w:id="73"/>
    <w:p>
      <w:pPr>
        <w:jc w:val="both"/>
        <w:ind w:left="100" w:firstLine="653"/>
        <w:spacing w:after="0" w:line="284" w:lineRule="auto"/>
        <w:tabs>
          <w:tab w:leader="none" w:pos="1778" w:val="left"/>
        </w:tabs>
        <w:numPr>
          <w:ilvl w:val="1"/>
          <w:numId w:val="58"/>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Letter of Credit Application must be received by the L/C Issuer and the Administrative Agent not later than 11:00 a.m.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w:t>
      </w:r>
    </w:p>
    <w:p>
      <w:pPr>
        <w:spacing w:after="0" w:line="2" w:lineRule="exact"/>
        <w:rPr>
          <w:rFonts w:ascii="Arial" w:cs="Arial" w:eastAsia="Arial" w:hAnsi="Arial"/>
          <w:sz w:val="16"/>
          <w:szCs w:val="16"/>
          <w:color w:val="auto"/>
        </w:rPr>
      </w:pPr>
    </w:p>
    <w:p>
      <w:pPr>
        <w:jc w:val="both"/>
        <w:ind w:left="100" w:firstLine="5"/>
        <w:spacing w:after="0" w:line="281" w:lineRule="auto"/>
        <w:tabs>
          <w:tab w:leader="none" w:pos="394"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expiry date thereof; (D) the name and address of the beneficiary thereof; (E) the documents to be presented by such beneficiary in case of any drawing thereunder; (F) the full text of any certificate to be presented by such beneficiary in case of any drawing thereunder;</w:t>
      </w:r>
    </w:p>
    <w:p>
      <w:pPr>
        <w:spacing w:after="0" w:line="1" w:lineRule="exact"/>
        <w:rPr>
          <w:rFonts w:ascii="Arial" w:cs="Arial" w:eastAsia="Arial" w:hAnsi="Arial"/>
          <w:sz w:val="16"/>
          <w:szCs w:val="16"/>
          <w:color w:val="auto"/>
        </w:rPr>
      </w:pPr>
    </w:p>
    <w:p>
      <w:pPr>
        <w:jc w:val="both"/>
        <w:ind w:left="100" w:firstLine="5"/>
        <w:spacing w:after="0" w:line="290" w:lineRule="auto"/>
        <w:tabs>
          <w:tab w:leader="none" w:pos="41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(1) the Letter of Credit to be amended; (2) the proposed date of amendment thereof (which shall be a Business Day); (3) the nature of the proposed amendment; and (4) such other matters as the L/C Issuer may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164" w:lineRule="exact"/>
        <w:rPr>
          <w:rFonts w:ascii="Arial" w:cs="Arial" w:eastAsia="Arial" w:hAnsi="Arial"/>
          <w:sz w:val="16"/>
          <w:szCs w:val="16"/>
          <w:color w:val="auto"/>
        </w:rPr>
      </w:pPr>
    </w:p>
    <w:p>
      <w:pPr>
        <w:jc w:val="both"/>
        <w:ind w:left="100" w:firstLine="653"/>
        <w:spacing w:after="0" w:line="288" w:lineRule="auto"/>
        <w:tabs>
          <w:tab w:leader="none" w:pos="1710"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not then be satisfied, then, subject to the terms and conditions hereof, the L/C Issuer shall, on the requested date, issue a Letter of Credit for the account of the Borrower or enter into the applicable amendment, as the case may be, in each case in accordance with the L/C Issuer’s usual and customary business practices. Immediately upon the issuance of each Letter of Credit, each Revolving Credit Lender shall be deemed to, and hereby irrevocably and unconditionally agrees to, purchase from the L/C Issuer a risk participation in such Letter of Credit in an amount equal to the product of such Revolving Credit Lender’s Applicable Revolving Credit Percentage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Letter of Credit.</w:t>
      </w:r>
    </w:p>
    <w:p>
      <w:pPr>
        <w:spacing w:after="0" w:line="169" w:lineRule="exact"/>
        <w:rPr>
          <w:rFonts w:ascii="Arial" w:cs="Arial" w:eastAsia="Arial" w:hAnsi="Arial"/>
          <w:sz w:val="16"/>
          <w:szCs w:val="16"/>
          <w:color w:val="auto"/>
        </w:rPr>
      </w:pPr>
    </w:p>
    <w:p>
      <w:pPr>
        <w:jc w:val="both"/>
        <w:ind w:left="100" w:firstLine="653"/>
        <w:spacing w:after="0" w:line="264" w:lineRule="auto"/>
        <w:tabs>
          <w:tab w:leader="none" w:pos="1738" w:val="left"/>
        </w:tabs>
        <w:numPr>
          <w:ilvl w:val="1"/>
          <w:numId w:val="60"/>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spacing w:after="0" w:line="39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74" w:name="page75"/>
    <w:bookmarkEnd w:id="74"/>
    <w:p>
      <w:pPr>
        <w:jc w:val="both"/>
        <w:ind w:left="-540" w:firstLine="645"/>
        <w:spacing w:after="0" w:line="287" w:lineRule="auto"/>
        <w:tabs>
          <w:tab w:leader="none" w:pos="1068"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Drawings and Reimbursements; Funding of Participations</w:t>
      </w:r>
      <w:r>
        <w:rPr>
          <w:rFonts w:ascii="Arial" w:cs="Arial" w:eastAsia="Arial" w:hAnsi="Arial"/>
          <w:sz w:val="16"/>
          <w:szCs w:val="16"/>
          <w:color w:val="auto"/>
        </w:rPr>
        <w:t>. (i) Upon receipt from the beneficiary of any Letter of Credit of any notice of a drawing under such Letter of Credit, the L/C Issuer shall notify the Borrower and the Administrative Agent thereof. Not later than 11:00 a.m. on the date of any payment by the L/C Issuer under a Letter of Credit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the Borrower shall reimburse the L/C Issuer through the Administrative Agent in an amount equal to the amount of such drawing. If the Borrower fails to so reimburse the L/C Issuer by such time, the Administrative Agent shall promptly notify each Revolving Credit Lender of the Honor Date, the amount of the unreimbursed drawing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Revolving Credit Lender’s Applicable Revolving Credit Percentage thereof. In such event, the Borrower shall be deemed to have requested a Revolving Credit Borrowing of LIBOR Daily Floating Rate Loans to be disbursed on the Honor Date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LIBOR Daily Floating Rate Loans, but subject to the amount of the unutilized portion of the Revolving Credit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Committed Loan Notice). Any notice given by the L/C Issuer or the Administrative Agent pursuant to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may be given by telephone if immediately confirmed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lack of such an immediate confirmation shall not affect the conclusiveness or binding effect of such notice.</w:t>
      </w:r>
    </w:p>
    <w:p>
      <w:pPr>
        <w:spacing w:after="0" w:line="168" w:lineRule="exact"/>
        <w:rPr>
          <w:rFonts w:ascii="Arial" w:cs="Arial" w:eastAsia="Arial" w:hAnsi="Arial"/>
          <w:sz w:val="16"/>
          <w:szCs w:val="16"/>
          <w:color w:val="auto"/>
        </w:rPr>
      </w:pPr>
    </w:p>
    <w:p>
      <w:pPr>
        <w:jc w:val="both"/>
        <w:ind w:left="100" w:firstLine="653"/>
        <w:spacing w:after="0" w:line="255" w:lineRule="auto"/>
        <w:tabs>
          <w:tab w:leader="none" w:pos="1927"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Each Revolving Credit Lender shall upon any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make funds available to the Administrative Agent for the account of the L/C Issuer at the Administrative Agent’s Office in an amount equal to its Applicable Revolving Credit Percentage of the Unreimbursed Amount not later than 1:00 p.m. on the Business Day specified in such notice by the Administrative Agent, whereupon, subject to the provisions of </w:t>
      </w:r>
      <w:r>
        <w:rPr>
          <w:rFonts w:ascii="Arial" w:cs="Arial" w:eastAsia="Arial" w:hAnsi="Arial"/>
          <w:sz w:val="18"/>
          <w:szCs w:val="18"/>
          <w:u w:val="single" w:color="auto"/>
          <w:color w:val="auto"/>
        </w:rPr>
        <w:t>Section 2.03(c)(iii)</w:t>
      </w:r>
      <w:r>
        <w:rPr>
          <w:rFonts w:ascii="Arial" w:cs="Arial" w:eastAsia="Arial" w:hAnsi="Arial"/>
          <w:sz w:val="18"/>
          <w:szCs w:val="18"/>
          <w:color w:val="auto"/>
        </w:rPr>
        <w:t>, each Revolving Credit Lender that so makes funds available shall be deemed to have made a LIBOR Daily Floating Rate Loan to the Borrower in such amount. The Administrative Agent shall remit the funds so received to the L/C Issuer.</w:t>
      </w:r>
    </w:p>
    <w:p>
      <w:pPr>
        <w:spacing w:after="0" w:line="193" w:lineRule="exact"/>
        <w:rPr>
          <w:rFonts w:ascii="Arial" w:cs="Arial" w:eastAsia="Arial" w:hAnsi="Arial"/>
          <w:sz w:val="18"/>
          <w:szCs w:val="18"/>
          <w:color w:val="auto"/>
        </w:rPr>
      </w:pPr>
    </w:p>
    <w:p>
      <w:pPr>
        <w:jc w:val="both"/>
        <w:ind w:left="100" w:firstLine="653"/>
        <w:spacing w:after="0" w:line="272" w:lineRule="auto"/>
        <w:tabs>
          <w:tab w:leader="none" w:pos="1738" w:val="left"/>
        </w:tabs>
        <w:numPr>
          <w:ilvl w:val="1"/>
          <w:numId w:val="61"/>
        </w:numPr>
        <w:rPr>
          <w:rFonts w:ascii="Arial" w:cs="Arial" w:eastAsia="Arial" w:hAnsi="Arial"/>
          <w:sz w:val="17"/>
          <w:szCs w:val="17"/>
          <w:color w:val="auto"/>
        </w:rPr>
      </w:pPr>
      <w:r>
        <w:rPr>
          <w:rFonts w:ascii="Arial" w:cs="Arial" w:eastAsia="Arial" w:hAnsi="Arial"/>
          <w:sz w:val="17"/>
          <w:szCs w:val="17"/>
          <w:color w:val="auto"/>
        </w:rPr>
        <w:t xml:space="preserve">With respect to any Unreimbursed Amount that is not fully refinanced by a Revolving Credit Borrowing of LIBOR Daily Floating Rate Loans because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L/C Issuer pursuant to </w:t>
      </w:r>
      <w:r>
        <w:rPr>
          <w:rFonts w:ascii="Arial" w:cs="Arial" w:eastAsia="Arial" w:hAnsi="Arial"/>
          <w:sz w:val="17"/>
          <w:szCs w:val="17"/>
          <w:u w:val="single" w:color="auto"/>
          <w:color w:val="auto"/>
        </w:rPr>
        <w:t>Section 2.03(c)(ii)</w:t>
      </w:r>
      <w:r>
        <w:rPr>
          <w:rFonts w:ascii="Arial" w:cs="Arial" w:eastAsia="Arial" w:hAnsi="Arial"/>
          <w:sz w:val="17"/>
          <w:szCs w:val="17"/>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100" w:firstLine="653"/>
        <w:spacing w:after="0" w:line="264" w:lineRule="auto"/>
        <w:tabs>
          <w:tab w:leader="none" w:pos="1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Until each Revolving Credit Lender funds its Revolving Credit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L/C Issuer for any amount drawn under any Letter of Credit, interest in respect of such Lender’s Applicable Revolving Credit Percentage of such amount shall be solely for the account of the L/C Issuer.</w:t>
      </w:r>
    </w:p>
    <w:p>
      <w:pPr>
        <w:spacing w:after="0" w:line="39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75" w:name="page76"/>
    <w:bookmarkEnd w:id="75"/>
    <w:p>
      <w:pPr>
        <w:jc w:val="both"/>
        <w:ind w:left="100" w:firstLine="653"/>
        <w:spacing w:after="0" w:line="270" w:lineRule="auto"/>
        <w:tabs>
          <w:tab w:leader="none" w:pos="1754" w:val="left"/>
        </w:tabs>
        <w:numPr>
          <w:ilvl w:val="1"/>
          <w:numId w:val="62"/>
        </w:numPr>
        <w:rPr>
          <w:rFonts w:ascii="Arial" w:cs="Arial" w:eastAsia="Arial" w:hAnsi="Arial"/>
          <w:sz w:val="17"/>
          <w:szCs w:val="17"/>
          <w:color w:val="auto"/>
        </w:rPr>
      </w:pPr>
      <w:r>
        <w:rPr>
          <w:rFonts w:ascii="Arial" w:cs="Arial" w:eastAsia="Arial" w:hAnsi="Arial"/>
          <w:sz w:val="17"/>
          <w:szCs w:val="17"/>
          <w:color w:val="auto"/>
        </w:rPr>
        <w:t xml:space="preserve">Each Revolving Credit Lender’s obligation to make Revolving Credit Loans or L/C Advances to reimburse the L/C Issuer for amounts drawn under Letters of Credit, as contemplated by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shall be absolute and unconditional and shall not be affected by any circumstance, including (A) any setoff, counterclaim, recoupment, defense or other right which such Lender may have against the L/C Issuer, the Borrower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Revolving Credit Lender’s obligation to make Revolving Credit Loans pursuant to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is subject to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(other than delivery by the Borrower of a Committed Loan Notice ). No such making of an L/C Advance shall relieve or otherwise impair the obligation of the Borrower to reimburse the L/C Issuer for the amount of any payment made by the L/C Issuer under any Letter of Credit, together with interest as provided herein.</w:t>
      </w:r>
    </w:p>
    <w:p>
      <w:pPr>
        <w:spacing w:after="0" w:line="181" w:lineRule="exact"/>
        <w:rPr>
          <w:rFonts w:ascii="Arial" w:cs="Arial" w:eastAsia="Arial" w:hAnsi="Arial"/>
          <w:sz w:val="17"/>
          <w:szCs w:val="17"/>
          <w:color w:val="auto"/>
        </w:rPr>
      </w:pPr>
    </w:p>
    <w:p>
      <w:pPr>
        <w:jc w:val="both"/>
        <w:ind w:left="100" w:firstLine="653"/>
        <w:spacing w:after="0" w:line="288" w:lineRule="auto"/>
        <w:tabs>
          <w:tab w:leader="none" w:pos="1687"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If any Revolving Credit Lender fails to make available to the Administrative Agent for the account of the L/C Issuer any amount required to be paid by such Lender pursuant to the foregoing provisions of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2.03(c)(ii)</w:t>
      </w:r>
      <w:r>
        <w:rPr>
          <w:rFonts w:ascii="Arial" w:cs="Arial" w:eastAsia="Arial" w:hAnsi="Arial"/>
          <w:sz w:val="16"/>
          <w:szCs w:val="16"/>
          <w:color w:val="auto"/>
        </w:rPr>
        <w:t xml:space="preserve">,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Committed Loan included in the relevant Committed Borrowing or L/C Advance in respect of the relevant L/C Borrowing, as the case may be. A certificate of the L/C Issuer submitted to any Revolving Credit Lender (through the Administrative Agent) with respect to any amounts owing under this </w:t>
      </w:r>
      <w:r>
        <w:rPr>
          <w:rFonts w:ascii="Arial" w:cs="Arial" w:eastAsia="Arial" w:hAnsi="Arial"/>
          <w:sz w:val="16"/>
          <w:szCs w:val="16"/>
          <w:u w:val="single" w:color="auto"/>
          <w:color w:val="auto"/>
        </w:rPr>
        <w:t>Section 2.03(c)(vi)</w:t>
      </w:r>
      <w:r>
        <w:rPr>
          <w:rFonts w:ascii="Arial" w:cs="Arial" w:eastAsia="Arial" w:hAnsi="Arial"/>
          <w:sz w:val="16"/>
          <w:szCs w:val="16"/>
          <w:color w:val="auto"/>
        </w:rPr>
        <w:t xml:space="preserve"> shall be conclusive absent manifest error.</w:t>
      </w:r>
    </w:p>
    <w:p>
      <w:pPr>
        <w:spacing w:after="0" w:line="169" w:lineRule="exact"/>
        <w:rPr>
          <w:rFonts w:ascii="Arial" w:cs="Arial" w:eastAsia="Arial" w:hAnsi="Arial"/>
          <w:sz w:val="16"/>
          <w:szCs w:val="16"/>
          <w:color w:val="auto"/>
        </w:rPr>
      </w:pPr>
    </w:p>
    <w:p>
      <w:pPr>
        <w:jc w:val="both"/>
        <w:ind w:left="-540" w:firstLine="645"/>
        <w:spacing w:after="0" w:line="255" w:lineRule="auto"/>
        <w:tabs>
          <w:tab w:leader="none" w:pos="122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 xml:space="preserve">. (i) At any time after the L/C Issuer has made a payment under any Letter of Credit and has received from any Revolving Credit Lender such Lender’s L/C Advance in respect of such payment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Revolving Credit Percentage thereof in the same funds as those received by the Administrative Agent.</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76" w:name="page77"/>
    <w:bookmarkEnd w:id="76"/>
    <w:p>
      <w:pPr>
        <w:jc w:val="both"/>
        <w:ind w:left="100" w:firstLine="653"/>
        <w:spacing w:after="0" w:line="293" w:lineRule="auto"/>
        <w:tabs>
          <w:tab w:leader="none" w:pos="1643"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If any payment received by the Administrative Agent for the account of the L/C Issuer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is required to be returned under any of the circumstances described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(including pursuant to any settlement entered into by the L/C Issuer in its discretion), each Revolving Credit Lender shall pay to the Administrative Agent for the account of the L/C Issuer its Applicable Revolving Credit Percentage thereof on demand of the Administrative Agent,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164" w:lineRule="exact"/>
        <w:rPr>
          <w:rFonts w:ascii="Arial" w:cs="Arial" w:eastAsia="Arial" w:hAnsi="Arial"/>
          <w:sz w:val="16"/>
          <w:szCs w:val="16"/>
          <w:color w:val="auto"/>
        </w:rPr>
      </w:pPr>
    </w:p>
    <w:p>
      <w:pPr>
        <w:jc w:val="both"/>
        <w:ind w:left="-540" w:firstLine="645"/>
        <w:spacing w:after="0" w:line="264" w:lineRule="auto"/>
        <w:tabs>
          <w:tab w:leader="none" w:pos="104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1" w:lineRule="exact"/>
        <w:rPr>
          <w:rFonts w:ascii="Arial" w:cs="Arial" w:eastAsia="Arial" w:hAnsi="Arial"/>
          <w:sz w:val="18"/>
          <w:szCs w:val="18"/>
          <w:color w:val="auto"/>
        </w:rPr>
      </w:pPr>
    </w:p>
    <w:p>
      <w:pPr>
        <w:ind w:left="1680" w:hanging="927"/>
        <w:spacing w:after="0"/>
        <w:tabs>
          <w:tab w:leader="none" w:pos="16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225" w:lineRule="exact"/>
        <w:rPr>
          <w:sz w:val="20"/>
          <w:szCs w:val="20"/>
          <w:color w:val="auto"/>
        </w:rPr>
      </w:pPr>
    </w:p>
    <w:p>
      <w:pPr>
        <w:jc w:val="both"/>
        <w:ind w:left="100" w:firstLine="653"/>
        <w:spacing w:after="0" w:line="279" w:lineRule="auto"/>
        <w:tabs>
          <w:tab w:leader="none" w:pos="171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71" w:lineRule="exact"/>
        <w:rPr>
          <w:rFonts w:ascii="Arial" w:cs="Arial" w:eastAsia="Arial" w:hAnsi="Arial"/>
          <w:sz w:val="17"/>
          <w:szCs w:val="17"/>
          <w:color w:val="auto"/>
        </w:rPr>
      </w:pPr>
    </w:p>
    <w:p>
      <w:pPr>
        <w:jc w:val="both"/>
        <w:ind w:left="100" w:firstLine="653"/>
        <w:spacing w:after="0" w:line="264" w:lineRule="auto"/>
        <w:tabs>
          <w:tab w:leader="none" w:pos="1603"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1" w:lineRule="exact"/>
        <w:rPr>
          <w:rFonts w:ascii="Arial" w:cs="Arial" w:eastAsia="Arial" w:hAnsi="Arial"/>
          <w:sz w:val="18"/>
          <w:szCs w:val="18"/>
          <w:color w:val="auto"/>
        </w:rPr>
      </w:pPr>
    </w:p>
    <w:p>
      <w:pPr>
        <w:jc w:val="both"/>
        <w:ind w:left="100" w:firstLine="653"/>
        <w:spacing w:after="0" w:line="257" w:lineRule="auto"/>
        <w:tabs>
          <w:tab w:leader="none" w:pos="1701"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88" w:lineRule="exact"/>
        <w:rPr>
          <w:rFonts w:ascii="Arial" w:cs="Arial" w:eastAsia="Arial" w:hAnsi="Arial"/>
          <w:sz w:val="18"/>
          <w:szCs w:val="18"/>
          <w:color w:val="auto"/>
        </w:rPr>
      </w:pPr>
    </w:p>
    <w:p>
      <w:pPr>
        <w:ind w:left="100" w:firstLine="653"/>
        <w:spacing w:after="0" w:line="308" w:lineRule="auto"/>
        <w:tabs>
          <w:tab w:leader="none" w:pos="1714"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other circumstance or happening whatsoever, whether or not similar to any of the foregoing, including any other circumstance that might otherwise constitute a defense available to, or a discharge of, the Borrower or any of its Subsidiaries.</w:t>
      </w:r>
    </w:p>
    <w:p>
      <w:pPr>
        <w:spacing w:after="0" w:line="36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77" w:name="page78"/>
    <w:bookmarkEnd w:id="77"/>
    <w:p>
      <w:pPr>
        <w:jc w:val="both"/>
        <w:ind w:firstLine="648"/>
        <w:spacing w:after="0" w:line="286" w:lineRule="auto"/>
        <w:rPr>
          <w:sz w:val="20"/>
          <w:szCs w:val="20"/>
          <w:color w:val="auto"/>
        </w:rPr>
      </w:pPr>
      <w:r>
        <w:rPr>
          <w:rFonts w:ascii="Arial" w:cs="Arial" w:eastAsia="Arial" w:hAnsi="Arial"/>
          <w:sz w:val="17"/>
          <w:szCs w:val="17"/>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66" w:lineRule="exact"/>
        <w:rPr>
          <w:sz w:val="20"/>
          <w:szCs w:val="20"/>
          <w:color w:val="auto"/>
        </w:rPr>
      </w:pPr>
    </w:p>
    <w:p>
      <w:pPr>
        <w:jc w:val="both"/>
        <w:ind w:left="660" w:firstLine="645"/>
        <w:spacing w:after="0" w:line="285" w:lineRule="auto"/>
        <w:tabs>
          <w:tab w:leader="none" w:pos="2316"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Role of L/C Issuer</w:t>
      </w:r>
      <w:r>
        <w:rPr>
          <w:rFonts w:ascii="Arial" w:cs="Arial" w:eastAsia="Arial" w:hAnsi="Arial"/>
          <w:sz w:val="16"/>
          <w:szCs w:val="16"/>
          <w:color w:val="auto"/>
        </w:rPr>
        <w:t xml:space="preserve">. Each Lender and the Borrower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Revolving Credit Lenders or the Required Revolving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the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jc w:val="both"/>
        <w:ind w:left="-540" w:firstLine="645"/>
        <w:spacing w:after="0" w:line="267" w:lineRule="auto"/>
        <w:tabs>
          <w:tab w:leader="none" w:pos="1155"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Cash Collateral</w:t>
      </w:r>
      <w:r>
        <w:rPr>
          <w:rFonts w:ascii="Arial" w:cs="Arial" w:eastAsia="Arial" w:hAnsi="Arial"/>
          <w:sz w:val="17"/>
          <w:szCs w:val="17"/>
          <w:color w:val="auto"/>
        </w:rPr>
        <w:t xml:space="preserve">. Upon the request of the Administrative Agent, (i) if the L/C Issuer has honored any full or partial drawing request under any Letter of Credit and such drawing has resulted in an L/C Borrowing shall within three (3) Business Days, or (ii) if, as of the Letter of Credit Expiration Date, any L/C Obligation for any reason remains outstanding, the Borrower shall, immediately, Cash Collateralize the then Outstanding Amount of all L/C Obligations. </w:t>
      </w:r>
      <w:r>
        <w:rPr>
          <w:rFonts w:ascii="Arial" w:cs="Arial" w:eastAsia="Arial" w:hAnsi="Arial"/>
          <w:sz w:val="17"/>
          <w:szCs w:val="17"/>
          <w:u w:val="single" w:color="auto"/>
          <w:color w:val="auto"/>
        </w:rPr>
        <w:t>Sections 2.05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8.02(c)</w:t>
      </w:r>
      <w:r>
        <w:rPr>
          <w:rFonts w:ascii="Arial" w:cs="Arial" w:eastAsia="Arial" w:hAnsi="Arial"/>
          <w:sz w:val="17"/>
          <w:szCs w:val="17"/>
          <w:color w:val="auto"/>
        </w:rPr>
        <w:t xml:space="preserve"> set forth certain additional requirements to deliver Cash Collateral hereunder. For purposes of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8.02(c)</w:t>
      </w:r>
      <w:r>
        <w:rPr>
          <w:rFonts w:ascii="Arial" w:cs="Arial" w:eastAsia="Arial" w:hAnsi="Arial"/>
          <w:sz w:val="17"/>
          <w:szCs w:val="17"/>
          <w:color w:val="auto"/>
        </w:rPr>
        <w:t>, “</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to pledge and deposit with or deliver to the Administrative Agent, for the benefit of the L/C Issuer and the Lenders, as collateral for the L/C Obligations, cash or deposit account balances pursuant to documentation in form and substance satisfactory to the Administrative Agent and the L/C Issuer (which documents are hereby consented to by the Lenders) in the Minimum Collateral Amount. Derivatives of such term have corresponding meanings. The Borrower hereby grants to the Administrative Agent, for the benefit of the L/C Issuer and the Lenders, a security interest in all such cash, deposit accounts and all balances therein and all proceeds of the foregoing. Cash Collateral shall be maintained in blocked, non-interest bearing deposit accounts at Bank of America. If at any time the Administrative Agent determines that any funds held as Cash Collateral are subject to any right or claim of any Person other than the Administrative Agent or that the total amount of such funds is less than the aggregate Outstanding Amount of all L/C Obligations, the Borrower will, forthwith upon demand by the Administrative Agent, pay to the Administrative Agent, as additional funds to be deposited as Cash Collateral, an amount equal to the excess of (x) such aggregate Outstanding Amount over (y) the total amount of funds, if any, then held as Cash Collateral that the Administrative Agent determines to be free and clear of any such right and claim. Upon the drawing of any Letter of Credit for which funds are on deposit as Cash Collateral, such funds shall be applied, to the extent permitted under applicable Laws, to reimburse the L/C Issuer.</w:t>
      </w:r>
    </w:p>
    <w:p>
      <w:pPr>
        <w:spacing w:after="0" w:line="192" w:lineRule="exact"/>
        <w:rPr>
          <w:rFonts w:ascii="Arial" w:cs="Arial" w:eastAsia="Arial" w:hAnsi="Arial"/>
          <w:sz w:val="17"/>
          <w:szCs w:val="17"/>
          <w:color w:val="auto"/>
        </w:rPr>
      </w:pPr>
    </w:p>
    <w:p>
      <w:pPr>
        <w:jc w:val="both"/>
        <w:ind w:left="-540" w:firstLine="645"/>
        <w:spacing w:after="0" w:line="259" w:lineRule="auto"/>
        <w:tabs>
          <w:tab w:leader="none" w:pos="993"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Applicability of ISP and UCP</w:t>
      </w:r>
      <w:r>
        <w:rPr>
          <w:rFonts w:ascii="Arial" w:cs="Arial" w:eastAsia="Arial" w:hAnsi="Arial"/>
          <w:sz w:val="18"/>
          <w:szCs w:val="18"/>
          <w:color w:val="auto"/>
        </w:rPr>
        <w:t>. Unless otherwise expressly agreed by the L/C Issuer and the Borrower when a Letter 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spacing w:after="0" w:line="186" w:lineRule="exact"/>
        <w:rPr>
          <w:rFonts w:ascii="Arial" w:cs="Arial" w:eastAsia="Arial" w:hAnsi="Arial"/>
          <w:sz w:val="18"/>
          <w:szCs w:val="18"/>
          <w:color w:val="auto"/>
        </w:rPr>
      </w:pPr>
    </w:p>
    <w:p>
      <w:pPr>
        <w:jc w:val="both"/>
        <w:ind w:left="-540" w:firstLine="645"/>
        <w:spacing w:after="0" w:line="271" w:lineRule="auto"/>
        <w:tabs>
          <w:tab w:leader="none" w:pos="1084"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The Borrower shall pay to the Administrative Agent for the account of each Revolving Credit Lender in accordance with its Applicable Revolving Credit Percentage a Letter of Credit fee (the “</w:t>
      </w:r>
      <w:r>
        <w:rPr>
          <w:rFonts w:ascii="Arial" w:cs="Arial" w:eastAsia="Arial" w:hAnsi="Arial"/>
          <w:sz w:val="17"/>
          <w:szCs w:val="17"/>
          <w:u w:val="single" w:color="auto"/>
          <w:color w:val="auto"/>
        </w:rPr>
        <w:t>Letter of Credit Fee</w:t>
      </w:r>
      <w:r>
        <w:rPr>
          <w:rFonts w:ascii="Arial" w:cs="Arial" w:eastAsia="Arial" w:hAnsi="Arial"/>
          <w:sz w:val="17"/>
          <w:szCs w:val="17"/>
          <w:color w:val="auto"/>
        </w:rPr>
        <w:t xml:space="preserve">”) for each Letter of Credit equal to 2.50% per annum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Notwithstanding anything to the contrary contained herein, upon the request of the Required Revolving Lenders, while any Event of Default exists, all Letter of Credit Fees shall accrue at the Default Rate.</w:t>
      </w:r>
    </w:p>
    <w:p>
      <w:pPr>
        <w:spacing w:after="0" w:line="39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79" w:name="page80"/>
    <w:bookmarkEnd w:id="79"/>
    <w:p>
      <w:pPr>
        <w:jc w:val="both"/>
        <w:ind w:firstLine="645"/>
        <w:spacing w:after="0" w:line="270" w:lineRule="auto"/>
        <w:tabs>
          <w:tab w:leader="none" w:pos="1772"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Fronting Fee and Documentary and Processing Charges Payable to L/C Issuer</w:t>
      </w:r>
      <w:r>
        <w:rPr>
          <w:rFonts w:ascii="Arial" w:cs="Arial" w:eastAsia="Arial" w:hAnsi="Arial"/>
          <w:sz w:val="17"/>
          <w:szCs w:val="17"/>
          <w:color w:val="auto"/>
        </w:rPr>
        <w:t xml:space="preserve">. The Borrower shall pay directly to the L/C Issuer for its own account a fronting fee with respect to each Letter of Credit, at one-eighth of one percent (0.125%) per annum, computed on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77" w:lineRule="exact"/>
        <w:rPr>
          <w:rFonts w:ascii="Arial" w:cs="Arial" w:eastAsia="Arial" w:hAnsi="Arial"/>
          <w:sz w:val="17"/>
          <w:szCs w:val="17"/>
          <w:color w:val="auto"/>
        </w:rPr>
      </w:pPr>
    </w:p>
    <w:p>
      <w:pPr>
        <w:ind w:right="20" w:firstLine="645"/>
        <w:spacing w:after="0" w:line="277" w:lineRule="auto"/>
        <w:tabs>
          <w:tab w:leader="none" w:pos="161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5"/>
          <w:szCs w:val="15"/>
          <w:u w:val="single" w:color="auto"/>
          <w:color w:val="auto"/>
        </w:rPr>
        <w:t>Reserved</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5"/>
          <w:szCs w:val="15"/>
          <w:u w:val="single" w:color="auto"/>
          <w:color w:val="auto"/>
        </w:rPr>
        <w:t>Prepayments</w:t>
      </w:r>
    </w:p>
    <w:p>
      <w:pPr>
        <w:spacing w:after="0" w:line="225" w:lineRule="exact"/>
        <w:rPr>
          <w:sz w:val="20"/>
          <w:szCs w:val="20"/>
          <w:color w:val="auto"/>
        </w:rPr>
      </w:pPr>
    </w:p>
    <w:p>
      <w:pPr>
        <w:jc w:val="both"/>
        <w:ind w:firstLine="645"/>
        <w:spacing w:after="0" w:line="268" w:lineRule="auto"/>
        <w:tabs>
          <w:tab w:leader="none" w:pos="2014"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Optional</w:t>
      </w:r>
      <w:r>
        <w:rPr>
          <w:rFonts w:ascii="Arial" w:cs="Arial" w:eastAsia="Arial" w:hAnsi="Arial"/>
          <w:sz w:val="17"/>
          <w:szCs w:val="17"/>
          <w:color w:val="auto"/>
        </w:rPr>
        <w:t xml:space="preserve">. Subject to the last sentence of this </w:t>
      </w:r>
      <w:r>
        <w:rPr>
          <w:rFonts w:ascii="Arial" w:cs="Arial" w:eastAsia="Arial" w:hAnsi="Arial"/>
          <w:sz w:val="17"/>
          <w:szCs w:val="17"/>
          <w:u w:val="single" w:color="auto"/>
          <w:color w:val="auto"/>
        </w:rPr>
        <w:t>Section 2.05(a)(i)</w:t>
      </w:r>
      <w:r>
        <w:rPr>
          <w:rFonts w:ascii="Arial" w:cs="Arial" w:eastAsia="Arial" w:hAnsi="Arial"/>
          <w:sz w:val="17"/>
          <w:szCs w:val="17"/>
          <w:color w:val="auto"/>
        </w:rPr>
        <w:t xml:space="preserve">, the Borrower may, upon delivery of a notice to the Administrative Agent, at any time or from time to time voluntarily prepay the Term Loan and Revolving Credit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notice must be received by the Administrative Agent not later than 11:00 a.m. (1) three Business Days prior to any date of prepayment of Eurodollar Rate Loans and (2) on the date of prepayment of LIBOR Daily Floating Rate Loans; (B) any prepayment of Eurodollar Rate Loans shall be in a principal amount of $500,000 or a whole multiple of $100,000 in excess thereof; and (C) any prepayment of LIBOR Daily Floating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Each prepayment of the outstanding Term Loan pursuant to this </w:t>
      </w:r>
      <w:r>
        <w:rPr>
          <w:rFonts w:ascii="Arial" w:cs="Arial" w:eastAsia="Arial" w:hAnsi="Arial"/>
          <w:sz w:val="17"/>
          <w:szCs w:val="17"/>
          <w:u w:val="single" w:color="auto"/>
          <w:color w:val="auto"/>
        </w:rPr>
        <w:t>Section 2.05(a)</w:t>
      </w:r>
      <w:r>
        <w:rPr>
          <w:rFonts w:ascii="Arial" w:cs="Arial" w:eastAsia="Arial" w:hAnsi="Arial"/>
          <w:sz w:val="17"/>
          <w:szCs w:val="17"/>
          <w:color w:val="auto"/>
        </w:rPr>
        <w:t xml:space="preserve"> shall be applied to the principal repayment installments of the Term Loan in inverse order of maturity, and each such prepayment shall be paid to the Lenders in accordance with their respective Applicable Percentages in respect of each of the relevant Facilities.</w:t>
      </w:r>
    </w:p>
    <w:p>
      <w:pPr>
        <w:spacing w:after="0" w:line="39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80" w:name="page81"/>
    <w:bookmarkEnd w:id="80"/>
    <w:p>
      <w:pPr>
        <w:jc w:val="both"/>
        <w:ind w:firstLine="645"/>
        <w:spacing w:after="0" w:line="283" w:lineRule="auto"/>
        <w:tabs>
          <w:tab w:leader="none" w:pos="160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Mandatory</w:t>
      </w:r>
      <w:r>
        <w:rPr>
          <w:rFonts w:ascii="Arial" w:cs="Arial" w:eastAsia="Arial" w:hAnsi="Arial"/>
          <w:sz w:val="16"/>
          <w:szCs w:val="16"/>
          <w:color w:val="auto"/>
        </w:rPr>
        <w:t xml:space="preserve">. (i) If the Borrower or any of its Subsidiaries Disposes of any property (other than any Disposition of any property permitted by </w:t>
      </w:r>
      <w:r>
        <w:rPr>
          <w:rFonts w:ascii="Arial" w:cs="Arial" w:eastAsia="Arial" w:hAnsi="Arial"/>
          <w:sz w:val="16"/>
          <w:szCs w:val="16"/>
          <w:u w:val="single" w:color="auto"/>
          <w:color w:val="auto"/>
        </w:rPr>
        <w:t>Section 7.05(a)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which results in the realization by such Person of Net Cash Proceeds, the Borrower shall prepay an aggregate principal amount of Loans equal to 100% of such Net Cash Proceeds within five (5) Business Days upon receipt thereof by such Person (such prepayments to be applied as set forth in clauses (vi) and (ix)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Net Cash Proceeds realized under a Disposition described in this </w:t>
      </w:r>
      <w:r>
        <w:rPr>
          <w:rFonts w:ascii="Arial" w:cs="Arial" w:eastAsia="Arial" w:hAnsi="Arial"/>
          <w:sz w:val="16"/>
          <w:szCs w:val="16"/>
          <w:u w:val="single" w:color="auto"/>
          <w:color w:val="auto"/>
        </w:rPr>
        <w:t>Section 2.05(b)(i)</w:t>
      </w:r>
      <w:r>
        <w:rPr>
          <w:rFonts w:ascii="Arial" w:cs="Arial" w:eastAsia="Arial" w:hAnsi="Arial"/>
          <w:sz w:val="16"/>
          <w:szCs w:val="16"/>
          <w:color w:val="auto"/>
        </w:rPr>
        <w:t xml:space="preserve">, such Net Cash Proceeds will be deposited in an account of a Loan Party with the Administrative Agent and, at the election of the Borrower (as notified by the Borrower to the Administrative Agent on or prior to the date of such Disposition), and so long as no Default or Event of Default shall have occurred and be continuing, the Borrower or such Subsidiary may reinvest all or any portion of such Net Cash Proceeds in operating assets so long as within 180 days after the receipt of such Net Cash Proceeds, such purchase shall have been consummated (as certified by the Borrower in writing to the Administrative Agent);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however, that any Net Cash Proceeds not subject to such definitive agreement or so reinvested shall be immediately applied to the prepayment of the Loans as set forth in this </w:t>
      </w:r>
      <w:r>
        <w:rPr>
          <w:rFonts w:ascii="Arial" w:cs="Arial" w:eastAsia="Arial" w:hAnsi="Arial"/>
          <w:sz w:val="16"/>
          <w:szCs w:val="16"/>
          <w:u w:val="single" w:color="auto"/>
          <w:color w:val="auto"/>
        </w:rPr>
        <w:t>Section 2.05(b)</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left="640" w:firstLine="653"/>
        <w:spacing w:after="0" w:line="279" w:lineRule="auto"/>
        <w:tabs>
          <w:tab w:leader="none" w:pos="2385" w:val="left"/>
        </w:tabs>
        <w:numPr>
          <w:ilvl w:val="1"/>
          <w:numId w:val="71"/>
        </w:numPr>
        <w:rPr>
          <w:rFonts w:ascii="Arial" w:cs="Arial" w:eastAsia="Arial" w:hAnsi="Arial"/>
          <w:sz w:val="17"/>
          <w:szCs w:val="17"/>
          <w:color w:val="auto"/>
        </w:rPr>
      </w:pPr>
      <w:r>
        <w:rPr>
          <w:rFonts w:ascii="Arial" w:cs="Arial" w:eastAsia="Arial" w:hAnsi="Arial"/>
          <w:sz w:val="17"/>
          <w:szCs w:val="17"/>
          <w:color w:val="auto"/>
        </w:rPr>
        <w:t>Upon the sale or issuance by the Borrower or any of its Subsidiaries of any of its Equity Interests (other than the issuance of common stock upon the exercise of stock options held by employees and directors of the Borrower), the Borrower shall prepay an aggregate principal amount of Loans equal to 100% of all Net Cash Proceeds received therefrom immediately upon receipt thereof by the Borrower or such Subsidiary (such prepayments to be applied as set forth in clauses (vi) and (ix) below).</w:t>
      </w:r>
    </w:p>
    <w:p>
      <w:pPr>
        <w:spacing w:after="0" w:line="171" w:lineRule="exact"/>
        <w:rPr>
          <w:rFonts w:ascii="Arial" w:cs="Arial" w:eastAsia="Arial" w:hAnsi="Arial"/>
          <w:sz w:val="17"/>
          <w:szCs w:val="17"/>
          <w:color w:val="auto"/>
        </w:rPr>
      </w:pPr>
    </w:p>
    <w:p>
      <w:pPr>
        <w:jc w:val="both"/>
        <w:ind w:left="640" w:firstLine="653"/>
        <w:spacing w:after="0" w:line="259" w:lineRule="auto"/>
        <w:tabs>
          <w:tab w:leader="none" w:pos="2535"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Upon the incurrence or issuance by the Borrower or any of its Subsidiaries of any Indebtedness (other than Indebtedness expressly permitted to be incurred or issued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the Borrower shall prepay an aggregate principal amount of Loans equal to 100% of all Net Cash Proceeds received therefrom immediately upon receipt thereof by the Borrower or such Subsidiary (such prepayments to be applied as set forth in clauses (vi) and (ix) below).</w:t>
      </w:r>
    </w:p>
    <w:p>
      <w:pPr>
        <w:spacing w:after="0" w:line="186" w:lineRule="exact"/>
        <w:rPr>
          <w:rFonts w:ascii="Arial" w:cs="Arial" w:eastAsia="Arial" w:hAnsi="Arial"/>
          <w:sz w:val="18"/>
          <w:szCs w:val="18"/>
          <w:color w:val="auto"/>
        </w:rPr>
      </w:pPr>
    </w:p>
    <w:p>
      <w:pPr>
        <w:jc w:val="both"/>
        <w:ind w:left="640" w:firstLine="653"/>
        <w:spacing w:after="0" w:line="288" w:lineRule="auto"/>
        <w:tabs>
          <w:tab w:leader="none" w:pos="2187"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Upon any Extraordinary Receipt above an aggregate amount of $1,500,000 during any fiscal year, received by or paid to or for the account of the Borrower or any of its Subsidiaries, and not otherwise included in clause (ii), (iii) or (iv) of this </w:t>
      </w:r>
      <w:r>
        <w:rPr>
          <w:rFonts w:ascii="Arial" w:cs="Arial" w:eastAsia="Arial" w:hAnsi="Arial"/>
          <w:sz w:val="16"/>
          <w:szCs w:val="16"/>
          <w:u w:val="single" w:color="auto"/>
          <w:color w:val="auto"/>
        </w:rPr>
        <w:t>Section 2.05(b)</w:t>
      </w:r>
      <w:r>
        <w:rPr>
          <w:rFonts w:ascii="Arial" w:cs="Arial" w:eastAsia="Arial" w:hAnsi="Arial"/>
          <w:sz w:val="16"/>
          <w:szCs w:val="16"/>
          <w:color w:val="auto"/>
        </w:rPr>
        <w:t>, the Borrower shall prepay an aggregate principal amount of Loans equal to 100% of all Net Cash Proceeds received therefrom within five</w:t>
      </w:r>
    </w:p>
    <w:p>
      <w:pPr>
        <w:jc w:val="both"/>
        <w:ind w:left="64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(5) Business Days upon receipt thereof by the Borrower or such Subsidiary (such prepayments to be applied as set forth in clauses (vi) and (ix)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proceeds of insurance, condemnation awards (or payments in lieu thereof) or indemnity payments, at the election of the Borrower (as notified by the Borrower to the Administrative Agent on or prior to the date of receipt of such insurance proceeds, condemnation awards or indemnity payments), and so long as no Default or Event of Default shall have occurred and be continuing, the Borrower or such Subsidiary may apply within 180 days after the receipt of such cash proceeds to replace or repair the equipment, fixed assets or real property in respect of which such cash proceeds were received;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cash proceeds not so applied shall be immediately applied to the prepayment of the Loans as set forth in this </w:t>
      </w:r>
      <w:r>
        <w:rPr>
          <w:rFonts w:ascii="Arial" w:cs="Arial" w:eastAsia="Arial" w:hAnsi="Arial"/>
          <w:sz w:val="16"/>
          <w:szCs w:val="16"/>
          <w:u w:val="single" w:color="auto"/>
          <w:color w:val="auto"/>
        </w:rPr>
        <w:t>Section 2.05(b)(v)</w:t>
      </w:r>
      <w:r>
        <w:rPr>
          <w:rFonts w:ascii="Arial" w:cs="Arial" w:eastAsia="Arial" w:hAnsi="Arial"/>
          <w:sz w:val="16"/>
          <w:szCs w:val="16"/>
          <w:color w:val="auto"/>
        </w:rPr>
        <w:t>.</w:t>
      </w:r>
    </w:p>
    <w:p>
      <w:pPr>
        <w:spacing w:after="0" w:line="38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81" w:name="page82"/>
    <w:bookmarkEnd w:id="81"/>
    <w:p>
      <w:pPr>
        <w:jc w:val="both"/>
        <w:ind w:left="640" w:firstLine="653"/>
        <w:spacing w:after="0" w:line="264" w:lineRule="auto"/>
        <w:tabs>
          <w:tab w:leader="none" w:pos="2294"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Each prepayment of Loans pursuant to the foregoing provisions of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Term Loan and to the principal repayment installments thereof in inverse order of maturity and,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Revolving Credit Facility in the manner set forth in clause (ix) of this </w:t>
      </w:r>
      <w:r>
        <w:rPr>
          <w:rFonts w:ascii="Arial" w:cs="Arial" w:eastAsia="Arial" w:hAnsi="Arial"/>
          <w:sz w:val="18"/>
          <w:szCs w:val="18"/>
          <w:u w:val="single" w:color="auto"/>
          <w:color w:val="auto"/>
        </w:rPr>
        <w:t>Section 2.05(b)</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640" w:firstLine="653"/>
        <w:spacing w:after="0" w:line="257" w:lineRule="auto"/>
        <w:tabs>
          <w:tab w:leader="none" w:pos="2268"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If as of the last day of any fiscal quarter the aggregate outstanding principal amount of the Revolving Credit Loans exceeds the Borrower’s Working Capital, the Borrower will within five (5) Business Days repay the Revolving Credit Notes, without penalty or premium (other than the amounts due under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2.5</w:t>
      </w:r>
      <w:r>
        <w:rPr>
          <w:rFonts w:ascii="Arial" w:cs="Arial" w:eastAsia="Arial" w:hAnsi="Arial"/>
          <w:sz w:val="18"/>
          <w:szCs w:val="18"/>
          <w:color w:val="auto"/>
        </w:rPr>
        <w:t>, if applicable), in an amount necessary to cause the outstanding principal amount of the Revolving Credit Loans not to exceed the Borrower’s Working Capital as of the last day of such fiscal quarter.</w:t>
      </w:r>
    </w:p>
    <w:p>
      <w:pPr>
        <w:spacing w:after="0" w:line="188" w:lineRule="exact"/>
        <w:rPr>
          <w:rFonts w:ascii="Arial" w:cs="Arial" w:eastAsia="Arial" w:hAnsi="Arial"/>
          <w:sz w:val="18"/>
          <w:szCs w:val="18"/>
          <w:color w:val="auto"/>
        </w:rPr>
      </w:pPr>
    </w:p>
    <w:p>
      <w:pPr>
        <w:jc w:val="both"/>
        <w:ind w:left="640" w:firstLine="653"/>
        <w:spacing w:after="0" w:line="288" w:lineRule="auto"/>
        <w:tabs>
          <w:tab w:leader="none" w:pos="2106"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Prepayments of the Revolving Credit Facility made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shall be applied ratably to the L/C Borrowings,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shall be applied to the outstanding Revolving Credit Loans and, </w:t>
      </w:r>
      <w:r>
        <w:rPr>
          <w:rFonts w:ascii="Arial" w:cs="Arial" w:eastAsia="Arial" w:hAnsi="Arial"/>
          <w:sz w:val="16"/>
          <w:szCs w:val="16"/>
          <w:u w:val="single" w:color="auto"/>
          <w:color w:val="auto"/>
        </w:rPr>
        <w:t>third</w:t>
      </w:r>
      <w:r>
        <w:rPr>
          <w:rFonts w:ascii="Arial" w:cs="Arial" w:eastAsia="Arial" w:hAnsi="Arial"/>
          <w:sz w:val="16"/>
          <w:szCs w:val="16"/>
          <w:color w:val="auto"/>
        </w:rPr>
        <w:t>, shall be used to Cash Collateralize the remaining L/C Obligations; and, in the case of prepayments of the Revolving Credit Facility required pursuant to clause (i), (ii), (iii), (iv) or</w:t>
      </w:r>
    </w:p>
    <w:p>
      <w:pPr>
        <w:jc w:val="both"/>
        <w:ind w:left="640" w:firstLine="5"/>
        <w:spacing w:after="0" w:line="269" w:lineRule="auto"/>
        <w:tabs>
          <w:tab w:leader="none" w:pos="908"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of this </w:t>
      </w:r>
      <w:r>
        <w:rPr>
          <w:rFonts w:ascii="Arial" w:cs="Arial" w:eastAsia="Arial" w:hAnsi="Arial"/>
          <w:sz w:val="17"/>
          <w:szCs w:val="17"/>
          <w:u w:val="single" w:color="auto"/>
          <w:color w:val="auto"/>
        </w:rPr>
        <w:t>Section 2.05(b)</w:t>
      </w:r>
      <w:r>
        <w:rPr>
          <w:rFonts w:ascii="Arial" w:cs="Arial" w:eastAsia="Arial" w:hAnsi="Arial"/>
          <w:sz w:val="17"/>
          <w:szCs w:val="17"/>
          <w:color w:val="auto"/>
        </w:rPr>
        <w:t>, the amount remaining, if any, after the prepayment in full of all L/C Borrowings and Revolving Credit Loans outstanding at such time and the Cash Collateralization of the remaining L/C Obligations in full (the sum of such prepayment amounts, cash collateralization amounts and remaining amount being, collectively, the “</w:t>
      </w:r>
      <w:r>
        <w:rPr>
          <w:rFonts w:ascii="Arial" w:cs="Arial" w:eastAsia="Arial" w:hAnsi="Arial"/>
          <w:sz w:val="17"/>
          <w:szCs w:val="17"/>
          <w:u w:val="single" w:color="auto"/>
          <w:color w:val="auto"/>
        </w:rPr>
        <w:t>Reduction Amount</w:t>
      </w:r>
      <w:r>
        <w:rPr>
          <w:rFonts w:ascii="Arial" w:cs="Arial" w:eastAsia="Arial" w:hAnsi="Arial"/>
          <w:sz w:val="17"/>
          <w:szCs w:val="17"/>
          <w:color w:val="auto"/>
        </w:rPr>
        <w:t xml:space="preserve">”) may be retained by the Borrower for use in the ordinary course of its business, and the Revolving Credit Facility shall be automatically and permanently reduced by the Reduction Amount as set forth in </w:t>
      </w:r>
      <w:r>
        <w:rPr>
          <w:rFonts w:ascii="Arial" w:cs="Arial" w:eastAsia="Arial" w:hAnsi="Arial"/>
          <w:sz w:val="17"/>
          <w:szCs w:val="17"/>
          <w:u w:val="single" w:color="auto"/>
          <w:color w:val="auto"/>
        </w:rPr>
        <w:t>Section 2.06(b)(iii)</w:t>
      </w:r>
      <w:r>
        <w:rPr>
          <w:rFonts w:ascii="Arial" w:cs="Arial" w:eastAsia="Arial" w:hAnsi="Arial"/>
          <w:sz w:val="17"/>
          <w:szCs w:val="17"/>
          <w:color w:val="auto"/>
        </w:rPr>
        <w:t>. Upon the drawing of any Letter of Credit that has been Cash Collateralized, the funds held as Cash Collateral shall be applied (without any further action by or notice to or from the Borrower or any other Loan Party) to reimburse the L/C Issuer or the Revolving Credit Lenders, as applicable.</w:t>
      </w:r>
    </w:p>
    <w:p>
      <w:pPr>
        <w:spacing w:after="0" w:line="18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u w:val="single" w:color="auto"/>
          <w:color w:val="auto"/>
        </w:rPr>
        <w:t>Termination or Reduction of Commitments</w:t>
      </w:r>
    </w:p>
    <w:p>
      <w:pPr>
        <w:spacing w:after="0" w:line="225" w:lineRule="exact"/>
        <w:rPr>
          <w:sz w:val="20"/>
          <w:szCs w:val="20"/>
          <w:color w:val="auto"/>
        </w:rPr>
      </w:pPr>
    </w:p>
    <w:p>
      <w:pPr>
        <w:jc w:val="both"/>
        <w:ind w:firstLine="645"/>
        <w:spacing w:after="0" w:line="291" w:lineRule="auto"/>
        <w:tabs>
          <w:tab w:leader="none" w:pos="1676"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The Borrower may, upon notice to the Administrative Agent, terminate the Revolving Credit Facility, the Letter of Credit Sublimit, or from time to time permanently reduce the Revolving Credit Facility or the Letter of Credit Sublimit;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notice shall be received by the Administrative Agent not later than 11:00 a.m. five Business Days prior to the date of termination or reduction, (ii) any such partial reduction shall be in an aggregate amount of $5,000,000 or any whole multiple of $250,000 in excess thereof and (iii) the Borrower shall not terminate or reduce (A) the Revolving Credit Facility if, after giving effect thereto and to any concurrent prepayments hereunder, the Total Revolving Credit Outstandings would exceed the Revolving Credit Facility, or (B) the Letter of Credit Sublimit if, after giving effect thereto, the Outstanding Amount of L/C Obligations not fully Cash Collateralized hereunder would exceed the Letter of Credit Sublimit.</w:t>
      </w:r>
    </w:p>
    <w:p>
      <w:pPr>
        <w:spacing w:after="0" w:line="38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82" w:name="page83"/>
    <w:bookmarkEnd w:id="82"/>
    <w:p>
      <w:pPr>
        <w:ind w:left="1520" w:hanging="875"/>
        <w:spacing w:after="0"/>
        <w:tabs>
          <w:tab w:leader="none" w:pos="152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53"/>
        <w:spacing w:after="0" w:line="264" w:lineRule="auto"/>
        <w:tabs>
          <w:tab w:leader="none" w:pos="2385"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The Revolving Credit Facility shall be automatically and permanently reduced both (x) on each date on which the prepayment of Revolving Credit Loans outstanding thereunder is required to be made pursuant to </w:t>
      </w:r>
      <w:r>
        <w:rPr>
          <w:rFonts w:ascii="Arial" w:cs="Arial" w:eastAsia="Arial" w:hAnsi="Arial"/>
          <w:sz w:val="18"/>
          <w:szCs w:val="18"/>
          <w:u w:val="single" w:color="auto"/>
          <w:color w:val="auto"/>
        </w:rPr>
        <w:t>Section 2.05(b)(i)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w:t>
      </w:r>
      <w:r>
        <w:rPr>
          <w:rFonts w:ascii="Arial" w:cs="Arial" w:eastAsia="Arial" w:hAnsi="Arial"/>
          <w:sz w:val="18"/>
          <w:szCs w:val="18"/>
          <w:color w:val="auto"/>
        </w:rPr>
        <w:t xml:space="preserve"> by an amount equal to the applicable Reduction Amount.</w:t>
      </w:r>
    </w:p>
    <w:p>
      <w:pPr>
        <w:spacing w:after="0" w:line="181" w:lineRule="exact"/>
        <w:rPr>
          <w:rFonts w:ascii="Arial" w:cs="Arial" w:eastAsia="Arial" w:hAnsi="Arial"/>
          <w:sz w:val="18"/>
          <w:szCs w:val="18"/>
          <w:color w:val="auto"/>
        </w:rPr>
      </w:pPr>
    </w:p>
    <w:p>
      <w:pPr>
        <w:jc w:val="both"/>
        <w:ind w:left="640" w:firstLine="653"/>
        <w:spacing w:after="0" w:line="264" w:lineRule="auto"/>
        <w:tabs>
          <w:tab w:leader="none" w:pos="2304"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If after giving effect to any reduction or termination of Revolving Credit Commitments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the Letter of Credit Sublimit exceeds the Revolving Credit Facility at such time, or the Letter of Credit Sublimit, as the case may be, shall be automatically reduced by the amount of such excess.</w:t>
      </w:r>
    </w:p>
    <w:p>
      <w:pPr>
        <w:spacing w:after="0" w:line="181" w:lineRule="exact"/>
        <w:rPr>
          <w:rFonts w:ascii="Arial" w:cs="Arial" w:eastAsia="Arial" w:hAnsi="Arial"/>
          <w:sz w:val="18"/>
          <w:szCs w:val="18"/>
          <w:color w:val="auto"/>
        </w:rPr>
      </w:pPr>
    </w:p>
    <w:p>
      <w:pPr>
        <w:jc w:val="both"/>
        <w:ind w:firstLine="645"/>
        <w:spacing w:after="0" w:line="276" w:lineRule="auto"/>
        <w:tabs>
          <w:tab w:leader="none" w:pos="1622"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Application of Commitment Reductions; Payment of Fees</w:t>
      </w:r>
      <w:r>
        <w:rPr>
          <w:rFonts w:ascii="Arial" w:cs="Arial" w:eastAsia="Arial" w:hAnsi="Arial"/>
          <w:sz w:val="17"/>
          <w:szCs w:val="17"/>
          <w:color w:val="auto"/>
        </w:rPr>
        <w:t xml:space="preserve">. The Administrative Agent will promptly notify the Lenders of any termination or reduction of the Letter of Credit Sublimit or the Revolving Credit Commitment under this </w:t>
      </w:r>
      <w:r>
        <w:rPr>
          <w:rFonts w:ascii="Arial" w:cs="Arial" w:eastAsia="Arial" w:hAnsi="Arial"/>
          <w:sz w:val="17"/>
          <w:szCs w:val="17"/>
          <w:u w:val="single" w:color="auto"/>
          <w:color w:val="auto"/>
        </w:rPr>
        <w:t>Section 2.06</w:t>
      </w:r>
      <w:r>
        <w:rPr>
          <w:rFonts w:ascii="Arial" w:cs="Arial" w:eastAsia="Arial" w:hAnsi="Arial"/>
          <w:sz w:val="17"/>
          <w:szCs w:val="17"/>
          <w:color w:val="auto"/>
        </w:rPr>
        <w:t>. Upon any reduction of the Revolving Credit Commitments, the Revolving Credit Commitment of each Revolving Credit Lender shall be reduced by such Lender’s Applicable Revolving Credit Percentage of such reduction amount. All fees in respect of the Revolving Credit Facility accrued until the effective date of any termination of the Revolving Credit Facility shall be paid on the effective date of such termination.</w:t>
      </w:r>
    </w:p>
    <w:p>
      <w:pPr>
        <w:spacing w:after="0" w:line="17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6"/>
          <w:szCs w:val="16"/>
          <w:u w:val="single" w:color="auto"/>
          <w:color w:val="auto"/>
        </w:rPr>
        <w:t>Repayment of Loans</w:t>
      </w:r>
    </w:p>
    <w:p>
      <w:pPr>
        <w:spacing w:after="0" w:line="225" w:lineRule="exact"/>
        <w:rPr>
          <w:sz w:val="20"/>
          <w:szCs w:val="20"/>
          <w:color w:val="auto"/>
        </w:rPr>
      </w:pPr>
    </w:p>
    <w:p>
      <w:pPr>
        <w:jc w:val="both"/>
        <w:ind w:firstLine="645"/>
        <w:spacing w:after="0" w:line="276" w:lineRule="auto"/>
        <w:tabs>
          <w:tab w:leader="none" w:pos="1622"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Term Loan</w:t>
      </w:r>
      <w:r>
        <w:rPr>
          <w:rFonts w:ascii="Arial" w:cs="Arial" w:eastAsia="Arial" w:hAnsi="Arial"/>
          <w:sz w:val="17"/>
          <w:szCs w:val="17"/>
          <w:color w:val="auto"/>
        </w:rPr>
        <w:t xml:space="preserve">. The Borrower shall repay to the Term Lenders, Seven Hundred Thousand Dollars ($700,000) on the last Business Day of each calendar quarter commencing with a payment on June 30, 2017 and on the last Business Day of each calendar quarter thereafter (which amounts shall be reduced as a result of the application of prepayments in accordance with Section 2.05(b)(v));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final principal payment of the Term Loan shall be made on the Maturity Date for the Term Loan and in any event shall be in an amount equal to the aggregate principal amount of the Term Loan outstanding on such date. The Term Loan may not be reborrowed.</w:t>
      </w:r>
    </w:p>
    <w:p>
      <w:pPr>
        <w:spacing w:after="0" w:line="172" w:lineRule="exact"/>
        <w:rPr>
          <w:rFonts w:ascii="Arial" w:cs="Arial" w:eastAsia="Arial" w:hAnsi="Arial"/>
          <w:sz w:val="17"/>
          <w:szCs w:val="17"/>
          <w:color w:val="auto"/>
        </w:rPr>
      </w:pPr>
    </w:p>
    <w:p>
      <w:pPr>
        <w:ind w:firstLine="645"/>
        <w:spacing w:after="0" w:line="277" w:lineRule="auto"/>
        <w:tabs>
          <w:tab w:leader="none" w:pos="168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Revolving Credit Loans</w:t>
      </w:r>
      <w:r>
        <w:rPr>
          <w:rFonts w:ascii="Arial" w:cs="Arial" w:eastAsia="Arial" w:hAnsi="Arial"/>
          <w:sz w:val="18"/>
          <w:szCs w:val="18"/>
          <w:color w:val="auto"/>
        </w:rPr>
        <w:t>. The Borrower shall repay to the Revolving Credit Lenders on the Maturity Date for the Revolving Credit Facility the aggregate principal amount of all Revolving Credit Loans outstanding on such date.</w:t>
      </w:r>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u w:val="single" w:color="auto"/>
          <w:color w:val="auto"/>
        </w:rPr>
        <w:t>Interest</w:t>
      </w:r>
    </w:p>
    <w:p>
      <w:pPr>
        <w:spacing w:after="0" w:line="225" w:lineRule="exact"/>
        <w:rPr>
          <w:sz w:val="20"/>
          <w:szCs w:val="20"/>
          <w:color w:val="auto"/>
        </w:rPr>
      </w:pPr>
    </w:p>
    <w:p>
      <w:pPr>
        <w:jc w:val="both"/>
        <w:ind w:firstLine="645"/>
        <w:spacing w:after="0" w:line="297" w:lineRule="auto"/>
        <w:tabs>
          <w:tab w:leader="none" w:pos="1771"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(i) each Eurodollar Rate Loan shall bear interest on the outstanding principal amount thereof for each Interest Period at a rate per annum equal to the Eurodollar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the Term Loan or the Revolving Credit Facility, as applicable; and (ii) each LIBOR Daily Floating Rate Loan for the Term Loan or the Revolving Credit Facility, as applicable, shall bear interest on the outstanding principal amount thereof from the applicable borrowing date at a rate per annum equal to the LIBOR Daily Floating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the Term Loan or the Revolving Credit Facility, as applicable.</w:t>
      </w:r>
    </w:p>
    <w:p>
      <w:pPr>
        <w:spacing w:after="0" w:line="37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83" w:name="page84"/>
    <w:bookmarkEnd w:id="83"/>
    <w:p>
      <w:pPr>
        <w:jc w:val="both"/>
        <w:ind w:firstLine="645"/>
        <w:spacing w:after="0" w:line="264" w:lineRule="auto"/>
        <w:tabs>
          <w:tab w:leader="none" w:pos="1654"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1" w:lineRule="exact"/>
        <w:rPr>
          <w:rFonts w:ascii="Arial" w:cs="Arial" w:eastAsia="Arial" w:hAnsi="Arial"/>
          <w:sz w:val="18"/>
          <w:szCs w:val="18"/>
          <w:color w:val="auto"/>
        </w:rPr>
      </w:pPr>
    </w:p>
    <w:p>
      <w:pPr>
        <w:jc w:val="both"/>
        <w:ind w:left="640" w:firstLine="653"/>
        <w:spacing w:after="0" w:line="259" w:lineRule="auto"/>
        <w:tabs>
          <w:tab w:leader="none" w:pos="2196"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86" w:lineRule="exact"/>
        <w:rPr>
          <w:rFonts w:ascii="Arial" w:cs="Arial" w:eastAsia="Arial" w:hAnsi="Arial"/>
          <w:sz w:val="18"/>
          <w:szCs w:val="18"/>
          <w:color w:val="auto"/>
        </w:rPr>
      </w:pPr>
    </w:p>
    <w:p>
      <w:pPr>
        <w:jc w:val="both"/>
        <w:ind w:left="640" w:firstLine="653"/>
        <w:spacing w:after="0" w:line="264" w:lineRule="auto"/>
        <w:tabs>
          <w:tab w:leader="none" w:pos="2265" w:val="left"/>
        </w:tabs>
        <w:numPr>
          <w:ilvl w:val="1"/>
          <w:numId w:val="78"/>
        </w:numPr>
        <w:rPr>
          <w:rFonts w:ascii="Arial" w:cs="Arial" w:eastAsia="Arial" w:hAnsi="Arial"/>
          <w:sz w:val="18"/>
          <w:szCs w:val="18"/>
          <w:color w:val="auto"/>
        </w:rPr>
      </w:pPr>
      <w:r>
        <w:rPr>
          <w:rFonts w:ascii="Arial" w:cs="Arial" w:eastAsia="Arial" w:hAnsi="Arial"/>
          <w:sz w:val="18"/>
          <w:szCs w:val="18"/>
          <w:color w:val="auto"/>
        </w:rPr>
        <w:t>Upon the request of the Required Lenders, while any Event of Default exists, the Borrower shall pay interest on the principal amount of all outstanding Obligations hereunder at a fluctuating interest rate per annum at all times equal to the Default Rate to the fullest extent permitted by applicable Laws.</w:t>
      </w:r>
    </w:p>
    <w:p>
      <w:pPr>
        <w:spacing w:after="0" w:line="181" w:lineRule="exact"/>
        <w:rPr>
          <w:rFonts w:ascii="Arial" w:cs="Arial" w:eastAsia="Arial" w:hAnsi="Arial"/>
          <w:sz w:val="18"/>
          <w:szCs w:val="18"/>
          <w:color w:val="auto"/>
        </w:rPr>
      </w:pPr>
    </w:p>
    <w:p>
      <w:pPr>
        <w:ind w:left="2300" w:hanging="1007"/>
        <w:spacing w:after="0"/>
        <w:tabs>
          <w:tab w:leader="none" w:pos="23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upon demand.</w:t>
      </w:r>
    </w:p>
    <w:p>
      <w:pPr>
        <w:spacing w:after="0" w:line="210" w:lineRule="exact"/>
        <w:rPr>
          <w:rFonts w:ascii="Arial" w:cs="Arial" w:eastAsia="Arial" w:hAnsi="Arial"/>
          <w:sz w:val="16"/>
          <w:szCs w:val="16"/>
          <w:color w:val="auto"/>
        </w:rPr>
      </w:pPr>
    </w:p>
    <w:p>
      <w:pPr>
        <w:jc w:val="both"/>
        <w:ind w:firstLine="645"/>
        <w:spacing w:after="0" w:line="264" w:lineRule="auto"/>
        <w:tabs>
          <w:tab w:leader="none" w:pos="1676"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1" w:lineRule="exact"/>
        <w:rPr>
          <w:rFonts w:ascii="Arial" w:cs="Arial" w:eastAsia="Arial" w:hAnsi="Arial"/>
          <w:sz w:val="18"/>
          <w:szCs w:val="18"/>
          <w:color w:val="auto"/>
        </w:rPr>
      </w:pPr>
    </w:p>
    <w:p>
      <w:pPr>
        <w:ind w:firstLine="645"/>
        <w:spacing w:after="0" w:line="308" w:lineRule="auto"/>
        <w:tabs>
          <w:tab w:leader="none" w:pos="1573"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Borrower hereby authorizes the Administrative Agent to debit any account of the Borrower with the Administrative Agent for the payment of all interest and fees hereunder on or after the date such payments of interest and principal are due.</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5"/>
          <w:szCs w:val="15"/>
          <w:u w:val="single" w:color="auto"/>
          <w:color w:val="auto"/>
        </w:rPr>
        <w:t>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addition to certain fees described in </w:t>
      </w:r>
      <w:r>
        <w:rPr>
          <w:rFonts w:ascii="Arial" w:cs="Arial" w:eastAsia="Arial" w:hAnsi="Arial"/>
          <w:sz w:val="18"/>
          <w:szCs w:val="18"/>
          <w:u w:val="single" w:color="auto"/>
          <w:color w:val="auto"/>
        </w:rPr>
        <w:t>Sections 2.03(i) and (j)</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54" w:lineRule="auto"/>
        <w:tabs>
          <w:tab w:leader="none" w:pos="169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The Borrower shall pay to the Administrative Agent for the account of each Revolving Credit Lender in accordance with its Applicable Revolving Credit Percentage, a commitment fee equal to one-half of one percent (0.50%) per annum times the actual daily amount by which the Revolving Credit Facility exceeds the sum of (i) the Outstanding Amount of Revolving Credit Loans and (ii) the Outstanding Amount of L/C Obligations. The commitment fee shall accrue at all times during the Availability Period, including at any time during which one or more of the conditions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met, and shall be due and payable quarterly in arrears on the last Business Day of each March, June, September and December, commencing with the first such date to occur after the Third A&amp;R Effective Date, and, in the case of the commitment fee with respect to the Revolving Credit Facility, on the last day of the Availability Period for the Revolving Credit Facility. The commitment fee shall be calculated quarterly in arrears.</w:t>
      </w:r>
    </w:p>
    <w:p>
      <w:pPr>
        <w:spacing w:after="0" w:line="200" w:lineRule="exact"/>
        <w:rPr>
          <w:sz w:val="20"/>
          <w:szCs w:val="20"/>
          <w:color w:val="auto"/>
        </w:rPr>
      </w:pPr>
    </w:p>
    <w:p>
      <w:pPr>
        <w:spacing w:after="0" w:line="20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84" w:name="page85"/>
    <w:bookmarkEnd w:id="84"/>
    <w:p>
      <w:pPr>
        <w:jc w:val="both"/>
        <w:ind w:left="660" w:firstLine="645"/>
        <w:spacing w:after="0" w:line="286" w:lineRule="auto"/>
        <w:tabs>
          <w:tab w:leader="none" w:pos="2265"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Agency Fees</w:t>
      </w:r>
      <w:r>
        <w:rPr>
          <w:rFonts w:ascii="Arial" w:cs="Arial" w:eastAsia="Arial" w:hAnsi="Arial"/>
          <w:sz w:val="17"/>
          <w:szCs w:val="17"/>
          <w:color w:val="auto"/>
        </w:rPr>
        <w:t>. The Borrower shall pay to the Administrative Agent (for its own account) on the Third A&amp;R Effective Date and on each anniversary thereafter until the Maturity Date with respect to the Term Loan, an annual fee of Ten Thousand Dollars ($10,000) which shall be fully earned and payable on the Third A&amp;R Effective Date and on each anniversary of the Third A&amp;R Effective Date.</w:t>
      </w:r>
    </w:p>
    <w:p>
      <w:pPr>
        <w:spacing w:after="0" w:line="16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Computation of Interest and Fees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All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18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Evidence of Debt</w:t>
      </w:r>
    </w:p>
    <w:p>
      <w:pPr>
        <w:spacing w:after="0" w:line="225" w:lineRule="exact"/>
        <w:rPr>
          <w:sz w:val="20"/>
          <w:szCs w:val="20"/>
          <w:color w:val="auto"/>
        </w:rPr>
      </w:pPr>
    </w:p>
    <w:p>
      <w:pPr>
        <w:jc w:val="both"/>
        <w:ind w:left="660" w:firstLine="645"/>
        <w:spacing w:after="0" w:line="270" w:lineRule="auto"/>
        <w:tabs>
          <w:tab w:leader="none" w:pos="2241"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77" w:lineRule="exact"/>
        <w:rPr>
          <w:rFonts w:ascii="Arial" w:cs="Arial" w:eastAsia="Arial" w:hAnsi="Arial"/>
          <w:sz w:val="17"/>
          <w:szCs w:val="17"/>
          <w:color w:val="auto"/>
        </w:rPr>
      </w:pPr>
    </w:p>
    <w:p>
      <w:pPr>
        <w:jc w:val="both"/>
        <w:ind w:left="660" w:firstLine="645"/>
        <w:spacing w:after="0" w:line="302" w:lineRule="auto"/>
        <w:tabs>
          <w:tab w:leader="none" w:pos="2233"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In addition to the accounts and records referred to in </w:t>
      </w:r>
      <w:r>
        <w:rPr>
          <w:rFonts w:ascii="Arial" w:cs="Arial" w:eastAsia="Arial" w:hAnsi="Arial"/>
          <w:sz w:val="16"/>
          <w:szCs w:val="16"/>
          <w:u w:val="single" w:color="auto"/>
          <w:color w:val="auto"/>
        </w:rPr>
        <w:t>Section 2.11(a)</w:t>
      </w:r>
      <w:r>
        <w:rPr>
          <w:rFonts w:ascii="Arial" w:cs="Arial" w:eastAsia="Arial" w:hAnsi="Arial"/>
          <w:sz w:val="16"/>
          <w:szCs w:val="16"/>
          <w:color w:val="auto"/>
        </w:rPr>
        <w:t>, each Lender and the Administrative Agent shall maintain in accordance with its usual practice accounts or records evidencing the purchases and sales by such Lender of participations in Letters of Credit.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spacing w:after="0"/>
        <w:tabs>
          <w:tab w:leader="none" w:pos="7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Payments Generally; Administrative Agent’s Clawback</w:t>
      </w:r>
    </w:p>
    <w:p>
      <w:pPr>
        <w:spacing w:after="0" w:line="225" w:lineRule="exact"/>
        <w:rPr>
          <w:sz w:val="20"/>
          <w:szCs w:val="20"/>
          <w:color w:val="auto"/>
        </w:rPr>
      </w:pPr>
    </w:p>
    <w:p>
      <w:pPr>
        <w:jc w:val="both"/>
        <w:ind w:firstLine="645"/>
        <w:spacing w:after="0" w:line="270" w:lineRule="auto"/>
        <w:tabs>
          <w:tab w:leader="none" w:pos="1852"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on computing interest or fees, as the case may be.</w:t>
      </w:r>
    </w:p>
    <w:p>
      <w:pPr>
        <w:spacing w:after="0" w:line="181" w:lineRule="exact"/>
        <w:rPr>
          <w:rFonts w:ascii="Arial" w:cs="Arial" w:eastAsia="Arial" w:hAnsi="Arial"/>
          <w:sz w:val="17"/>
          <w:szCs w:val="17"/>
          <w:color w:val="auto"/>
        </w:rPr>
      </w:pPr>
    </w:p>
    <w:p>
      <w:pPr>
        <w:jc w:val="both"/>
        <w:ind w:firstLine="645"/>
        <w:spacing w:after="0" w:line="285" w:lineRule="auto"/>
        <w:tabs>
          <w:tab w:leader="none" w:pos="1654"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Borrowing of Eurodollar Rate Loans (or, in the case of any Borrowing of LIBOR Daily Floating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LIBOR Daily Floating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LIBOR Daily Floating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39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86" w:name="page87"/>
    <w:bookmarkEnd w:id="86"/>
    <w:p>
      <w:pPr>
        <w:jc w:val="both"/>
        <w:ind w:left="1300" w:firstLine="1089"/>
        <w:spacing w:after="0" w:line="253" w:lineRule="auto"/>
        <w:tabs>
          <w:tab w:leader="none" w:pos="272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Payments by Borrower; Presumptions by Administrative Agent</w:t>
      </w:r>
      <w:r>
        <w:rPr>
          <w:rFonts w:ascii="Arial" w:cs="Arial" w:eastAsia="Arial" w:hAnsi="Arial"/>
          <w:sz w:val="18"/>
          <w:szCs w:val="18"/>
          <w:color w:val="auto"/>
        </w:rPr>
        <w:t>. Unless the Administrative Agent shall have received notice from the Borrower prior to the time at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Appropriate Lenders or the L/C Issuer, as the case may be, the amount due. In such event, if the Borrower has not in fact made such payment, then each of the Appropriate Lenders or the L/C Issuer, as the case may be, severally agrees to repay to the Administrative Agent forthwith on demand the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notice of the Administrative Agent to any Lender or the Borrower with respect to any amount owing under this subsection (b) shall be conclusive, absent manifest error.</w:t>
      </w:r>
    </w:p>
    <w:p>
      <w:pPr>
        <w:spacing w:after="0" w:line="170" w:lineRule="exact"/>
        <w:rPr>
          <w:sz w:val="20"/>
          <w:szCs w:val="20"/>
          <w:color w:val="auto"/>
        </w:rPr>
      </w:pPr>
    </w:p>
    <w:p>
      <w:pPr>
        <w:jc w:val="both"/>
        <w:ind w:left="660" w:firstLine="645"/>
        <w:spacing w:after="0" w:line="302" w:lineRule="auto"/>
        <w:tabs>
          <w:tab w:leader="none" w:pos="2323"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Failure to Satisfy Conditions Precedent</w:t>
      </w:r>
      <w:r>
        <w:rPr>
          <w:rFonts w:ascii="Arial" w:cs="Arial" w:eastAsia="Arial" w:hAnsi="Arial"/>
          <w:sz w:val="16"/>
          <w:szCs w:val="16"/>
          <w:color w:val="auto"/>
        </w:rPr>
        <w:t xml:space="preserve">. If any Lender makes available to the Administrative Agent funds for any Loan to be made by such Lender as provided in the foregoing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such funds are not made available to the Borrower by the Administrative Agent because the conditions to the applicable Credit Extension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are not satisfied or waived in accordance with the terms hereof, the Administrative Agent shall return such funds (in like funds as received from such Lender) to such Lender, without interest.</w:t>
      </w:r>
    </w:p>
    <w:p>
      <w:pPr>
        <w:spacing w:after="0" w:line="154" w:lineRule="exact"/>
        <w:rPr>
          <w:rFonts w:ascii="Arial" w:cs="Arial" w:eastAsia="Arial" w:hAnsi="Arial"/>
          <w:sz w:val="16"/>
          <w:szCs w:val="16"/>
          <w:color w:val="auto"/>
        </w:rPr>
      </w:pPr>
    </w:p>
    <w:p>
      <w:pPr>
        <w:jc w:val="both"/>
        <w:ind w:left="660" w:firstLine="645"/>
        <w:spacing w:after="0" w:line="276" w:lineRule="auto"/>
        <w:tabs>
          <w:tab w:leader="none" w:pos="222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Obligations of Lenders Several</w:t>
      </w:r>
      <w:r>
        <w:rPr>
          <w:rFonts w:ascii="Arial" w:cs="Arial" w:eastAsia="Arial" w:hAnsi="Arial"/>
          <w:sz w:val="17"/>
          <w:szCs w:val="17"/>
          <w:color w:val="auto"/>
        </w:rPr>
        <w:t xml:space="preserve">. The obligations of the Lenders hereunder to make the Term Loan and Revolving Credit Loans, to fund participations in Letters of Credit and to make payments pursuant to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are several and not joint. The failure of any Lender to make any Loan, to fund any such participation or to make any payment under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7"/>
          <w:szCs w:val="17"/>
          <w:u w:val="single" w:color="auto"/>
          <w:color w:val="auto"/>
        </w:rPr>
        <w:t>Section 11.04(c)</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jc w:val="both"/>
        <w:ind w:left="660" w:firstLine="645"/>
        <w:spacing w:after="0" w:line="264" w:lineRule="auto"/>
        <w:tabs>
          <w:tab w:leader="none" w:pos="240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Funding Source</w:t>
      </w:r>
      <w:r>
        <w:rPr>
          <w:rFonts w:ascii="Arial" w:cs="Arial" w:eastAsia="Arial" w:hAnsi="Arial"/>
          <w:sz w:val="18"/>
          <w:szCs w:val="18"/>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1" w:lineRule="exact"/>
        <w:rPr>
          <w:rFonts w:ascii="Arial" w:cs="Arial" w:eastAsia="Arial" w:hAnsi="Arial"/>
          <w:sz w:val="18"/>
          <w:szCs w:val="18"/>
          <w:color w:val="auto"/>
        </w:rPr>
      </w:pPr>
    </w:p>
    <w:p>
      <w:pPr>
        <w:jc w:val="both"/>
        <w:ind w:left="660" w:firstLine="645"/>
        <w:spacing w:after="0" w:line="257" w:lineRule="auto"/>
        <w:tabs>
          <w:tab w:leader="none" w:pos="230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Insufficient Funds</w:t>
      </w:r>
      <w:r>
        <w:rPr>
          <w:rFonts w:ascii="Arial" w:cs="Arial" w:eastAsia="Arial" w:hAnsi="Arial"/>
          <w:sz w:val="18"/>
          <w:szCs w:val="18"/>
          <w:color w:val="auto"/>
        </w:rPr>
        <w:t xml:space="preserve">. If at any time insufficient funds are received by and available to the Administrative Agent to pay fully all amounts of principal, L/C Borrowings, interest and fees then due hereunder, such funds shall be applied (i)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8"/>
          <w:szCs w:val="18"/>
          <w:u w:val="single" w:color="auto"/>
          <w:color w:val="auto"/>
        </w:rPr>
        <w:t>second</w:t>
      </w:r>
      <w:r>
        <w:rPr>
          <w:rFonts w:ascii="Arial" w:cs="Arial" w:eastAsia="Arial" w:hAnsi="Arial"/>
          <w:sz w:val="18"/>
          <w:szCs w:val="18"/>
          <w:color w:val="auto"/>
        </w:rPr>
        <w:t>, toward payment of principal and L/C Borrowings then due hereunder, ratably among the parties entitled thereto in accordance with the amounts of principal and L/C Borrowings then due to such parties.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ind w:left="660"/>
        <w:spacing w:after="0"/>
        <w:tabs>
          <w:tab w:leader="none" w:pos="14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Sharing of Payments by Lenders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any Lender shall, by exercising any right of setoff or counterclaim or otherwise, obtain payment in respect of (a) Obligations in respect of any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w:t>
      </w:r>
    </w:p>
    <w:p>
      <w:pPr>
        <w:spacing w:after="0" w:line="3" w:lineRule="exact"/>
        <w:rPr>
          <w:sz w:val="20"/>
          <w:szCs w:val="20"/>
          <w:color w:val="auto"/>
        </w:rPr>
      </w:pPr>
    </w:p>
    <w:p>
      <w:pPr>
        <w:jc w:val="both"/>
        <w:ind w:firstLine="8"/>
        <w:spacing w:after="0" w:line="252" w:lineRule="auto"/>
        <w:tabs>
          <w:tab w:leader="none" w:pos="277"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the aggregate amount of the Obligations in respect of the Facilities owing (but not due and payable) to all Lenders hereunder and under the other Loan Parties at such time) of payment on account of the Obligations in respect of the Facilities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93" w:lineRule="exact"/>
        <w:rPr>
          <w:rFonts w:ascii="Arial" w:cs="Arial" w:eastAsia="Arial" w:hAnsi="Arial"/>
          <w:sz w:val="18"/>
          <w:szCs w:val="18"/>
          <w:color w:val="auto"/>
        </w:rPr>
      </w:pPr>
    </w:p>
    <w:p>
      <w:pPr>
        <w:ind w:firstLine="1953"/>
        <w:spacing w:after="0" w:line="342" w:lineRule="auto"/>
        <w:tabs>
          <w:tab w:leader="none" w:pos="2542" w:val="left"/>
        </w:tabs>
        <w:numPr>
          <w:ilvl w:val="1"/>
          <w:numId w:val="85"/>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23" w:lineRule="exact"/>
        <w:rPr>
          <w:rFonts w:ascii="Arial" w:cs="Arial" w:eastAsia="Arial" w:hAnsi="Arial"/>
          <w:sz w:val="16"/>
          <w:szCs w:val="16"/>
          <w:color w:val="auto"/>
        </w:rPr>
      </w:pPr>
    </w:p>
    <w:p>
      <w:pPr>
        <w:jc w:val="both"/>
        <w:ind w:firstLine="1953"/>
        <w:spacing w:after="0" w:line="259" w:lineRule="auto"/>
        <w:tabs>
          <w:tab w:leader="none" w:pos="2509"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provisions of this Section shall not be construed to apply to (A) any payment made by the Borrower pursuant to and in accordance with the express terms of this Agreement or (B) any payment obtained by a Lender as consideration for the assignment of or sale of a participation in any of its Loans or subparticipations in L/C Obligations to any assignee or participant, other than to the Borrower or any Subsidiary thereof (as to which the provisions of this Section shall apply).</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spacing w:after="0"/>
        <w:tabs>
          <w:tab w:leader="none" w:pos="7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Cash Collateral</w:t>
      </w:r>
    </w:p>
    <w:p>
      <w:pPr>
        <w:spacing w:after="0" w:line="225" w:lineRule="exact"/>
        <w:rPr>
          <w:sz w:val="20"/>
          <w:szCs w:val="20"/>
          <w:color w:val="auto"/>
        </w:rPr>
      </w:pPr>
    </w:p>
    <w:p>
      <w:pPr>
        <w:jc w:val="both"/>
        <w:ind w:firstLine="645"/>
        <w:spacing w:after="0" w:line="255" w:lineRule="auto"/>
        <w:tabs>
          <w:tab w:leader="none" w:pos="1649"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(iii) the Borrower shall be required to provide Cash Collateral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8.02(c)</w:t>
      </w:r>
      <w:r>
        <w:rPr>
          <w:rFonts w:ascii="Arial" w:cs="Arial" w:eastAsia="Arial" w:hAnsi="Arial"/>
          <w:sz w:val="18"/>
          <w:szCs w:val="18"/>
          <w:color w:val="auto"/>
        </w:rPr>
        <w:t xml:space="preserve">, or (iv) there shall exist a Defaulting Lender, the Borrower shall immediately (in the case of clause (iii) above) or within one (1) Business Day (in all other cases) following any request by the Administrative Agent or the L/C Issuer, provide Cash Collateral in an amount not less than the applicable Minimum Collateral Amount (determined in the case of Cash Collateral provided pursuant to clause (iv) above, after giving effect to </w:t>
      </w:r>
      <w:r>
        <w:rPr>
          <w:rFonts w:ascii="Arial" w:cs="Arial" w:eastAsia="Arial" w:hAnsi="Arial"/>
          <w:sz w:val="18"/>
          <w:szCs w:val="18"/>
          <w:u w:val="single" w:color="auto"/>
          <w:color w:val="auto"/>
        </w:rPr>
        <w:t>Section 2.15(a)(iv)</w:t>
      </w:r>
      <w:r>
        <w:rPr>
          <w:rFonts w:ascii="Arial" w:cs="Arial" w:eastAsia="Arial" w:hAnsi="Arial"/>
          <w:sz w:val="18"/>
          <w:szCs w:val="18"/>
          <w:color w:val="auto"/>
        </w:rPr>
        <w:t xml:space="preserve"> and any Cash Collateral provided by the Defaulting Lender).</w:t>
      </w:r>
    </w:p>
    <w:p>
      <w:pPr>
        <w:spacing w:after="0" w:line="189" w:lineRule="exact"/>
        <w:rPr>
          <w:rFonts w:ascii="Arial" w:cs="Arial" w:eastAsia="Arial" w:hAnsi="Arial"/>
          <w:sz w:val="18"/>
          <w:szCs w:val="18"/>
          <w:color w:val="auto"/>
        </w:rPr>
      </w:pPr>
    </w:p>
    <w:p>
      <w:pPr>
        <w:jc w:val="both"/>
        <w:ind w:firstLine="645"/>
        <w:spacing w:after="0" w:line="269" w:lineRule="auto"/>
        <w:tabs>
          <w:tab w:leader="none" w:pos="156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2.14(b)</w:t>
      </w:r>
      <w:r>
        <w:rPr>
          <w:rFonts w:ascii="Arial" w:cs="Arial" w:eastAsia="Arial" w:hAnsi="Arial"/>
          <w:sz w:val="17"/>
          <w:szCs w:val="17"/>
          <w:color w:val="auto"/>
        </w:rPr>
        <w:t>.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182" w:lineRule="exact"/>
        <w:rPr>
          <w:rFonts w:ascii="Arial" w:cs="Arial" w:eastAsia="Arial" w:hAnsi="Arial"/>
          <w:sz w:val="17"/>
          <w:szCs w:val="17"/>
          <w:color w:val="auto"/>
        </w:rPr>
      </w:pPr>
    </w:p>
    <w:p>
      <w:pPr>
        <w:jc w:val="both"/>
        <w:ind w:firstLine="645"/>
        <w:spacing w:after="0" w:line="257" w:lineRule="auto"/>
        <w:tabs>
          <w:tab w:leader="none" w:pos="159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Cash Collateral provided under any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shall be held and applied to the satisfaction of the specific L/C Obligations, obligations to fund participations therein (including, as to Cash Collateral provided by a Revolving Credit Lender that is a Defaulting Lender, any interest accrued on such obligation) and other obligations for which the Cash Collateral was so provided, prior to any other application of such property as may be provided for herein.</w:t>
      </w:r>
    </w:p>
    <w:p>
      <w:pPr>
        <w:spacing w:after="0" w:line="188" w:lineRule="exact"/>
        <w:rPr>
          <w:rFonts w:ascii="Arial" w:cs="Arial" w:eastAsia="Arial" w:hAnsi="Arial"/>
          <w:sz w:val="18"/>
          <w:szCs w:val="18"/>
          <w:color w:val="auto"/>
        </w:rPr>
      </w:pPr>
    </w:p>
    <w:p>
      <w:pPr>
        <w:jc w:val="both"/>
        <w:ind w:firstLine="645"/>
        <w:spacing w:after="0" w:line="254" w:lineRule="auto"/>
        <w:tabs>
          <w:tab w:leader="none" w:pos="156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Revolving Credit Lender or, as appropriate, its assignee following compliance with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or (ii) the determination by the Administrative Agent and the L/C Issuer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L/C Issuer may agree that Cash Collateral shall not be released but instead held to support future anticipated Fronting Exposure or other obligations.</w:t>
      </w:r>
    </w:p>
    <w:p>
      <w:pPr>
        <w:spacing w:after="0" w:line="200" w:lineRule="exact"/>
        <w:rPr>
          <w:sz w:val="20"/>
          <w:szCs w:val="20"/>
          <w:color w:val="auto"/>
        </w:rPr>
      </w:pPr>
    </w:p>
    <w:p>
      <w:pPr>
        <w:spacing w:after="0" w:line="20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89" w:name="page90"/>
    <w:bookmarkEnd w:id="89"/>
    <w:p>
      <w:pPr>
        <w:spacing w:after="0"/>
        <w:tabs>
          <w:tab w:leader="none" w:pos="7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225" w:lineRule="exact"/>
        <w:rPr>
          <w:sz w:val="20"/>
          <w:szCs w:val="20"/>
          <w:color w:val="auto"/>
        </w:rPr>
      </w:pPr>
    </w:p>
    <w:p>
      <w:pPr>
        <w:ind w:firstLine="645"/>
        <w:spacing w:after="0" w:line="277" w:lineRule="auto"/>
        <w:tabs>
          <w:tab w:leader="none" w:pos="181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70" w:lineRule="exact"/>
        <w:rPr>
          <w:rFonts w:ascii="Arial" w:cs="Arial" w:eastAsia="Arial" w:hAnsi="Arial"/>
          <w:sz w:val="18"/>
          <w:szCs w:val="18"/>
          <w:color w:val="auto"/>
        </w:rPr>
      </w:pPr>
    </w:p>
    <w:p>
      <w:pPr>
        <w:ind w:left="640" w:firstLine="653"/>
        <w:spacing w:after="0" w:line="308" w:lineRule="auto"/>
        <w:tabs>
          <w:tab w:leader="none" w:pos="2493"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Waivers and Amendments</w:t>
      </w:r>
      <w:r>
        <w:rPr>
          <w:rFonts w:ascii="Arial" w:cs="Arial" w:eastAsia="Arial" w:hAnsi="Arial"/>
          <w:sz w:val="17"/>
          <w:szCs w:val="17"/>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left="640" w:firstLine="653"/>
        <w:spacing w:after="0" w:line="283" w:lineRule="auto"/>
        <w:tabs>
          <w:tab w:leader="none" w:pos="2210"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on a pro rata basis of any amounts owing by such Defaulting Lender to the L/C Issuer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Cash Collateralize the L/C Issuer’s Fronting Exposure with respect to such Defaulting Lender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if so determined by the Administrative Agent and the Borrower, to be held in a deposit account and released pro rata in order to</w:t>
      </w:r>
    </w:p>
    <w:p>
      <w:pPr>
        <w:spacing w:after="0" w:line="6" w:lineRule="exact"/>
        <w:rPr>
          <w:rFonts w:ascii="Arial" w:cs="Arial" w:eastAsia="Arial" w:hAnsi="Arial"/>
          <w:sz w:val="16"/>
          <w:szCs w:val="16"/>
          <w:color w:val="auto"/>
        </w:rPr>
      </w:pPr>
    </w:p>
    <w:p>
      <w:pPr>
        <w:jc w:val="both"/>
        <w:ind w:left="640"/>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(A) satisfy such Defaulting Lender’s potential future funding obligations with respect to Loans under this Agreement and (B) Cash Collateralize the L/C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or the L/C Issuer as a result of any judgment of a court of competent jurisdiction obtained by any Lender, the L/C Issuer or the Swingline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as may be required under the Loan Documents in connection with any Lien conferred thereunder or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(1) such payment is a payment of the principal amount of any Loans or L/C Borrowings in respect of which such Defaulting Lender has not fully funded its appropriate share, and (2) such Loans were made or the related Letters of Credit were issued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are held by the Lenders pro rata in accordance with the Commitments hereunder without giving effect to </w:t>
      </w:r>
      <w:r>
        <w:rPr>
          <w:rFonts w:ascii="Arial" w:cs="Arial" w:eastAsia="Arial" w:hAnsi="Arial"/>
          <w:sz w:val="16"/>
          <w:szCs w:val="16"/>
          <w:u w:val="single" w:color="auto"/>
          <w:color w:val="auto"/>
        </w:rPr>
        <w:t>Section 2.15(a)(v)</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39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90" w:name="page91"/>
    <w:bookmarkEnd w:id="90"/>
    <w:p>
      <w:pPr>
        <w:ind w:left="1600" w:hanging="847"/>
        <w:spacing w:after="0"/>
        <w:tabs>
          <w:tab w:leader="none" w:pos="16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641"/>
        <w:spacing w:after="0" w:line="264" w:lineRule="auto"/>
        <w:tabs>
          <w:tab w:leader="none" w:pos="2324"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No Defaulting Lender shall be entitled to receive any fee payable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81" w:lineRule="exact"/>
        <w:rPr>
          <w:rFonts w:ascii="Arial" w:cs="Arial" w:eastAsia="Arial" w:hAnsi="Arial"/>
          <w:sz w:val="18"/>
          <w:szCs w:val="18"/>
          <w:color w:val="auto"/>
        </w:rPr>
      </w:pPr>
    </w:p>
    <w:p>
      <w:pPr>
        <w:jc w:val="both"/>
        <w:ind w:left="760" w:firstLine="641"/>
        <w:spacing w:after="0" w:line="286" w:lineRule="auto"/>
        <w:tabs>
          <w:tab w:leader="none" w:pos="2319"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xml:space="preserve">. Each Defaulting Lender shall be entitled to receive Letter of Credit Fees for any period during which that Lender is a Defaulting Lender only to the extent allocable to its Applicable Revolving Percentage of the stated amount of Letters of Credit for which it has provided Cash Collateral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760" w:firstLine="641"/>
        <w:spacing w:after="0" w:line="273" w:lineRule="auto"/>
        <w:tabs>
          <w:tab w:leader="none" w:pos="2413"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t>Defaulting Lender Fees</w:t>
      </w:r>
      <w:r>
        <w:rPr>
          <w:rFonts w:ascii="Arial" w:cs="Arial" w:eastAsia="Arial" w:hAnsi="Arial"/>
          <w:sz w:val="17"/>
          <w:szCs w:val="17"/>
          <w:color w:val="auto"/>
        </w:rPr>
        <w:t>. With respect to any Letter of Credit Fee not required to be paid to any Defaulting Lender pursuant to clause (B) above, the Borrower shall (1) pay to each Non-Defaulting Lender that portion of any such fee otherwise payable to such Defaulting Lender with respect to such Defaulting Lender’s participation in L/C Obligations that has been reallocated to such Non-Defaulting Lender pursuant to clause (iv) below, (2) pay to the L/C Issuer the amount of any such fee otherwise payable to such Defaulting Lender to the extent allocable to such L/C Issuer’s Fronting Exposure to such Defaulting Lender, and (3) not be required to pay the remaining amount of any such fee.</w:t>
      </w:r>
    </w:p>
    <w:p>
      <w:pPr>
        <w:spacing w:after="0" w:line="39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91" w:name="page92"/>
    <w:bookmarkEnd w:id="91"/>
    <w:p>
      <w:pPr>
        <w:jc w:val="both"/>
        <w:ind w:left="640" w:firstLine="653"/>
        <w:spacing w:after="0" w:line="289" w:lineRule="auto"/>
        <w:tabs>
          <w:tab w:leader="none" w:pos="2268"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Reallocation of Applicable Revolving Percentages to Reduce Fronting Exposure</w:t>
      </w:r>
      <w:r>
        <w:rPr>
          <w:rFonts w:ascii="Arial" w:cs="Arial" w:eastAsia="Arial" w:hAnsi="Arial"/>
          <w:sz w:val="16"/>
          <w:szCs w:val="16"/>
          <w:color w:val="auto"/>
        </w:rPr>
        <w:t xml:space="preserve">. All or any part of such Defaulting Lender’s participation in L/C Obligations and Swingline Loans shall be reallocated among the Non-Defaulting Lenders in accordance with their respective Applicable Revolving Percentages (calculated without regard to such Defaulting Lender’s Commitment) but only to the extent that (A)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(B) such reallocation does not cause the aggregate Revolving Exposure of any Non-Defaulting Lender to exceed such Non-Defaulting Lender’s Revolving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6" w:lineRule="exact"/>
        <w:rPr>
          <w:rFonts w:ascii="Arial" w:cs="Arial" w:eastAsia="Arial" w:hAnsi="Arial"/>
          <w:sz w:val="16"/>
          <w:szCs w:val="16"/>
          <w:color w:val="auto"/>
        </w:rPr>
      </w:pPr>
    </w:p>
    <w:p>
      <w:pPr>
        <w:jc w:val="both"/>
        <w:ind w:left="640" w:firstLine="653"/>
        <w:spacing w:after="0" w:line="264" w:lineRule="auto"/>
        <w:tabs>
          <w:tab w:leader="none" w:pos="2375"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If the reallocation described in clause (a)(iv) above cannot, or can only partially, be effected, the Borrower shall, without prejudice to any right or remedy available to it hereunder or under applicable Law, Cash Collateralize the L/C Issuer’s Fronting Exposure in accordance with the procedures set forth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645"/>
        <w:spacing w:after="0" w:line="270" w:lineRule="auto"/>
        <w:tabs>
          <w:tab w:leader="none" w:pos="1722"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on a pro rata basis by the Lenders in accordance with their Applicable Percentages (without giving effect to </w:t>
      </w:r>
      <w:r>
        <w:rPr>
          <w:rFonts w:ascii="Arial" w:cs="Arial" w:eastAsia="Arial" w:hAnsi="Arial"/>
          <w:sz w:val="17"/>
          <w:szCs w:val="17"/>
          <w:u w:val="single" w:color="auto"/>
          <w:color w:val="auto"/>
        </w:rPr>
        <w:t>Section 2.15(a)(iv)</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8"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TAXES, YIELD PROTECTION AND ILLEGALITY</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5"/>
          <w:szCs w:val="15"/>
          <w:u w:val="single" w:color="auto"/>
          <w:color w:val="auto"/>
        </w:rPr>
        <w:t>Taxes</w:t>
      </w:r>
    </w:p>
    <w:p>
      <w:pPr>
        <w:spacing w:after="0" w:line="225" w:lineRule="exact"/>
        <w:rPr>
          <w:sz w:val="20"/>
          <w:szCs w:val="20"/>
          <w:color w:val="auto"/>
        </w:rPr>
      </w:pPr>
    </w:p>
    <w:p>
      <w:pPr>
        <w:jc w:val="both"/>
        <w:ind w:firstLine="645"/>
        <w:spacing w:after="0" w:line="297" w:lineRule="auto"/>
        <w:tabs>
          <w:tab w:leader="none" w:pos="1581"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Payments Free of Taxes; Obligation to Withhold; Payments on Account of Taxes</w:t>
      </w:r>
      <w:r>
        <w:rPr>
          <w:rFonts w:ascii="Arial" w:cs="Arial" w:eastAsia="Arial" w:hAnsi="Arial"/>
          <w:sz w:val="16"/>
          <w:szCs w:val="16"/>
          <w:color w:val="auto"/>
        </w:rPr>
        <w:t>. (i) Any and all payments by or on account of any obligation of the Borrower hereunder or under any other Loan Document shall to the extent permitted by applicable Laws be made free and clear of and without reduction or withholding for any Taxes. If, however, applicable Laws require the Borrower or the Administrative Agent to withhold or deduct any Tax, such Tax shall be withheld or deducted in accordance with such Laws as determined by the Borrower or the Administrative Agent, as the case may be, upon the basis of the information and documentation to be delivered pursuant to subsection (e) below.</w:t>
      </w:r>
    </w:p>
    <w:p>
      <w:pPr>
        <w:spacing w:after="0" w:line="37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92" w:name="page93"/>
    <w:bookmarkEnd w:id="92"/>
    <w:p>
      <w:pPr>
        <w:jc w:val="both"/>
        <w:ind w:left="100" w:firstLine="653"/>
        <w:spacing w:after="0" w:line="253" w:lineRule="auto"/>
        <w:tabs>
          <w:tab w:leader="none" w:pos="1683" w:val="left"/>
        </w:tabs>
        <w:numPr>
          <w:ilvl w:val="1"/>
          <w:numId w:val="92"/>
        </w:numPr>
        <w:rPr>
          <w:rFonts w:ascii="Arial" w:cs="Arial" w:eastAsia="Arial" w:hAnsi="Arial"/>
          <w:sz w:val="18"/>
          <w:szCs w:val="18"/>
          <w:color w:val="auto"/>
        </w:rPr>
      </w:pPr>
      <w:r>
        <w:rPr>
          <w:rFonts w:ascii="Arial" w:cs="Arial" w:eastAsia="Arial" w:hAnsi="Arial"/>
          <w:sz w:val="18"/>
          <w:szCs w:val="18"/>
          <w:color w:val="auto"/>
        </w:rPr>
        <w:t>If the Borrower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subsection (e) below, (B) the Administrative Agent shall timely pay the full amount withheld or deducted to the relevant Governmental Authority in accordance with the Code, and (C) to the extent that the withholding or deduction is made on account of Indemnified Taxes or Other Taxes, the sum payable by the Borrower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197" w:lineRule="exact"/>
        <w:rPr>
          <w:rFonts w:ascii="Arial" w:cs="Arial" w:eastAsia="Arial" w:hAnsi="Arial"/>
          <w:sz w:val="18"/>
          <w:szCs w:val="18"/>
          <w:color w:val="auto"/>
        </w:rPr>
      </w:pPr>
    </w:p>
    <w:p>
      <w:pPr>
        <w:ind w:left="-540" w:firstLine="645"/>
        <w:spacing w:after="0" w:line="277" w:lineRule="auto"/>
        <w:tabs>
          <w:tab w:leader="none" w:pos="1101"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Without limiting the provisions of subsection (a) above, the Borrower shall timely pay any Other Taxes to the relevant Governmental Authority in accordance with applicable law.</w:t>
      </w:r>
    </w:p>
    <w:p>
      <w:pPr>
        <w:spacing w:after="0" w:line="170" w:lineRule="exact"/>
        <w:rPr>
          <w:rFonts w:ascii="Arial" w:cs="Arial" w:eastAsia="Arial" w:hAnsi="Arial"/>
          <w:sz w:val="18"/>
          <w:szCs w:val="18"/>
          <w:color w:val="auto"/>
        </w:rPr>
      </w:pPr>
    </w:p>
    <w:p>
      <w:pPr>
        <w:jc w:val="both"/>
        <w:ind w:left="-540" w:firstLine="645"/>
        <w:spacing w:after="0" w:line="269" w:lineRule="auto"/>
        <w:tabs>
          <w:tab w:leader="none" w:pos="1136"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Tax Indemnifications</w:t>
      </w:r>
      <w:r>
        <w:rPr>
          <w:rFonts w:ascii="Arial" w:cs="Arial" w:eastAsia="Arial" w:hAnsi="Arial"/>
          <w:sz w:val="17"/>
          <w:szCs w:val="17"/>
          <w:color w:val="auto"/>
        </w:rPr>
        <w:t>. (i) Without limiting the provisions of subsection (a) or (b) above, the Borrower shall, and does hereby indemnify the Administrative Agent, each Lender and the L/C Issuer, and shall make payment in respect thereof within 10 days after demand therefor, for the full amount of any Indemnified Taxes or Other Taxes (including Indemnified Taxes or Other Taxes imposed or asserted on or attributable to amounts payable under this Section) withheld or deducted by the Borrower or the Administrative Agent or paid by the Administrative Agent, such Lender or the L/C Issuer, as the case may be, and any penalties, interest and reasonable expenses arising therefrom or with respect thereto, whether or not such Indemnified Taxes or Other Taxes were correctly or legally imposed or asserted by the relevant Governmental Authority. The Borrower shall also, and does hereby, indemnify the Administrative Agent, and shall make payment in respect thereof within 10 days after demand therefor, for any amount which a Lender or the L/C Issuer for any reason fails to pay indefeasibly to the Administrative Agent as required by clause (ii) of this subsection. A certificate as to the amount of any such payment or liability delivered to the Borrower by a Lender or the L/C Issuer (with a copy to the Administrative Agent), or by the Administrative Agent on its own behalf or on behalf of a Lender or the L/C Issuer, shall be conclusive absent manifest error.</w:t>
      </w:r>
    </w:p>
    <w:p>
      <w:pPr>
        <w:spacing w:after="0" w:line="39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93" w:name="page94"/>
    <w:bookmarkEnd w:id="93"/>
    <w:p>
      <w:pPr>
        <w:jc w:val="both"/>
        <w:ind w:left="100" w:firstLine="653"/>
        <w:spacing w:after="0" w:line="269" w:lineRule="auto"/>
        <w:tabs>
          <w:tab w:leader="none" w:pos="1697" w:val="left"/>
        </w:tabs>
        <w:numPr>
          <w:ilvl w:val="1"/>
          <w:numId w:val="94"/>
        </w:numPr>
        <w:rPr>
          <w:rFonts w:ascii="Arial" w:cs="Arial" w:eastAsia="Arial" w:hAnsi="Arial"/>
          <w:sz w:val="17"/>
          <w:szCs w:val="17"/>
          <w:color w:val="auto"/>
        </w:rPr>
      </w:pPr>
      <w:r>
        <w:rPr>
          <w:rFonts w:ascii="Arial" w:cs="Arial" w:eastAsia="Arial" w:hAnsi="Arial"/>
          <w:sz w:val="17"/>
          <w:szCs w:val="17"/>
          <w:color w:val="auto"/>
        </w:rPr>
        <w:t>Without limiting the provisions of subsection (a) or (b) above, each Lender and the L/C Issuer shall, and does hereby, indemnify the Borrower and the Administrative Agent, and shall make payment in respect thereof within 10 days after demand therefor, against any and all Taxes and any and all related losses, claims, liabilities, penalties, interest and expenses (including the fees, charges and disbursements of any counsel for the Borrower or the Administrative Agent) incurred by or asserted against the Borrower or the Administrative Agent by any Governmental Authority as a result of the failure by such Lender or the L/C Issuer, as the case may be, to deliver, or as a result of the inaccuracy, inadequacy or deficiency of, any documentation required to be delivered by such Lender or the L/C Issuer, as the case may be, to the Borrower or the Administrative Agent pursuant to subsection (e).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or the L/C Issuer, the termination of the Aggregate Commitments and the repayment, satisfaction or discharge of all other Obligations.</w:t>
      </w:r>
    </w:p>
    <w:p>
      <w:pPr>
        <w:spacing w:after="0" w:line="179" w:lineRule="exact"/>
        <w:rPr>
          <w:rFonts w:ascii="Arial" w:cs="Arial" w:eastAsia="Arial" w:hAnsi="Arial"/>
          <w:sz w:val="17"/>
          <w:szCs w:val="17"/>
          <w:color w:val="auto"/>
        </w:rPr>
      </w:pPr>
    </w:p>
    <w:p>
      <w:pPr>
        <w:jc w:val="both"/>
        <w:ind w:left="-540" w:firstLine="645"/>
        <w:spacing w:after="0" w:line="276" w:lineRule="auto"/>
        <w:tabs>
          <w:tab w:leader="none" w:pos="1101"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Evidence of Payments</w:t>
      </w:r>
      <w:r>
        <w:rPr>
          <w:rFonts w:ascii="Arial" w:cs="Arial" w:eastAsia="Arial" w:hAnsi="Arial"/>
          <w:sz w:val="17"/>
          <w:szCs w:val="17"/>
          <w:color w:val="auto"/>
        </w:rPr>
        <w:t xml:space="preserve">. Upon request by the Borrower or the Administrative Agent, as the case may be, after any payment of Taxes by the Borrower or the Administrative Agent to a Governmental Authority as provided in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72" w:lineRule="exact"/>
        <w:rPr>
          <w:rFonts w:ascii="Arial" w:cs="Arial" w:eastAsia="Arial" w:hAnsi="Arial"/>
          <w:sz w:val="17"/>
          <w:szCs w:val="17"/>
          <w:color w:val="auto"/>
        </w:rPr>
      </w:pPr>
    </w:p>
    <w:p>
      <w:pPr>
        <w:jc w:val="both"/>
        <w:ind w:left="-540" w:firstLine="645"/>
        <w:spacing w:after="0" w:line="291" w:lineRule="auto"/>
        <w:tabs>
          <w:tab w:leader="none" w:pos="1136"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Status of Lenders; Tax Documentation</w:t>
      </w:r>
      <w:r>
        <w:rPr>
          <w:rFonts w:ascii="Arial" w:cs="Arial" w:eastAsia="Arial" w:hAnsi="Arial"/>
          <w:sz w:val="16"/>
          <w:szCs w:val="16"/>
          <w:color w:val="auto"/>
        </w:rPr>
        <w:t>. (i) Each Lender shall deliver to the Borrower and to the Administrative Agent, at the time or times prescribed by applicable Laws or when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payments made hereunder or under any other Loan Document are subject to Taxes, (B) if applicable, the required rate of withholding or deduction, and (C) such Lender’s entitlement to any available exemption from, or reduction of, applicable Taxes in respect of all payments to be made to such Lender by the Borrower pursuant to this Agreement or otherwise to establish such Lender’s status for withholding tax purposes in the applicable jurisdiction.</w:t>
      </w:r>
    </w:p>
    <w:p>
      <w:pPr>
        <w:spacing w:after="0" w:line="167" w:lineRule="exact"/>
        <w:rPr>
          <w:rFonts w:ascii="Arial" w:cs="Arial" w:eastAsia="Arial" w:hAnsi="Arial"/>
          <w:sz w:val="16"/>
          <w:szCs w:val="16"/>
          <w:color w:val="auto"/>
        </w:rPr>
      </w:pPr>
    </w:p>
    <w:p>
      <w:pPr>
        <w:ind w:left="1640" w:hanging="887"/>
        <w:spacing w:after="0"/>
        <w:tabs>
          <w:tab w:leader="none" w:pos="16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Without limiting the generality of the foregoing, if the Borrower is resident for tax purposes in the United States,</w:t>
      </w:r>
    </w:p>
    <w:p>
      <w:pPr>
        <w:spacing w:after="0" w:line="200" w:lineRule="exact"/>
        <w:rPr>
          <w:sz w:val="20"/>
          <w:szCs w:val="20"/>
          <w:color w:val="auto"/>
        </w:rPr>
      </w:pPr>
    </w:p>
    <w:p>
      <w:pPr>
        <w:spacing w:after="0" w:line="25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94" w:name="page95"/>
    <w:bookmarkEnd w:id="94"/>
    <w:p>
      <w:pPr>
        <w:jc w:val="both"/>
        <w:ind w:left="760" w:firstLine="641"/>
        <w:spacing w:after="0" w:line="257" w:lineRule="auto"/>
        <w:tabs>
          <w:tab w:leader="none" w:pos="24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Lender that is a “United States person” within the meaning of Section 7701(a)(30) of the Code shall deliver to the Borrower and the Administrative Agent executed originals of Internal Revenue Service Form W-9 or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 and</w:t>
      </w:r>
    </w:p>
    <w:p>
      <w:pPr>
        <w:spacing w:after="0" w:line="188" w:lineRule="exact"/>
        <w:rPr>
          <w:rFonts w:ascii="Arial" w:cs="Arial" w:eastAsia="Arial" w:hAnsi="Arial"/>
          <w:sz w:val="18"/>
          <w:szCs w:val="18"/>
          <w:color w:val="auto"/>
        </w:rPr>
      </w:pPr>
    </w:p>
    <w:p>
      <w:pPr>
        <w:jc w:val="both"/>
        <w:ind w:left="760" w:firstLine="641"/>
        <w:spacing w:after="0" w:line="297" w:lineRule="auto"/>
        <w:tabs>
          <w:tab w:leader="none" w:pos="2589" w:val="left"/>
        </w:tabs>
        <w:numPr>
          <w:ilvl w:val="0"/>
          <w:numId w:val="96"/>
        </w:numPr>
        <w:rPr>
          <w:rFonts w:ascii="Arial" w:cs="Arial" w:eastAsia="Arial" w:hAnsi="Arial"/>
          <w:sz w:val="16"/>
          <w:szCs w:val="16"/>
          <w:color w:val="auto"/>
        </w:rPr>
      </w:pPr>
      <w:r>
        <w:rPr>
          <w:rFonts w:ascii="Arial" w:cs="Arial" w:eastAsia="Arial" w:hAnsi="Arial"/>
          <w:sz w:val="16"/>
          <w:szCs w:val="16"/>
          <w:color w:val="auto"/>
        </w:rPr>
        <w:t>each Foreign Lender that is entitled under the Code or any applicable treaty to an exemption from or reduction of withholding tax with respect to payments hereunder or under any other Loan Document shall deliver to the Borrower and the Administrative Agent (in such number of copies as shall be requested by the recipient) on or prior to the date on which such Foreign Lender becomes a Lender under this Agreement (and from time to time thereafter upon the request of the Borrower or the Administrative Agent, but only if such Foreign Lender is legally entitled to do so), whichever of the following is applicable:</w:t>
      </w:r>
    </w:p>
    <w:p>
      <w:pPr>
        <w:spacing w:after="0" w:line="158" w:lineRule="exact"/>
        <w:rPr>
          <w:rFonts w:ascii="Arial" w:cs="Arial" w:eastAsia="Arial" w:hAnsi="Arial"/>
          <w:sz w:val="16"/>
          <w:szCs w:val="16"/>
          <w:color w:val="auto"/>
        </w:rPr>
      </w:pPr>
    </w:p>
    <w:p>
      <w:pPr>
        <w:ind w:left="1400" w:right="20" w:firstLine="649"/>
        <w:spacing w:after="0" w:line="277" w:lineRule="auto"/>
        <w:tabs>
          <w:tab w:leader="none" w:pos="33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executed originals of Internal Revenue Service Form W-BENE (or W-8BEN, as applicable) claiming eligibility for benefits of an income tax treaty to which the United States is a party,</w:t>
      </w:r>
    </w:p>
    <w:p>
      <w:pPr>
        <w:spacing w:after="0" w:line="170" w:lineRule="exact"/>
        <w:rPr>
          <w:sz w:val="20"/>
          <w:szCs w:val="20"/>
          <w:color w:val="auto"/>
        </w:rPr>
      </w:pPr>
    </w:p>
    <w:p>
      <w:pPr>
        <w:ind w:left="2880" w:hanging="831"/>
        <w:spacing w:after="0"/>
        <w:tabs>
          <w:tab w:leader="none" w:pos="2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executed originals of Internal Revenue Service Form W-8ECI,</w:t>
      </w:r>
    </w:p>
    <w:p>
      <w:pPr>
        <w:spacing w:after="0" w:line="225" w:lineRule="exact"/>
        <w:rPr>
          <w:sz w:val="20"/>
          <w:szCs w:val="20"/>
          <w:color w:val="auto"/>
        </w:rPr>
      </w:pPr>
    </w:p>
    <w:p>
      <w:pPr>
        <w:ind w:left="3240" w:hanging="1191"/>
        <w:spacing w:after="0"/>
        <w:tabs>
          <w:tab w:leader="none" w:pos="32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executed originals of Internal Revenue Service Form W-8IMY and all required supporting</w:t>
      </w:r>
    </w:p>
    <w:p>
      <w:pPr>
        <w:spacing w:after="0" w:line="34" w:lineRule="exact"/>
        <w:rPr>
          <w:rFonts w:ascii="Arial" w:cs="Arial" w:eastAsia="Arial" w:hAnsi="Arial"/>
          <w:sz w:val="17"/>
          <w:szCs w:val="17"/>
          <w:color w:val="auto"/>
        </w:rPr>
      </w:pPr>
    </w:p>
    <w:p>
      <w:pPr>
        <w:ind w:left="1400"/>
        <w:spacing w:after="0"/>
        <w:rPr>
          <w:rFonts w:ascii="Arial" w:cs="Arial" w:eastAsia="Arial" w:hAnsi="Arial"/>
          <w:sz w:val="17"/>
          <w:szCs w:val="17"/>
          <w:color w:val="auto"/>
        </w:rPr>
      </w:pPr>
      <w:r>
        <w:rPr>
          <w:rFonts w:ascii="Arial" w:cs="Arial" w:eastAsia="Arial" w:hAnsi="Arial"/>
          <w:sz w:val="18"/>
          <w:szCs w:val="18"/>
          <w:color w:val="auto"/>
        </w:rPr>
        <w:t>documentation,</w:t>
      </w:r>
    </w:p>
    <w:p>
      <w:pPr>
        <w:spacing w:after="0" w:line="211" w:lineRule="exact"/>
        <w:rPr>
          <w:sz w:val="20"/>
          <w:szCs w:val="20"/>
          <w:color w:val="auto"/>
        </w:rPr>
      </w:pPr>
    </w:p>
    <w:p>
      <w:pPr>
        <w:jc w:val="both"/>
        <w:ind w:left="1400" w:firstLine="648"/>
        <w:spacing w:after="0" w:line="271" w:lineRule="auto"/>
        <w:rPr>
          <w:sz w:val="20"/>
          <w:szCs w:val="20"/>
          <w:color w:val="auto"/>
        </w:rPr>
      </w:pPr>
      <w:r>
        <w:rPr>
          <w:rFonts w:ascii="Arial" w:cs="Arial" w:eastAsia="Arial" w:hAnsi="Arial"/>
          <w:sz w:val="17"/>
          <w:szCs w:val="17"/>
          <w:color w:val="auto"/>
        </w:rPr>
        <w:t>(IV) in the case of a Foreign Lender claiming the benefits of the exemption for portfolio interest under section 881(c) of the Code, (x) a certificate to the effect that such Foreign Lender is not (A) a “bank” within the meaning of section 881(c)(3)(A) of the Code, (B) a “10 percent shareholder” of the Borrower within the meaning of section 881(c)</w:t>
      </w:r>
    </w:p>
    <w:p>
      <w:pPr>
        <w:jc w:val="both"/>
        <w:ind w:left="1400"/>
        <w:spacing w:after="0" w:line="261" w:lineRule="auto"/>
        <w:rPr>
          <w:sz w:val="20"/>
          <w:szCs w:val="20"/>
          <w:color w:val="auto"/>
        </w:rPr>
      </w:pPr>
      <w:r>
        <w:rPr>
          <w:rFonts w:ascii="Arial" w:cs="Arial" w:eastAsia="Arial" w:hAnsi="Arial"/>
          <w:sz w:val="18"/>
          <w:szCs w:val="18"/>
          <w:color w:val="auto"/>
        </w:rPr>
        <w:t>(3)(B) of the Code, or (C) a “controlled foreign corporation” described in section 881(c)(3)(C) of the Code and (y) executed originals of Internal Revenue Service Form W-BENE (or W-8BEN, as applicable),</w:t>
      </w:r>
    </w:p>
    <w:p>
      <w:pPr>
        <w:spacing w:after="0" w:line="184" w:lineRule="exact"/>
        <w:rPr>
          <w:sz w:val="20"/>
          <w:szCs w:val="20"/>
          <w:color w:val="auto"/>
        </w:rPr>
      </w:pPr>
    </w:p>
    <w:p>
      <w:pPr>
        <w:jc w:val="both"/>
        <w:ind w:left="1400" w:firstLine="649"/>
        <w:spacing w:after="0" w:line="255" w:lineRule="auto"/>
        <w:tabs>
          <w:tab w:leader="none" w:pos="3005"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copies of IRS Form W-8IMY, accompanied by IRS Form W-SECT, IRS Form W-8BENE (or W-8BEN, as applicable), a U.S. Tax Compliance Certificate substantially in the form of </w:t>
      </w:r>
      <w:r>
        <w:rPr>
          <w:rFonts w:ascii="Arial" w:cs="Arial" w:eastAsia="Arial" w:hAnsi="Arial"/>
          <w:sz w:val="18"/>
          <w:szCs w:val="18"/>
          <w:u w:val="single" w:color="auto"/>
          <w:color w:val="auto"/>
        </w:rPr>
        <w:t>Exhibit G-2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G-3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G-4</w:t>
      </w:r>
      <w:r>
        <w:rPr>
          <w:rFonts w:ascii="Arial" w:cs="Arial" w:eastAsia="Arial" w:hAnsi="Arial"/>
          <w:sz w:val="18"/>
          <w:szCs w:val="18"/>
          <w:color w:val="auto"/>
        </w:rPr>
        <w:t xml:space="preserve"> on behalf of each such direct and indirect partner; or</w:t>
      </w: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95" w:name="page96"/>
    <w:bookmarkEnd w:id="95"/>
    <w:p>
      <w:pPr>
        <w:jc w:val="both"/>
        <w:ind w:left="1400" w:firstLine="648"/>
        <w:spacing w:after="0" w:line="259" w:lineRule="auto"/>
        <w:rPr>
          <w:sz w:val="20"/>
          <w:szCs w:val="20"/>
          <w:color w:val="auto"/>
        </w:rPr>
      </w:pPr>
      <w:r>
        <w:rPr>
          <w:rFonts w:ascii="Arial" w:cs="Arial" w:eastAsia="Arial" w:hAnsi="Arial"/>
          <w:sz w:val="18"/>
          <w:szCs w:val="18"/>
          <w:color w:val="auto"/>
        </w:rPr>
        <w:t>(VI) executed originals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187" w:lineRule="exact"/>
        <w:rPr>
          <w:sz w:val="20"/>
          <w:szCs w:val="20"/>
          <w:color w:val="auto"/>
        </w:rPr>
      </w:pPr>
    </w:p>
    <w:p>
      <w:pPr>
        <w:ind w:left="1600" w:hanging="847"/>
        <w:spacing w:after="0"/>
        <w:tabs>
          <w:tab w:leader="none" w:pos="16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Lender shall promptly:</w:t>
      </w:r>
    </w:p>
    <w:p>
      <w:pPr>
        <w:spacing w:after="0" w:line="225" w:lineRule="exact"/>
        <w:rPr>
          <w:rFonts w:ascii="Arial" w:cs="Arial" w:eastAsia="Arial" w:hAnsi="Arial"/>
          <w:sz w:val="18"/>
          <w:szCs w:val="18"/>
          <w:color w:val="auto"/>
        </w:rPr>
      </w:pPr>
    </w:p>
    <w:p>
      <w:pPr>
        <w:ind w:left="760" w:firstLine="641"/>
        <w:spacing w:after="0" w:line="277" w:lineRule="auto"/>
        <w:tabs>
          <w:tab w:leader="none" w:pos="239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notify the Borrower and the Administrative Agent of any change in circumstances which would modify or render invalid any claimed exemption or reduction; and</w:t>
      </w:r>
    </w:p>
    <w:p>
      <w:pPr>
        <w:spacing w:after="0" w:line="170" w:lineRule="exact"/>
        <w:rPr>
          <w:rFonts w:ascii="Arial" w:cs="Arial" w:eastAsia="Arial" w:hAnsi="Arial"/>
          <w:sz w:val="18"/>
          <w:szCs w:val="18"/>
          <w:color w:val="auto"/>
        </w:rPr>
      </w:pPr>
    </w:p>
    <w:p>
      <w:pPr>
        <w:jc w:val="both"/>
        <w:ind w:left="760" w:firstLine="641"/>
        <w:spacing w:after="0" w:line="259" w:lineRule="auto"/>
        <w:tabs>
          <w:tab w:leader="none" w:pos="238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take such steps as shall not be materially disadvantageous to it, in the reasonable judgment of such Lender, and as may be reasonably necessary (including the re-designation of its Lending Office) to avoid any requirement of applicable Laws of any jurisdiction that the Borrower or the Administrative Agent make any withholding or deduction for taxes from amounts payable to such Lender.</w:t>
      </w:r>
    </w:p>
    <w:p>
      <w:pPr>
        <w:spacing w:after="0" w:line="186" w:lineRule="exact"/>
        <w:rPr>
          <w:rFonts w:ascii="Arial" w:cs="Arial" w:eastAsia="Arial" w:hAnsi="Arial"/>
          <w:sz w:val="18"/>
          <w:szCs w:val="18"/>
          <w:color w:val="auto"/>
        </w:rPr>
      </w:pPr>
    </w:p>
    <w:p>
      <w:pPr>
        <w:jc w:val="both"/>
        <w:ind w:left="760" w:firstLine="641"/>
        <w:spacing w:after="0" w:line="287" w:lineRule="auto"/>
        <w:tabs>
          <w:tab w:leader="none" w:pos="2346" w:val="left"/>
        </w:tabs>
        <w:numPr>
          <w:ilvl w:val="1"/>
          <w:numId w:val="100"/>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(C), “FATCA” shall include any amendments made to FATCA after the date of this Agreement. For purposes of determining withholding Taxes imposed under FATCA, from and after the Third A&amp;R Effective Date, the Borrower and the Administrative Agent shall treat (and the Lenders hereby authorize the Administrative Agent to treat) this Agreement as not qualifying as a “grandfathered obligation” within the meaning of Treasury Regulation Section 1.1471-2(b)(2)(i).</w:t>
      </w:r>
    </w:p>
    <w:p>
      <w:pPr>
        <w:spacing w:after="0" w:line="38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96" w:name="page97"/>
    <w:bookmarkEnd w:id="96"/>
    <w:p>
      <w:pPr>
        <w:jc w:val="both"/>
        <w:ind w:left="660" w:firstLine="645"/>
        <w:spacing w:after="0" w:line="286" w:lineRule="auto"/>
        <w:tabs>
          <w:tab w:leader="none" w:pos="2505"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the Administrative Agent, any Lender or the L/C Issuer determines, in its sole discretion, that it has received a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out-of-pocket expenses incurred by the Administrative Agent, such Lender or the L/C Issuer,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such Lender or the L/C Issuer, agrees to repay the amount paid over to the Borrower (plus any penalties, interest or other charges imposed by the relevant Governmental Authority) to the Administrative Agent, such Lender or the L/C Issuer in the event the Administrative Agent, such Lender or the L/C Issuer is required to repay such refund to such Governmental Authority. This subsection shall not be construed to require the Administrative Agent, any Lender or the L/C Issuer to make available its tax returns (or any other information relating to its taxes that it deems confidential) to the Borrower or any other Person.</w:t>
      </w:r>
    </w:p>
    <w:p>
      <w:pPr>
        <w:spacing w:after="0" w:line="17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8"/>
          <w:szCs w:val="18"/>
          <w:u w:val="single" w:color="auto"/>
          <w:color w:val="auto"/>
        </w:rPr>
        <w:t>Illegality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any Lender determines that any Law has made it unlawful, or that any Governmental Authority has asserted that it is unlawful, for any Lender or its applicable Lending Office to make, maintain or fund Eurodollar Rate Loans,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any obligation of such Lender to make or continue Eurodollar Rate Loans or to convert LIBOR Daily Floating Rate Loans to Eurodollar Rate Loans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or, if applicable, convert all Eurodollar Rate Loans of such Lender to LIBOR Daily Floating Rate Loans, either on the last day of the Interest Period therefor, if such Lender may lawfully continue to maintain such Eurodollar Rate Loans to such day, or immediately, if such Lender may not lawfully continue to maintain such Eurodollar Rate Loans. Upon any such prepayment or conversion, the Borrower shall also pay accrued interest on the amount so prepaid or converted.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7" w:name="page98"/>
    <w:bookmarkEnd w:id="97"/>
    <w:p>
      <w:pPr>
        <w:ind w:left="660"/>
        <w:spacing w:after="0"/>
        <w:tabs>
          <w:tab w:leader="none" w:pos="140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6"/>
          <w:szCs w:val="16"/>
          <w:u w:val="single" w:color="auto"/>
          <w:color w:val="auto"/>
        </w:rPr>
        <w:t>Inability to Determine Rates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in connection with any request for a Eurodollar Rate Loan or a conversion to or continuation thereof, (a) the Required Lenders determine that (i) Dollar deposits are not being offered to banks in the London interbank Eurodollar market for the applicable amount and Interest Period of such Eurodollar Rate Loan (in each case with respect to clause (a)(i), “</w:t>
      </w:r>
      <w:r>
        <w:rPr>
          <w:rFonts w:ascii="Arial" w:cs="Arial" w:eastAsia="Arial" w:hAnsi="Arial"/>
          <w:sz w:val="16"/>
          <w:szCs w:val="16"/>
          <w:u w:val="single" w:color="auto"/>
          <w:color w:val="auto"/>
        </w:rPr>
        <w:t>Impacted Loans</w:t>
      </w:r>
      <w:r>
        <w:rPr>
          <w:rFonts w:ascii="Arial" w:cs="Arial" w:eastAsia="Arial" w:hAnsi="Arial"/>
          <w:sz w:val="16"/>
          <w:szCs w:val="16"/>
          <w:color w:val="auto"/>
        </w:rPr>
        <w:t>”), (ii) adequate and reasonable means do not exist for determining the Eurodollar Rate for any requested Interest Period with respect to a proposed Eurodollar Rate Loan or in connection with an existing or proposed LIBOR Daily Floating Rate Loan, or (iii)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 Lender. Thereafter, the obligation of the Lenders to make or maintain Eurodollar Rate Loans shall be suspended (to the extent of the affected Eurodollar Rate Loans or Interest Periods).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at the rate so determined by the Administrative Agent in accordance with the terms hereof in the amount specified therein.</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Notwithstanding the foregoing, if the Required Lenders have made the determination described in clause (a) (i) of this section,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 of the first sentence of this section, (2) the Administrative Agent or the Required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8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u w:val="single" w:color="auto"/>
          <w:color w:val="auto"/>
        </w:rPr>
        <w:t>Increased Costs; Reserves on Eurodollar Rate Loans</w:t>
      </w:r>
    </w:p>
    <w:p>
      <w:pPr>
        <w:spacing w:after="0" w:line="225" w:lineRule="exact"/>
        <w:rPr>
          <w:sz w:val="20"/>
          <w:szCs w:val="20"/>
          <w:color w:val="auto"/>
        </w:rPr>
      </w:pPr>
    </w:p>
    <w:p>
      <w:pPr>
        <w:ind w:left="2220" w:hanging="915"/>
        <w:spacing w:after="0"/>
        <w:tabs>
          <w:tab w:leader="none" w:pos="22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5" w:lineRule="exact"/>
        <w:rPr>
          <w:rFonts w:ascii="Arial" w:cs="Arial" w:eastAsia="Arial" w:hAnsi="Arial"/>
          <w:sz w:val="18"/>
          <w:szCs w:val="18"/>
          <w:color w:val="auto"/>
        </w:rPr>
      </w:pPr>
    </w:p>
    <w:p>
      <w:pPr>
        <w:jc w:val="both"/>
        <w:ind w:left="1300" w:firstLine="653"/>
        <w:spacing w:after="0" w:line="264" w:lineRule="auto"/>
        <w:tabs>
          <w:tab w:leader="none" w:pos="322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Eurodollar Rate) or the L/C Issuer;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8" w:name="page99"/>
    <w:bookmarkEnd w:id="98"/>
    <w:p>
      <w:pPr>
        <w:jc w:val="both"/>
        <w:ind w:left="1300" w:firstLine="653"/>
        <w:spacing w:after="0" w:line="259" w:lineRule="auto"/>
        <w:tabs>
          <w:tab w:leader="none" w:pos="291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subject any Lender or the L/C Issuer to any tax of any kind whatsoever with respect to this Agreement, any Letter of Credit, any participation in a Letter of Credit or any Eurodollar Rate Loan made by it, or change the basis of taxation of payments to such Lender or the L/C Issuer in respect thereof (except for Indemnified Taxes or Other Taxes covered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the imposition of, or any change in the rate of, any Excluded Tax payable by such Lender or the L/C Issuer); or</w:t>
      </w:r>
    </w:p>
    <w:p>
      <w:pPr>
        <w:spacing w:after="0" w:line="186" w:lineRule="exact"/>
        <w:rPr>
          <w:rFonts w:ascii="Arial" w:cs="Arial" w:eastAsia="Arial" w:hAnsi="Arial"/>
          <w:sz w:val="18"/>
          <w:szCs w:val="18"/>
          <w:color w:val="auto"/>
        </w:rPr>
      </w:pPr>
    </w:p>
    <w:p>
      <w:pPr>
        <w:ind w:left="1300" w:firstLine="653"/>
        <w:spacing w:after="0" w:line="308" w:lineRule="auto"/>
        <w:tabs>
          <w:tab w:leader="none" w:pos="283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impose on any Lender or the L/C Issuer or the London interbank market any other condition, cost or expense affecting this Agreement or Eurodollar Rate Loans made by such Lender or any Letter of Credit or participation therein;</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the result of any of the foregoing shall be to increase the cost to such Lender of making or maintaining any Eurodollar Rate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193" w:lineRule="exact"/>
        <w:rPr>
          <w:sz w:val="20"/>
          <w:szCs w:val="20"/>
          <w:color w:val="auto"/>
        </w:rPr>
      </w:pPr>
    </w:p>
    <w:p>
      <w:pPr>
        <w:jc w:val="both"/>
        <w:ind w:left="660" w:firstLine="645"/>
        <w:spacing w:after="0" w:line="289" w:lineRule="auto"/>
        <w:tabs>
          <w:tab w:leader="none" w:pos="2328"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or the L/C Issuer determines that any Change in Law affecting such Lender or the L/C Issuer or any Lending Office of such Lender or such Lender’s or the L/C Issuer’s holding company, if any, regarding capital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166" w:lineRule="exact"/>
        <w:rPr>
          <w:rFonts w:ascii="Arial" w:cs="Arial" w:eastAsia="Arial" w:hAnsi="Arial"/>
          <w:sz w:val="16"/>
          <w:szCs w:val="16"/>
          <w:color w:val="auto"/>
        </w:rPr>
      </w:pPr>
    </w:p>
    <w:p>
      <w:pPr>
        <w:jc w:val="both"/>
        <w:ind w:left="660" w:firstLine="645"/>
        <w:spacing w:after="0" w:line="259" w:lineRule="auto"/>
        <w:tabs>
          <w:tab w:leader="none" w:pos="2336"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the L/C Issuer setting forth the amount or amounts necessary to compensate such Lender or the L/C Issuer or its holding company, as the case may be, as specified in subsection (a) or (b) of this Section and delivered to the Borrower shall be conclusive absent manifest error. The Borrower shall pay such Lender or the L/C Issuer, as the case may be, the amount shown as due on any such certificate within 10 days after receipt thereof.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9" w:name="page100"/>
    <w:bookmarkEnd w:id="99"/>
    <w:p>
      <w:pPr>
        <w:jc w:val="both"/>
        <w:ind w:left="660" w:firstLine="645"/>
        <w:spacing w:after="0" w:line="272" w:lineRule="auto"/>
        <w:tabs>
          <w:tab w:leader="none" w:pos="2436"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or the L/C Issuer pursuant to the foregoing provisions of this Section for any increased costs incurred or reductions suffered more than nine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6"/>
          <w:szCs w:val="16"/>
          <w:u w:val="single" w:color="auto"/>
          <w:color w:val="auto"/>
        </w:rPr>
        <w:t>Compensation for Losses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Upon demand of any Lender (with a copy to the Administrative Agent) from time to time, the Borrower shall promptly compensate such Lender for and hold such Lender harmless from any loss, cost or expense incurred by it as a result of:</w:t>
      </w:r>
    </w:p>
    <w:p>
      <w:pPr>
        <w:spacing w:after="0" w:line="170" w:lineRule="exact"/>
        <w:rPr>
          <w:sz w:val="20"/>
          <w:szCs w:val="20"/>
          <w:color w:val="auto"/>
        </w:rPr>
      </w:pPr>
    </w:p>
    <w:p>
      <w:pPr>
        <w:ind w:left="660" w:firstLine="645"/>
        <w:spacing w:after="0" w:line="308" w:lineRule="auto"/>
        <w:tabs>
          <w:tab w:leader="none" w:pos="2183"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any continuation, conversion, payment or prepayment of any Loan other than a LIBOR Daily Floating Rate Loan on a day other than the last day of the Interest Period for such Loan (whether voluntary, mandatory, automatic, by reason of acceleration, or otherwise);</w:t>
      </w:r>
    </w:p>
    <w:p>
      <w:pPr>
        <w:spacing w:after="0" w:line="146" w:lineRule="exact"/>
        <w:rPr>
          <w:rFonts w:ascii="Arial" w:cs="Arial" w:eastAsia="Arial" w:hAnsi="Arial"/>
          <w:sz w:val="17"/>
          <w:szCs w:val="17"/>
          <w:color w:val="auto"/>
        </w:rPr>
      </w:pPr>
    </w:p>
    <w:p>
      <w:pPr>
        <w:ind w:left="660" w:firstLine="645"/>
        <w:spacing w:after="0" w:line="277" w:lineRule="auto"/>
        <w:tabs>
          <w:tab w:leader="none" w:pos="227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LIBOR Daily Floating Rate Loan on the date or in the amount notified by the Borrower; or</w:t>
      </w:r>
    </w:p>
    <w:p>
      <w:pPr>
        <w:spacing w:after="0" w:line="170" w:lineRule="exact"/>
        <w:rPr>
          <w:rFonts w:ascii="Arial" w:cs="Arial" w:eastAsia="Arial" w:hAnsi="Arial"/>
          <w:sz w:val="18"/>
          <w:szCs w:val="18"/>
          <w:color w:val="auto"/>
        </w:rPr>
      </w:pPr>
    </w:p>
    <w:p>
      <w:pPr>
        <w:ind w:left="660" w:firstLine="645"/>
        <w:spacing w:after="0" w:line="277" w:lineRule="auto"/>
        <w:tabs>
          <w:tab w:leader="none" w:pos="221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For purposes of calculating amounts payable by the Borrower to the Lenders under this </w:t>
      </w:r>
      <w:r>
        <w:rPr>
          <w:rFonts w:ascii="Arial" w:cs="Arial" w:eastAsia="Arial" w:hAnsi="Arial"/>
          <w:sz w:val="17"/>
          <w:szCs w:val="17"/>
          <w:u w:val="single" w:color="auto"/>
          <w:color w:val="auto"/>
        </w:rPr>
        <w:t>Section 3.05</w:t>
      </w:r>
      <w:r>
        <w:rPr>
          <w:rFonts w:ascii="Arial" w:cs="Arial" w:eastAsia="Arial" w:hAnsi="Arial"/>
          <w:sz w:val="17"/>
          <w:szCs w:val="17"/>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6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6"/>
          <w:szCs w:val="16"/>
          <w:u w:val="single" w:color="auto"/>
          <w:color w:val="auto"/>
        </w:rPr>
        <w:t>Mitigation Obligations; Replacement of Lenders</w:t>
      </w:r>
    </w:p>
    <w:p>
      <w:pPr>
        <w:spacing w:after="0" w:line="225" w:lineRule="exact"/>
        <w:rPr>
          <w:sz w:val="20"/>
          <w:szCs w:val="20"/>
          <w:color w:val="auto"/>
        </w:rPr>
      </w:pPr>
    </w:p>
    <w:p>
      <w:pPr>
        <w:jc w:val="both"/>
        <w:ind w:left="660" w:firstLine="645"/>
        <w:spacing w:after="0" w:line="289" w:lineRule="auto"/>
        <w:tabs>
          <w:tab w:leader="none" w:pos="2512"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the Borrower is required to pay any additional amount to any Lender, the L/C Issuer, or any Governmental Authority for the account of any Lender or the L/C Issuer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gives a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then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0" w:name="page101"/>
    <w:bookmarkEnd w:id="100"/>
    <w:p>
      <w:pPr>
        <w:jc w:val="both"/>
        <w:ind w:left="660" w:firstLine="645"/>
        <w:spacing w:after="0" w:line="264" w:lineRule="auto"/>
        <w:tabs>
          <w:tab w:leader="none" w:pos="2328"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3.07</w:t>
      </w:r>
      <w:r>
        <w:rPr>
          <w:sz w:val="20"/>
          <w:szCs w:val="20"/>
          <w:color w:val="auto"/>
        </w:rPr>
        <w:tab/>
      </w:r>
      <w:r>
        <w:rPr>
          <w:rFonts w:ascii="Arial" w:cs="Arial" w:eastAsia="Arial" w:hAnsi="Arial"/>
          <w:sz w:val="17"/>
          <w:szCs w:val="17"/>
          <w:u w:val="single" w:color="auto"/>
          <w:color w:val="auto"/>
        </w:rPr>
        <w:t>Survival</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All of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Commitments, repayment of all other Obligations hereunder, and resignation of the Administrative Agent.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 TO CREDIT EXTENSIONS</w:t>
      </w:r>
    </w:p>
    <w:p>
      <w:pPr>
        <w:spacing w:after="0" w:line="21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6"/>
          <w:szCs w:val="16"/>
          <w:u w:val="single" w:color="auto"/>
          <w:color w:val="auto"/>
        </w:rPr>
        <w:t>Conditions of Initial Credit Extension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obligation of the L/C Issuer and each Lender to enter into this Agreement is subject to satisfaction of the following conditions precedent:</w:t>
      </w:r>
    </w:p>
    <w:p>
      <w:pPr>
        <w:spacing w:after="0" w:line="225" w:lineRule="exact"/>
        <w:rPr>
          <w:sz w:val="20"/>
          <w:szCs w:val="20"/>
          <w:color w:val="auto"/>
        </w:rPr>
      </w:pPr>
    </w:p>
    <w:p>
      <w:pPr>
        <w:jc w:val="both"/>
        <w:ind w:left="660" w:firstLine="645"/>
        <w:spacing w:after="0" w:line="259" w:lineRule="auto"/>
        <w:tabs>
          <w:tab w:leader="none" w:pos="239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or telecopies (followed promptly by originals) unless otherwise specified, each properly executed by a Responsible Officer of the signing Loan Party, each dated the Third A&amp;R Effective Date (or, in the case of certificates of governmental officials, a recent date before the Third A&amp;R Effective Date) and each in form and substance satisfactory to the Administrative Agent and each of the Lenders:</w:t>
      </w:r>
    </w:p>
    <w:p>
      <w:pPr>
        <w:spacing w:after="0" w:line="186" w:lineRule="exact"/>
        <w:rPr>
          <w:rFonts w:ascii="Arial" w:cs="Arial" w:eastAsia="Arial" w:hAnsi="Arial"/>
          <w:sz w:val="18"/>
          <w:szCs w:val="18"/>
          <w:color w:val="auto"/>
        </w:rPr>
      </w:pPr>
    </w:p>
    <w:p>
      <w:pPr>
        <w:ind w:left="1300" w:firstLine="653"/>
        <w:spacing w:after="0" w:line="277" w:lineRule="auto"/>
        <w:tabs>
          <w:tab w:leader="none" w:pos="292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executed counterparts of this Agreement and the Guaranty, sufficient in number for distribution to the Administrative Agent, each Lender and the Borrower;</w:t>
      </w:r>
    </w:p>
    <w:p>
      <w:pPr>
        <w:spacing w:after="0" w:line="170" w:lineRule="exact"/>
        <w:rPr>
          <w:rFonts w:ascii="Arial" w:cs="Arial" w:eastAsia="Arial" w:hAnsi="Arial"/>
          <w:sz w:val="18"/>
          <w:szCs w:val="18"/>
          <w:color w:val="auto"/>
        </w:rPr>
      </w:pPr>
    </w:p>
    <w:p>
      <w:pPr>
        <w:ind w:left="2840" w:hanging="887"/>
        <w:spacing w:after="0"/>
        <w:tabs>
          <w:tab w:leader="none" w:pos="28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 Note executed by the Borrower in favor of each Lender requesting a Note;</w:t>
      </w:r>
    </w:p>
    <w:p>
      <w:pPr>
        <w:spacing w:after="0" w:line="225" w:lineRule="exact"/>
        <w:rPr>
          <w:rFonts w:ascii="Arial" w:cs="Arial" w:eastAsia="Arial" w:hAnsi="Arial"/>
          <w:sz w:val="18"/>
          <w:szCs w:val="18"/>
          <w:color w:val="auto"/>
        </w:rPr>
      </w:pPr>
    </w:p>
    <w:p>
      <w:pPr>
        <w:ind w:left="2800" w:hanging="847"/>
        <w:spacing w:after="0"/>
        <w:tabs>
          <w:tab w:leader="none" w:pos="28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confirmation of security agreements, in form and substance reasonably acceptable to the Lenders;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1" w:name="page102"/>
    <w:bookmarkEnd w:id="101"/>
    <w:p>
      <w:pPr>
        <w:jc w:val="both"/>
        <w:ind w:left="100" w:firstLine="653"/>
        <w:spacing w:after="0" w:line="259" w:lineRule="auto"/>
        <w:tabs>
          <w:tab w:leader="none" w:pos="159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or is to be a party;</w:t>
      </w:r>
    </w:p>
    <w:p>
      <w:pPr>
        <w:spacing w:after="0" w:line="186" w:lineRule="exact"/>
        <w:rPr>
          <w:rFonts w:ascii="Arial" w:cs="Arial" w:eastAsia="Arial" w:hAnsi="Arial"/>
          <w:sz w:val="18"/>
          <w:szCs w:val="18"/>
          <w:color w:val="auto"/>
        </w:rPr>
      </w:pPr>
    </w:p>
    <w:p>
      <w:pPr>
        <w:jc w:val="both"/>
        <w:ind w:left="100" w:firstLine="653"/>
        <w:spacing w:after="0" w:line="279" w:lineRule="auto"/>
        <w:tabs>
          <w:tab w:leader="none" w:pos="1808" w:val="left"/>
        </w:tabs>
        <w:numPr>
          <w:ilvl w:val="1"/>
          <w:numId w:val="110"/>
        </w:numPr>
        <w:rPr>
          <w:rFonts w:ascii="Arial" w:cs="Arial" w:eastAsia="Arial" w:hAnsi="Arial"/>
          <w:sz w:val="17"/>
          <w:szCs w:val="17"/>
          <w:color w:val="auto"/>
        </w:rPr>
      </w:pPr>
      <w:r>
        <w:rPr>
          <w:rFonts w:ascii="Arial" w:cs="Arial" w:eastAsia="Arial" w:hAnsi="Arial"/>
          <w:sz w:val="17"/>
          <w:szCs w:val="17"/>
          <w:color w:val="auto"/>
        </w:rPr>
        <w:t>such documents and certifications as the Administrative Agent may reasonably require to evidence that each Loan Party is duly organized or formed, and that the Borrower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171" w:lineRule="exact"/>
        <w:rPr>
          <w:rFonts w:ascii="Arial" w:cs="Arial" w:eastAsia="Arial" w:hAnsi="Arial"/>
          <w:sz w:val="17"/>
          <w:szCs w:val="17"/>
          <w:color w:val="auto"/>
        </w:rPr>
      </w:pPr>
    </w:p>
    <w:p>
      <w:pPr>
        <w:ind w:left="100" w:firstLine="653"/>
        <w:spacing w:after="0" w:line="277" w:lineRule="auto"/>
        <w:tabs>
          <w:tab w:leader="none" w:pos="163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 favorable opinion of Burns &amp; Levinson LLP, counsel to the Loan Parties, addressed to the Administrative Agent and each Lender, as the Required Lenders may reasonably request;</w:t>
      </w:r>
    </w:p>
    <w:p>
      <w:pPr>
        <w:spacing w:after="0" w:line="170" w:lineRule="exact"/>
        <w:rPr>
          <w:rFonts w:ascii="Arial" w:cs="Arial" w:eastAsia="Arial" w:hAnsi="Arial"/>
          <w:sz w:val="18"/>
          <w:szCs w:val="18"/>
          <w:color w:val="auto"/>
        </w:rPr>
      </w:pPr>
    </w:p>
    <w:p>
      <w:pPr>
        <w:jc w:val="both"/>
        <w:ind w:left="100" w:right="20" w:firstLine="653"/>
        <w:spacing w:after="0" w:line="259" w:lineRule="auto"/>
        <w:tabs>
          <w:tab w:leader="none" w:pos="167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a certificate signed by a Responsible Officer of the Borrower certifying (A) that the conditions specified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and (B) that there has been no event or circumstance since the date of the Audited Financial Statements that has had or could be reasonably expected to have, either individually or in the aggregate, a Material Adverse Effect since December 31, 2016;</w:t>
      </w:r>
    </w:p>
    <w:p>
      <w:pPr>
        <w:spacing w:after="0" w:line="186" w:lineRule="exact"/>
        <w:rPr>
          <w:rFonts w:ascii="Arial" w:cs="Arial" w:eastAsia="Arial" w:hAnsi="Arial"/>
          <w:sz w:val="18"/>
          <w:szCs w:val="18"/>
          <w:color w:val="auto"/>
        </w:rPr>
      </w:pPr>
    </w:p>
    <w:p>
      <w:pPr>
        <w:ind w:left="1520" w:hanging="767"/>
        <w:spacing w:after="0"/>
        <w:tabs>
          <w:tab w:leader="none" w:pos="15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certificates attesting to the Solvency of each Loan Party from its chief financial officer;</w:t>
      </w:r>
    </w:p>
    <w:p>
      <w:pPr>
        <w:spacing w:after="0" w:line="225" w:lineRule="exact"/>
        <w:rPr>
          <w:rFonts w:ascii="Arial" w:cs="Arial" w:eastAsia="Arial" w:hAnsi="Arial"/>
          <w:sz w:val="18"/>
          <w:szCs w:val="18"/>
          <w:color w:val="auto"/>
        </w:rPr>
      </w:pPr>
    </w:p>
    <w:p>
      <w:pPr>
        <w:ind w:left="1600" w:hanging="847"/>
        <w:spacing w:after="0"/>
        <w:tabs>
          <w:tab w:leader="none" w:pos="16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640" w:hanging="887"/>
        <w:spacing w:after="0"/>
        <w:tabs>
          <w:tab w:leader="none" w:pos="16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and</w:t>
      </w:r>
    </w:p>
    <w:p>
      <w:pPr>
        <w:spacing w:after="0" w:line="225" w:lineRule="exact"/>
        <w:rPr>
          <w:rFonts w:ascii="Arial" w:cs="Arial" w:eastAsia="Arial" w:hAnsi="Arial"/>
          <w:sz w:val="18"/>
          <w:szCs w:val="18"/>
          <w:color w:val="auto"/>
        </w:rPr>
      </w:pPr>
    </w:p>
    <w:p>
      <w:pPr>
        <w:ind w:left="100" w:right="20" w:firstLine="653"/>
        <w:spacing w:after="0" w:line="277" w:lineRule="auto"/>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such other assurances, certificates, documents, consents or opinions as the Administrative Agent, the L/C Issuer or any Lender reasonably may require.</w:t>
      </w:r>
    </w:p>
    <w:p>
      <w:pPr>
        <w:spacing w:after="0" w:line="170" w:lineRule="exact"/>
        <w:rPr>
          <w:rFonts w:ascii="Arial" w:cs="Arial" w:eastAsia="Arial" w:hAnsi="Arial"/>
          <w:sz w:val="18"/>
          <w:szCs w:val="18"/>
          <w:color w:val="auto"/>
        </w:rPr>
      </w:pPr>
    </w:p>
    <w:p>
      <w:pPr>
        <w:jc w:val="both"/>
        <w:ind w:left="-540" w:firstLine="645"/>
        <w:spacing w:after="0" w:line="264" w:lineRule="auto"/>
        <w:tabs>
          <w:tab w:leader="none" w:pos="113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All fees required to be paid to the Administrative Agent on or before the Third A&amp;R Effective Date shall have been paid, including, without limitation, the Agency Fee, and (ii) all fees required to be paid to the Lenders on or before the Third A&amp;R Effective Date shall have been paid.</w:t>
      </w:r>
    </w:p>
    <w:p>
      <w:pPr>
        <w:spacing w:after="0" w:line="181" w:lineRule="exact"/>
        <w:rPr>
          <w:rFonts w:ascii="Arial" w:cs="Arial" w:eastAsia="Arial" w:hAnsi="Arial"/>
          <w:sz w:val="18"/>
          <w:szCs w:val="18"/>
          <w:color w:val="auto"/>
        </w:rPr>
      </w:pPr>
    </w:p>
    <w:p>
      <w:pPr>
        <w:jc w:val="both"/>
        <w:ind w:left="-540" w:firstLine="645"/>
        <w:spacing w:after="0" w:line="276" w:lineRule="auto"/>
        <w:tabs>
          <w:tab w:leader="none" w:pos="1023" w:val="left"/>
        </w:tabs>
        <w:numPr>
          <w:ilvl w:val="0"/>
          <w:numId w:val="111"/>
        </w:numPr>
        <w:rPr>
          <w:rFonts w:ascii="Arial" w:cs="Arial" w:eastAsia="Arial" w:hAnsi="Arial"/>
          <w:sz w:val="17"/>
          <w:szCs w:val="17"/>
          <w:color w:val="auto"/>
        </w:rPr>
      </w:pPr>
      <w:r>
        <w:rPr>
          <w:rFonts w:ascii="Arial" w:cs="Arial" w:eastAsia="Arial" w:hAnsi="Arial"/>
          <w:sz w:val="17"/>
          <w:szCs w:val="17"/>
          <w:color w:val="auto"/>
        </w:rPr>
        <w:t>Unless waived by the Administrative Agent, the Borrower shall have paid all fees, charges and disbursements of counsel to the Administrative Agent (directly to such counsel if requested by the Administrative Agent) to the extent invoiced prior to or on the Third A&amp;R Effective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estimate shall not thereafter preclude a final settling of accounts between the Borrower and the Administrative Agent).</w:t>
      </w:r>
    </w:p>
    <w:p>
      <w:pPr>
        <w:spacing w:after="0" w:line="38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02" w:name="page103"/>
    <w:bookmarkEnd w:id="102"/>
    <w:p>
      <w:pPr>
        <w:jc w:val="both"/>
        <w:spacing w:after="0" w:line="279" w:lineRule="auto"/>
        <w:rPr>
          <w:sz w:val="20"/>
          <w:szCs w:val="20"/>
          <w:color w:val="auto"/>
        </w:rPr>
      </w:pPr>
      <w:r>
        <w:rPr>
          <w:rFonts w:ascii="Arial" w:cs="Arial" w:eastAsia="Arial" w:hAnsi="Arial"/>
          <w:sz w:val="17"/>
          <w:szCs w:val="17"/>
          <w:color w:val="auto"/>
        </w:rPr>
        <w:t xml:space="preserve">Without limiting the generality of the provisions of the last paragraph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4.01</w:t>
      </w:r>
      <w:r>
        <w:rPr>
          <w:rFonts w:ascii="Arial" w:cs="Arial" w:eastAsia="Arial" w:hAnsi="Arial"/>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Third A&amp;R Effective Date specifying its objection thereto.</w:t>
      </w:r>
    </w:p>
    <w:p>
      <w:pPr>
        <w:spacing w:after="0" w:line="17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u w:val="single" w:color="auto"/>
          <w:color w:val="auto"/>
        </w:rPr>
        <w:t>Conditions to all Credit Extensions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obligation of each Lender to honor any Request for Credit Extension (other than a Committed Loan Notice requesting only a conversion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Loans to the other Type, or a continuation of Eurodollar Rate Loans) is subject to the following conditions precedent:</w:t>
      </w:r>
    </w:p>
    <w:p>
      <w:pPr>
        <w:spacing w:after="0" w:line="211" w:lineRule="exact"/>
        <w:rPr>
          <w:sz w:val="20"/>
          <w:szCs w:val="20"/>
          <w:color w:val="auto"/>
        </w:rPr>
      </w:pPr>
    </w:p>
    <w:p>
      <w:pPr>
        <w:jc w:val="both"/>
        <w:ind w:left="660" w:firstLine="645"/>
        <w:spacing w:after="0" w:line="254" w:lineRule="auto"/>
        <w:tabs>
          <w:tab w:leader="none" w:pos="218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Borrower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any other Loan Document, or which are contained in any document furnished at any time under or in connection herewith or therewith, shall be true and correct in all material respects (except that such materiality qualifier shall not be applicable to any representations and warranties that are already qualified or modified by materiality) on and as of the date of such Credit Extension, except to the extent that such representations and warranties specifically refer to an earlier date, in which case they shall be true and correct as of such earlier date in all material respects (except that such materiality qualifier shall not be applicable to any representations and warranties that are already qualified or modified by materiality), and except that for purposes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Sections 5.05(a)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respectively.</w:t>
      </w:r>
    </w:p>
    <w:p>
      <w:pPr>
        <w:spacing w:after="0" w:line="192" w:lineRule="exact"/>
        <w:rPr>
          <w:rFonts w:ascii="Arial" w:cs="Arial" w:eastAsia="Arial" w:hAnsi="Arial"/>
          <w:sz w:val="18"/>
          <w:szCs w:val="18"/>
          <w:color w:val="auto"/>
        </w:rPr>
      </w:pPr>
    </w:p>
    <w:p>
      <w:pPr>
        <w:ind w:left="2280" w:hanging="975"/>
        <w:spacing w:after="0"/>
        <w:tabs>
          <w:tab w:leader="none" w:pos="22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No Default or Event of Default shall exist, or would result from such proposed Credit Extension or from the application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proceeds thereof.</w:t>
      </w:r>
    </w:p>
    <w:p>
      <w:pPr>
        <w:spacing w:after="0" w:line="210" w:lineRule="exact"/>
        <w:rPr>
          <w:rFonts w:ascii="Arial" w:cs="Arial" w:eastAsia="Arial" w:hAnsi="Arial"/>
          <w:sz w:val="16"/>
          <w:szCs w:val="16"/>
          <w:color w:val="auto"/>
        </w:rPr>
      </w:pPr>
    </w:p>
    <w:p>
      <w:pPr>
        <w:ind w:left="660" w:firstLine="645"/>
        <w:spacing w:after="0" w:line="277" w:lineRule="auto"/>
        <w:tabs>
          <w:tab w:leader="none" w:pos="218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Administrative Agent and, if applicable, or the L/C Issuer shall have received a Request for Credit Extension in accordance with the requirements hereof.</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Each Request for Credit Extension (other than a Committed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(b)</w:t>
      </w:r>
      <w:r>
        <w:rPr>
          <w:rFonts w:ascii="Arial" w:cs="Arial" w:eastAsia="Arial" w:hAnsi="Arial"/>
          <w:sz w:val="18"/>
          <w:szCs w:val="18"/>
          <w:color w:val="auto"/>
        </w:rPr>
        <w:t xml:space="preserve"> have been satisfied on and as of the date of the applicable Credit Extension.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Borrower represents and warrants to the Administrative Agent and the Lenders (and such representations are re-made by the Borrower each time the Borrower submits a quarterly Compliance Certificate pursuant to </w:t>
      </w:r>
      <w:r>
        <w:rPr>
          <w:rFonts w:ascii="Arial" w:cs="Arial" w:eastAsia="Arial" w:hAnsi="Arial"/>
          <w:sz w:val="18"/>
          <w:szCs w:val="18"/>
          <w:u w:val="single" w:color="auto"/>
          <w:color w:val="auto"/>
        </w:rPr>
        <w:t>Section 6.02</w:t>
      </w:r>
      <w:r>
        <w:rPr>
          <w:rFonts w:ascii="Arial" w:cs="Arial" w:eastAsia="Arial" w:hAnsi="Arial"/>
          <w:sz w:val="18"/>
          <w:szCs w:val="18"/>
          <w:color w:val="auto"/>
        </w:rPr>
        <w:t>) that:</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6"/>
          <w:szCs w:val="16"/>
          <w:u w:val="single" w:color="auto"/>
          <w:color w:val="auto"/>
        </w:rPr>
        <w:t>Existence, Qualification and Power</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Each Loan Party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consummate the Transaction,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16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6"/>
          <w:szCs w:val="16"/>
          <w:u w:val="single" w:color="auto"/>
          <w:color w:val="auto"/>
        </w:rPr>
        <w:t>Authorization; No Contravention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execution, delivery and performance by each Loan Party of each Loan Document to which such Person is a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w:t>
      </w:r>
    </w:p>
    <w:p>
      <w:pPr>
        <w:spacing w:after="0" w:line="15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6"/>
          <w:szCs w:val="16"/>
          <w:u w:val="single" w:color="auto"/>
          <w:color w:val="auto"/>
        </w:rPr>
        <w:t>Governmental Authorization; Other Consents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w:t>
      </w:r>
    </w:p>
    <w:p>
      <w:pPr>
        <w:spacing w:after="0" w:line="17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5.04</w:t>
      </w:r>
      <w:r>
        <w:rPr>
          <w:sz w:val="20"/>
          <w:szCs w:val="20"/>
          <w:color w:val="auto"/>
        </w:rPr>
        <w:tab/>
      </w:r>
      <w:r>
        <w:rPr>
          <w:rFonts w:ascii="Arial" w:cs="Arial" w:eastAsia="Arial" w:hAnsi="Arial"/>
          <w:sz w:val="17"/>
          <w:szCs w:val="17"/>
          <w:u w:val="single" w:color="auto"/>
          <w:color w:val="auto"/>
        </w:rPr>
        <w:t>Binding Effect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4" w:name="page105"/>
    <w:bookmarkEnd w:id="104"/>
    <w:p>
      <w:pPr>
        <w:ind w:left="660"/>
        <w:spacing w:after="0"/>
        <w:tabs>
          <w:tab w:leader="none" w:pos="1400" w:val="left"/>
        </w:tabs>
        <w:rPr>
          <w:sz w:val="20"/>
          <w:szCs w:val="20"/>
          <w:color w:val="auto"/>
        </w:rPr>
      </w:pPr>
      <w:r>
        <w:rPr>
          <w:rFonts w:ascii="Arial" w:cs="Arial" w:eastAsia="Arial" w:hAnsi="Arial"/>
          <w:sz w:val="18"/>
          <w:szCs w:val="18"/>
          <w:color w:val="auto"/>
        </w:rPr>
        <w:t>5.05</w:t>
      </w:r>
      <w:r>
        <w:rPr>
          <w:sz w:val="20"/>
          <w:szCs w:val="20"/>
          <w:color w:val="auto"/>
        </w:rPr>
        <w:tab/>
      </w:r>
      <w:r>
        <w:rPr>
          <w:rFonts w:ascii="Arial" w:cs="Arial" w:eastAsia="Arial" w:hAnsi="Arial"/>
          <w:sz w:val="16"/>
          <w:szCs w:val="16"/>
          <w:u w:val="single" w:color="auto"/>
          <w:color w:val="auto"/>
        </w:rPr>
        <w:t>Financial Statements; No Material Adverse Effect</w:t>
      </w:r>
    </w:p>
    <w:p>
      <w:pPr>
        <w:spacing w:after="0" w:line="225" w:lineRule="exact"/>
        <w:rPr>
          <w:sz w:val="20"/>
          <w:szCs w:val="20"/>
          <w:color w:val="auto"/>
        </w:rPr>
      </w:pPr>
    </w:p>
    <w:p>
      <w:pPr>
        <w:jc w:val="both"/>
        <w:ind w:left="660" w:firstLine="645"/>
        <w:spacing w:after="0" w:line="255" w:lineRule="auto"/>
        <w:tabs>
          <w:tab w:leader="none" w:pos="244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(ii) fairly present in all material respects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Indebtedness.</w:t>
      </w:r>
    </w:p>
    <w:p>
      <w:pPr>
        <w:spacing w:after="0" w:line="193" w:lineRule="exact"/>
        <w:rPr>
          <w:rFonts w:ascii="Arial" w:cs="Arial" w:eastAsia="Arial" w:hAnsi="Arial"/>
          <w:sz w:val="18"/>
          <w:szCs w:val="18"/>
          <w:color w:val="auto"/>
        </w:rPr>
      </w:pPr>
    </w:p>
    <w:p>
      <w:pPr>
        <w:ind w:left="660" w:firstLine="645"/>
        <w:spacing w:after="0" w:line="277" w:lineRule="auto"/>
        <w:tabs>
          <w:tab w:leader="none" w:pos="243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5.06</w:t>
      </w:r>
      <w:r>
        <w:rPr>
          <w:sz w:val="20"/>
          <w:szCs w:val="20"/>
          <w:color w:val="auto"/>
        </w:rPr>
        <w:tab/>
      </w:r>
      <w:r>
        <w:rPr>
          <w:rFonts w:ascii="Arial" w:cs="Arial" w:eastAsia="Arial" w:hAnsi="Arial"/>
          <w:sz w:val="17"/>
          <w:szCs w:val="17"/>
          <w:u w:val="single" w:color="auto"/>
          <w:color w:val="auto"/>
        </w:rPr>
        <w:t>Litigation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5.06</w:t>
      </w:r>
      <w:r>
        <w:rPr>
          <w:rFonts w:ascii="Arial" w:cs="Arial" w:eastAsia="Arial" w:hAnsi="Arial"/>
          <w:sz w:val="18"/>
          <w:szCs w:val="18"/>
          <w:color w:val="auto"/>
        </w:rPr>
        <w:t xml:space="preserve"> attached hereto, there is no action, proceeding or investigation pending or threatened (or any basis therefor known to the Borrower) (i) which questions the validity of this Agreement, the Notes, the Loan Documents, or the other documents executed in connection herewith or therewith, or any action taken or to be taken pursuant hereto or thereto, or (ii) which if adversely determined against the Borrower, would result in liability of the Borrower in an amount which exceeds $250,000.</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5.07</w:t>
      </w:r>
      <w:r>
        <w:rPr>
          <w:sz w:val="20"/>
          <w:szCs w:val="20"/>
          <w:color w:val="auto"/>
        </w:rPr>
        <w:tab/>
      </w:r>
      <w:r>
        <w:rPr>
          <w:rFonts w:ascii="Arial" w:cs="Arial" w:eastAsia="Arial" w:hAnsi="Arial"/>
          <w:sz w:val="16"/>
          <w:szCs w:val="16"/>
          <w:u w:val="single" w:color="auto"/>
          <w:color w:val="auto"/>
        </w:rPr>
        <w:t>No Default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Neither the Borrower nor any Subsidiary thereof is in default under or with respect to, or a party to, any Contractual Obligation that could, either individually or in the aggregate, reasonably be expected to have a Material Adverse Effect.</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5.08</w:t>
      </w:r>
      <w:r>
        <w:rPr>
          <w:sz w:val="20"/>
          <w:szCs w:val="20"/>
          <w:color w:val="auto"/>
        </w:rPr>
        <w:tab/>
      </w:r>
      <w:r>
        <w:rPr>
          <w:rFonts w:ascii="Arial" w:cs="Arial" w:eastAsia="Arial" w:hAnsi="Arial"/>
          <w:sz w:val="16"/>
          <w:szCs w:val="16"/>
          <w:u w:val="single" w:color="auto"/>
          <w:color w:val="auto"/>
        </w:rPr>
        <w:t>Ownership of Property; Liens; Investments</w:t>
      </w:r>
    </w:p>
    <w:p>
      <w:pPr>
        <w:spacing w:after="0" w:line="225" w:lineRule="exact"/>
        <w:rPr>
          <w:sz w:val="20"/>
          <w:szCs w:val="20"/>
          <w:color w:val="auto"/>
        </w:rPr>
      </w:pPr>
    </w:p>
    <w:p>
      <w:pPr>
        <w:jc w:val="both"/>
        <w:ind w:left="660" w:right="20" w:firstLine="645"/>
        <w:spacing w:after="0" w:line="264" w:lineRule="auto"/>
        <w:tabs>
          <w:tab w:leader="none" w:pos="226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Borrower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w:t>
      </w:r>
    </w:p>
    <w:p>
      <w:pPr>
        <w:spacing w:after="0" w:line="181" w:lineRule="exact"/>
        <w:rPr>
          <w:rFonts w:ascii="Arial" w:cs="Arial" w:eastAsia="Arial" w:hAnsi="Arial"/>
          <w:sz w:val="18"/>
          <w:szCs w:val="18"/>
          <w:color w:val="auto"/>
        </w:rPr>
      </w:pPr>
    </w:p>
    <w:p>
      <w:pPr>
        <w:ind w:left="2180" w:hanging="875"/>
        <w:spacing w:after="0"/>
        <w:tabs>
          <w:tab w:leader="none" w:pos="2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property of the Borrower and each of its Subsidiaries is subject to no Liens, other than Permitted Liens.</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2228"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Schedule 5.08(c)</w:t>
      </w:r>
      <w:r>
        <w:rPr>
          <w:rFonts w:ascii="Arial" w:cs="Arial" w:eastAsia="Arial" w:hAnsi="Arial"/>
          <w:sz w:val="18"/>
          <w:szCs w:val="18"/>
          <w:color w:val="auto"/>
        </w:rPr>
        <w:t xml:space="preserve"> sets forth a complete and accurate list of all real property owned by the Borrower and each of its Subsidiaries, showing as of the date hereof the street address, county or other relevant jurisdiction, state, record owner and book and fair value thereof. Each Loan Party and each of its Subsidiaries has good and marketable title to the real property owned by the Borrower or such Subsidiary, free and clear of all Liens, other than Permitted Liens.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5" w:name="page106"/>
    <w:bookmarkEnd w:id="105"/>
    <w:p>
      <w:pPr>
        <w:jc w:val="both"/>
        <w:ind w:left="660" w:firstLine="645"/>
        <w:spacing w:after="0" w:line="259" w:lineRule="auto"/>
        <w:tabs>
          <w:tab w:leader="none" w:pos="230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Schedule 5.08(d)(i) sets forth a complete and accurate list of all leases</w:t>
      </w:r>
      <w:r>
        <w:rPr>
          <w:rFonts w:ascii="Arial" w:cs="Arial" w:eastAsia="Arial" w:hAnsi="Arial"/>
          <w:sz w:val="18"/>
          <w:szCs w:val="18"/>
          <w:color w:val="auto"/>
        </w:rPr>
        <w:t xml:space="preserve"> of real property under which the Borrower or any Subsidiary of the Borrower is the lessee, showing as of the date hereof the street address, county or other relevant jurisdiction, state, lessor, lessee, expiration date and annual rental cost thereof. Each such lease is the legal, valid and binding obligation of the lessor thereof, enforceable in accordance with its terms.</w:t>
      </w:r>
    </w:p>
    <w:p>
      <w:pPr>
        <w:spacing w:after="0" w:line="186" w:lineRule="exact"/>
        <w:rPr>
          <w:rFonts w:ascii="Arial" w:cs="Arial" w:eastAsia="Arial" w:hAnsi="Arial"/>
          <w:sz w:val="18"/>
          <w:szCs w:val="18"/>
          <w:color w:val="auto"/>
        </w:rPr>
      </w:pPr>
    </w:p>
    <w:p>
      <w:pPr>
        <w:jc w:val="both"/>
        <w:ind w:left="1300" w:firstLine="833"/>
        <w:spacing w:after="0" w:line="259" w:lineRule="auto"/>
        <w:tabs>
          <w:tab w:leader="none" w:pos="2483"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Schedule 5.08(d)(ii)</w:t>
      </w:r>
      <w:r>
        <w:rPr>
          <w:rFonts w:ascii="Arial" w:cs="Arial" w:eastAsia="Arial" w:hAnsi="Arial"/>
          <w:sz w:val="18"/>
          <w:szCs w:val="18"/>
          <w:color w:val="auto"/>
        </w:rPr>
        <w:t xml:space="preserve"> sets forth a complete and accurate list of all leases of real property under which any Loan Party or any Subsidiary of the Borrower is the lessor, showing as of the date hereof the street address, county or other relevant jurisdiction, state, lessor, lessee, expiration date and annual rental cost thereof. Each such lease is the legal, valid and binding obligation of the lessee thereof, enforceable in accordance with its terms.</w:t>
      </w:r>
    </w:p>
    <w:p>
      <w:pPr>
        <w:spacing w:after="0" w:line="186" w:lineRule="exact"/>
        <w:rPr>
          <w:rFonts w:ascii="Arial" w:cs="Arial" w:eastAsia="Arial" w:hAnsi="Arial"/>
          <w:sz w:val="18"/>
          <w:szCs w:val="18"/>
          <w:color w:val="auto"/>
        </w:rPr>
      </w:pPr>
    </w:p>
    <w:p>
      <w:pPr>
        <w:ind w:left="660" w:firstLine="645"/>
        <w:spacing w:after="0" w:line="277" w:lineRule="auto"/>
        <w:tabs>
          <w:tab w:leader="none" w:pos="2458"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Schedule 5.08(e)</w:t>
      </w:r>
      <w:r>
        <w:rPr>
          <w:rFonts w:ascii="Arial" w:cs="Arial" w:eastAsia="Arial" w:hAnsi="Arial"/>
          <w:sz w:val="18"/>
          <w:szCs w:val="18"/>
          <w:color w:val="auto"/>
        </w:rPr>
        <w:t xml:space="preserve"> sets forth a complete and accurate list of all Investments held by the Borrower or any Subsidiary of the Borrower on the date hereof, showing as of the date hereof the amount, obligor or issuer and maturity, if any, thereof.</w:t>
      </w:r>
    </w:p>
    <w:p>
      <w:pPr>
        <w:spacing w:after="0" w:line="170" w:lineRule="exact"/>
        <w:rPr>
          <w:rFonts w:ascii="Arial" w:cs="Arial" w:eastAsia="Arial" w:hAnsi="Arial"/>
          <w:sz w:val="18"/>
          <w:szCs w:val="18"/>
          <w:color w:val="auto"/>
        </w:rPr>
      </w:pPr>
    </w:p>
    <w:p>
      <w:pPr>
        <w:jc w:val="both"/>
        <w:ind w:left="660" w:firstLine="645"/>
        <w:spacing w:after="0" w:line="279" w:lineRule="auto"/>
        <w:tabs>
          <w:tab w:leader="none" w:pos="2222"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Schedule 5.08(f)</w:t>
      </w:r>
      <w:r>
        <w:rPr>
          <w:rFonts w:ascii="Arial" w:cs="Arial" w:eastAsia="Arial" w:hAnsi="Arial"/>
          <w:sz w:val="17"/>
          <w:szCs w:val="17"/>
          <w:color w:val="auto"/>
        </w:rPr>
        <w:t xml:space="preserve"> sets forth a list of all banks and other financial institutions and depositories at which the Borrowers and/or any Domestic Subsidiary maintains (or has caused to be maintained) or will maintain deposit accounts, operating accounts, or other accounts of any kind or nature into which funds of the Borrower or any Domestic Subsidiary are from time to time deposited and correctly identifies the name and address of each depository, the name in which each account is held, the purpose of the account and the complete account number.</w:t>
      </w:r>
    </w:p>
    <w:p>
      <w:pPr>
        <w:spacing w:after="0" w:line="17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5.09</w:t>
      </w:r>
      <w:r>
        <w:rPr>
          <w:sz w:val="20"/>
          <w:szCs w:val="20"/>
          <w:color w:val="auto"/>
        </w:rPr>
        <w:tab/>
      </w:r>
      <w:r>
        <w:rPr>
          <w:rFonts w:ascii="Arial" w:cs="Arial" w:eastAsia="Arial" w:hAnsi="Arial"/>
          <w:sz w:val="16"/>
          <w:szCs w:val="16"/>
          <w:u w:val="single" w:color="auto"/>
          <w:color w:val="auto"/>
        </w:rPr>
        <w:t>Environmental Compliance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 respect to existing Environmental Laws and claims alleging potential liability or responsibility for violation of any Environmental Law, Borrower has reasonably concluded that such Environmental Laws and claims could not, individually or in the aggregate, reasonably be expected to have a Material Adverse Effect.</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5"/>
          <w:szCs w:val="15"/>
          <w:u w:val="single" w:color="auto"/>
          <w:color w:val="auto"/>
        </w:rPr>
        <w:t>Tax Returns and Payments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Borrower and its Subsidiaries have filed all tax returns required by law to be filed and have paid all taxes, assessments and other governmental charges levied upon any of their respective properties, assets, income or franchises, other than those (i) not yet delinquent, (ii) not material in aggregate amount, (iii) being or about to be contested as provided in subsection 5.4 and/or (iv) not reasonably likely to have a Material Adverse Effect. The charges, accruals and reserves on the books of the Borrower and its Subsidiaries in respect of their respective taxes are adequate in the opinion of the Borrower, and the Borrower knows of no unpaid assessment for additional taxes or of any basis therefor other than those which in the aggregate, are not reasonably likely to have a Material Adverse Effect.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ind w:left="660"/>
        <w:spacing w:after="0"/>
        <w:tabs>
          <w:tab w:leader="none" w:pos="140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ERISA Compliance</w:t>
      </w:r>
    </w:p>
    <w:p>
      <w:pPr>
        <w:spacing w:after="0" w:line="225" w:lineRule="exact"/>
        <w:rPr>
          <w:sz w:val="20"/>
          <w:szCs w:val="20"/>
          <w:color w:val="auto"/>
        </w:rPr>
      </w:pPr>
    </w:p>
    <w:p>
      <w:pPr>
        <w:jc w:val="both"/>
        <w:ind w:left="660" w:firstLine="645"/>
        <w:spacing w:after="0" w:line="264" w:lineRule="auto"/>
        <w:tabs>
          <w:tab w:leader="none" w:pos="2498"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Schedule 5.11</w:t>
      </w:r>
      <w:r>
        <w:rPr>
          <w:rFonts w:ascii="Arial" w:cs="Arial" w:eastAsia="Arial" w:hAnsi="Arial"/>
          <w:sz w:val="18"/>
          <w:szCs w:val="18"/>
          <w:color w:val="auto"/>
        </w:rPr>
        <w:t xml:space="preserve"> sets forth a true, correct and complete list of all material employee benefit plans and arrangements of the Borrower and its Subsidiaries, including, without limitation, all pension profit sharing or similar plans providing for a program of deferred compensation to any employee or any plan, subject to the provisions of ERISA.</w:t>
      </w:r>
    </w:p>
    <w:p>
      <w:pPr>
        <w:spacing w:after="0" w:line="181" w:lineRule="exact"/>
        <w:rPr>
          <w:rFonts w:ascii="Arial" w:cs="Arial" w:eastAsia="Arial" w:hAnsi="Arial"/>
          <w:sz w:val="18"/>
          <w:szCs w:val="18"/>
          <w:color w:val="auto"/>
        </w:rPr>
      </w:pPr>
    </w:p>
    <w:p>
      <w:pPr>
        <w:jc w:val="both"/>
        <w:ind w:left="660" w:firstLine="645"/>
        <w:spacing w:after="0" w:line="255" w:lineRule="auto"/>
        <w:tabs>
          <w:tab w:leader="none" w:pos="220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Each Plan is in compliance in all material respects with the applicable provisions of ERISA, the Code and other Federal or state Laws. Each Plan that is intended to qualify under Section 401(a) of the Code has received a favorable determination letter from the IRS or an application for such a letter is currently being processed by the IRS with respect thereto and, to the best knowledge of the Borrower, nothing has occurred which would prevent, or cause the loss of, such qualification. The Borrower and each ERISA Affiliate have made all required contributions to each Plan subject to Section 412 of the Code, and no application for a funding waiver or an extension of any amortization period pursuant to Section 412 of the Code has been made with respect to any Plan.</w:t>
      </w:r>
    </w:p>
    <w:p>
      <w:pPr>
        <w:spacing w:after="0" w:line="193" w:lineRule="exact"/>
        <w:rPr>
          <w:rFonts w:ascii="Arial" w:cs="Arial" w:eastAsia="Arial" w:hAnsi="Arial"/>
          <w:sz w:val="18"/>
          <w:szCs w:val="18"/>
          <w:color w:val="auto"/>
        </w:rPr>
      </w:pPr>
    </w:p>
    <w:p>
      <w:pPr>
        <w:jc w:val="both"/>
        <w:ind w:left="660" w:firstLine="645"/>
        <w:spacing w:after="0" w:line="259" w:lineRule="auto"/>
        <w:tabs>
          <w:tab w:leader="none" w:pos="248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86" w:lineRule="exact"/>
        <w:rPr>
          <w:rFonts w:ascii="Arial" w:cs="Arial" w:eastAsia="Arial" w:hAnsi="Arial"/>
          <w:sz w:val="18"/>
          <w:szCs w:val="18"/>
          <w:color w:val="auto"/>
        </w:rPr>
      </w:pPr>
    </w:p>
    <w:p>
      <w:pPr>
        <w:ind w:left="2220" w:hanging="915"/>
        <w:spacing w:after="0"/>
        <w:tabs>
          <w:tab w:leader="none" w:pos="222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(i) No ERISA Event has occurred or is reasonably expected to occur; (ii) no Pension Plan has any Unfunded Pension Liability;</w:t>
      </w:r>
    </w:p>
    <w:p>
      <w:pPr>
        <w:spacing w:after="0" w:line="46" w:lineRule="exact"/>
        <w:rPr>
          <w:rFonts w:ascii="Arial" w:cs="Arial" w:eastAsia="Arial" w:hAnsi="Arial"/>
          <w:sz w:val="16"/>
          <w:szCs w:val="16"/>
          <w:color w:val="auto"/>
        </w:rPr>
      </w:pPr>
    </w:p>
    <w:p>
      <w:pPr>
        <w:jc w:val="both"/>
        <w:ind w:left="660" w:hanging="4"/>
        <w:spacing w:after="0" w:line="271" w:lineRule="auto"/>
        <w:tabs>
          <w:tab w:leader="none" w:pos="97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neither the Borrower nor any ERISA Affiliate has incurred, or reasonably expects to incur, any liability under Title IV of ERISA with respect to any Pension Plan (other than premiums due and not delinquent under Section 4007 of ERISA); (iv) neither the Borrower nor any ERISA Affiliate has incurred, or reasonably expects to incur, any liability (and no event has occurred which, with the giving of notice under Section 4219 of ERISA, would result in such liability) under Section 4201 or 4243 of ERISA with respect to a Multiemployer Plan; and (v) neither the Borrower nor any ERISA Affiliate has engaged in a transaction that could be subject to Section 4069 or 4212(c) of ERISA.</w:t>
      </w:r>
    </w:p>
    <w:p>
      <w:pPr>
        <w:spacing w:after="0" w:line="17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u w:val="single" w:color="auto"/>
          <w:color w:val="auto"/>
        </w:rPr>
        <w:t>Subsidiaries; Equity Interests; Loan Parties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The Borrower has no Subsidiaries other than those specifically disclosed in Part (a) of </w:t>
      </w:r>
      <w:r>
        <w:rPr>
          <w:rFonts w:ascii="Arial" w:cs="Arial" w:eastAsia="Arial" w:hAnsi="Arial"/>
          <w:sz w:val="16"/>
          <w:szCs w:val="16"/>
          <w:u w:val="single" w:color="auto"/>
          <w:color w:val="auto"/>
        </w:rPr>
        <w:t>Schedule 5.12</w:t>
      </w:r>
      <w:r>
        <w:rPr>
          <w:rFonts w:ascii="Arial" w:cs="Arial" w:eastAsia="Arial" w:hAnsi="Arial"/>
          <w:sz w:val="16"/>
          <w:szCs w:val="16"/>
          <w:color w:val="auto"/>
        </w:rPr>
        <w:t xml:space="preserve">, and all of the outstanding Equity Interests in such Subsidiaries have been validly issued, are fully paid and non-assessable and are owned by a Loan Party in the amounts specified on Part (a) of </w:t>
      </w:r>
      <w:r>
        <w:rPr>
          <w:rFonts w:ascii="Arial" w:cs="Arial" w:eastAsia="Arial" w:hAnsi="Arial"/>
          <w:sz w:val="16"/>
          <w:szCs w:val="16"/>
          <w:u w:val="single" w:color="auto"/>
          <w:color w:val="auto"/>
        </w:rPr>
        <w:t>Schedule 5.12</w:t>
      </w:r>
      <w:r>
        <w:rPr>
          <w:rFonts w:ascii="Arial" w:cs="Arial" w:eastAsia="Arial" w:hAnsi="Arial"/>
          <w:sz w:val="16"/>
          <w:szCs w:val="16"/>
          <w:color w:val="auto"/>
        </w:rPr>
        <w:t xml:space="preserve"> free and clear of all Liens except those created under the Collateral Documents or Permitted Liens. The Borrower has no equity investments in any other corporation or entity other than those specifically disclosed in Part (b) of </w:t>
      </w:r>
      <w:r>
        <w:rPr>
          <w:rFonts w:ascii="Arial" w:cs="Arial" w:eastAsia="Arial" w:hAnsi="Arial"/>
          <w:sz w:val="16"/>
          <w:szCs w:val="16"/>
          <w:u w:val="single" w:color="auto"/>
          <w:color w:val="auto"/>
        </w:rPr>
        <w:t>Schedule 5.12</w:t>
      </w:r>
      <w:r>
        <w:rPr>
          <w:rFonts w:ascii="Arial" w:cs="Arial" w:eastAsia="Arial" w:hAnsi="Arial"/>
          <w:sz w:val="16"/>
          <w:szCs w:val="16"/>
          <w:color w:val="auto"/>
        </w:rPr>
        <w:t xml:space="preserve">. Set forth on Part (d) of </w:t>
      </w:r>
      <w:r>
        <w:rPr>
          <w:rFonts w:ascii="Arial" w:cs="Arial" w:eastAsia="Arial" w:hAnsi="Arial"/>
          <w:sz w:val="16"/>
          <w:szCs w:val="16"/>
          <w:u w:val="single" w:color="auto"/>
          <w:color w:val="auto"/>
        </w:rPr>
        <w:t>Schedule 5.12</w:t>
      </w:r>
      <w:r>
        <w:rPr>
          <w:rFonts w:ascii="Arial" w:cs="Arial" w:eastAsia="Arial" w:hAnsi="Arial"/>
          <w:sz w:val="16"/>
          <w:szCs w:val="16"/>
          <w:color w:val="auto"/>
        </w:rPr>
        <w:t xml:space="preserve"> is a complete and accurate list of all Loan Parties, showing as of the Third A&amp;R Effective Date (as to each Loan Party) the jurisdiction of its incorporation, the address of its principal place of business and its U.S. taxpayer identification number or, in the case of any Foreign Subsidiary that does not have a U.S. taxpayer identification number, its unique identification number issued to it by the jurisdiction of its incorporation. The copy of the charter of each Loan Party and each amendment thereto provided pursuant to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is a true and correct copy of each such document, each of which is valid and in full force and effect.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7" w:name="page108"/>
    <w:bookmarkEnd w:id="107"/>
    <w:p>
      <w:pPr>
        <w:ind w:left="660"/>
        <w:spacing w:after="0"/>
        <w:tabs>
          <w:tab w:leader="none" w:pos="140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u w:val="single" w:color="auto"/>
          <w:color w:val="auto"/>
        </w:rPr>
        <w:t>Margin Regulations; Investment Company Act</w:t>
      </w:r>
    </w:p>
    <w:p>
      <w:pPr>
        <w:spacing w:after="0" w:line="225" w:lineRule="exact"/>
        <w:rPr>
          <w:sz w:val="20"/>
          <w:szCs w:val="20"/>
          <w:color w:val="auto"/>
        </w:rPr>
      </w:pPr>
    </w:p>
    <w:p>
      <w:pPr>
        <w:jc w:val="both"/>
        <w:ind w:left="660" w:firstLine="645"/>
        <w:spacing w:after="0" w:line="264" w:lineRule="auto"/>
        <w:tabs>
          <w:tab w:leader="none" w:pos="224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Borrower is not engaged and will not engage, principally or as one of its important activities, in the business of purchasing or carrying margin stock or margin securities (within the meaning of Regulation U and Regulation T issued by the FRB), or extending credit for the purpose of purchasing or carrying margin stock.</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253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None of the Borrower, any Person Controlling the Borrower, or any Subsidiary is or is required to be registered as an “investment company” under the Investment Company Act of 1940.</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u w:val="single" w:color="auto"/>
          <w:color w:val="auto"/>
        </w:rPr>
        <w:t>Disclosure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The Borrower has disclosed to the Administrative Agent and the Lenders all agreements, instruments and corporate or 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financial information, the Borrower represents only that such information was prepared in good faith based upon assumptions believed to be reasonable at the time and the Borrower makes no representation about information of a general economic nature and general information about the industry of the Borrower or any of its Subsidiaries.</w:t>
      </w:r>
    </w:p>
    <w:p>
      <w:pPr>
        <w:spacing w:after="0" w:line="18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6"/>
          <w:szCs w:val="16"/>
          <w:u w:val="single" w:color="auto"/>
          <w:color w:val="auto"/>
        </w:rPr>
        <w:t>Compliance with Laws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Loan Party and each Subsidiary 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6"/>
          <w:szCs w:val="16"/>
          <w:u w:val="single" w:color="auto"/>
          <w:color w:val="auto"/>
        </w:rPr>
        <w:t>Intellectual Property; Licenses, Etc</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Borrower and each of its Subsidiaries own, or possess the right to use, all of the trademarks, service marks, trade names, copyrights, patents, patent rights, franchises, licenses and other intellectual property rights (collectively, “</w:t>
      </w:r>
      <w:r>
        <w:rPr>
          <w:rFonts w:ascii="Arial" w:cs="Arial" w:eastAsia="Arial" w:hAnsi="Arial"/>
          <w:sz w:val="16"/>
          <w:szCs w:val="16"/>
          <w:u w:val="single" w:color="auto"/>
          <w:color w:val="auto"/>
        </w:rPr>
        <w:t>IP Rights</w:t>
      </w:r>
      <w:r>
        <w:rPr>
          <w:rFonts w:ascii="Arial" w:cs="Arial" w:eastAsia="Arial" w:hAnsi="Arial"/>
          <w:sz w:val="16"/>
          <w:szCs w:val="16"/>
          <w:color w:val="auto"/>
        </w:rPr>
        <w:t xml:space="preserve">”) that are reasonably necessary for the operation of their respective businesses, without conflict with the rights of any other Person. </w:t>
      </w:r>
      <w:r>
        <w:rPr>
          <w:rFonts w:ascii="Arial" w:cs="Arial" w:eastAsia="Arial" w:hAnsi="Arial"/>
          <w:sz w:val="16"/>
          <w:szCs w:val="16"/>
          <w:u w:val="single" w:color="auto"/>
          <w:color w:val="auto"/>
        </w:rPr>
        <w:t>Schedule 5.16</w:t>
      </w:r>
      <w:r>
        <w:rPr>
          <w:rFonts w:ascii="Arial" w:cs="Arial" w:eastAsia="Arial" w:hAnsi="Arial"/>
          <w:sz w:val="16"/>
          <w:szCs w:val="16"/>
          <w:color w:val="auto"/>
        </w:rPr>
        <w:t xml:space="preserve"> sets forth a complete and accurate list of: (a) all registered copyrights owned by the Borrower or any Subsidiary, all applications for registration of copyrights owned by the Borrower or any Subsidiary, and all other Copyrights owned by the Borrower or any Subsidiary and material or reasonably necessary to the conduct of the business of the Borrower or any Subsidiary;</w:t>
      </w:r>
    </w:p>
    <w:p>
      <w:pPr>
        <w:spacing w:after="0" w:line="2" w:lineRule="exact"/>
        <w:rPr>
          <w:sz w:val="20"/>
          <w:szCs w:val="20"/>
          <w:color w:val="auto"/>
        </w:rPr>
      </w:pPr>
    </w:p>
    <w:p>
      <w:pPr>
        <w:jc w:val="both"/>
        <w:ind w:firstLine="8"/>
        <w:spacing w:after="0" w:line="268" w:lineRule="auto"/>
        <w:tabs>
          <w:tab w:leader="none" w:pos="25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all registered patents owned by the Borrower or any Subsidiary and all applications for patents owned by the Borrower or any Subsidiary; (c) all registered trademarks owned by the Borrower or any Subsidiary, all applications for registration of trademarks owned by the Borrower or any Subsidiary, and all other trademarks owned by the Borrower or any Subsidiary and material or reasonably necessary to the conduct of the business of the Borrower or any Subsidiary, and (d) all intellectual property licenses entered into by the Borrower or any Subsidiary pursuant to which (x) the Borrower or any Subsidiary has provided any license or other rights in intellectual property owned or controlled by the Borrower or any Subsidiary to any other Person or (y) any Person has granted to the Borrower or any Subsidiary any license or other rights in intellectual property owned or controlled by such Person that is material to the business of the Borrower or any Subsidiary. To the best knowledge of the Borrower, no slogan or other advertising device, product, process, method, substance, part or other material now employed, or now contemplated to be employed, by the Borrower or any of its Subsidiaries infringes upon any rights held by any other Person. No claim or litigation regarding any of the foregoing is pending or, to the best knowledge of the Borrower, threatened, which, either individually or in the aggregate, could reasonably be expected to have a Material Adverse Effect.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8" w:name="page109"/>
    <w:bookmarkEnd w:id="108"/>
    <w:p>
      <w:pPr>
        <w:ind w:left="660"/>
        <w:spacing w:after="0"/>
        <w:tabs>
          <w:tab w:leader="none" w:pos="140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6"/>
          <w:szCs w:val="16"/>
          <w:u w:val="single" w:color="auto"/>
          <w:color w:val="auto"/>
        </w:rPr>
        <w:t>Solvency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is, individually and together with its Subsidiaries on a consolidated basis, Solvent.</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5.18</w:t>
      </w:r>
      <w:r>
        <w:rPr>
          <w:sz w:val="20"/>
          <w:szCs w:val="20"/>
          <w:color w:val="auto"/>
        </w:rPr>
        <w:tab/>
      </w:r>
      <w:r>
        <w:rPr>
          <w:rFonts w:ascii="Arial" w:cs="Arial" w:eastAsia="Arial" w:hAnsi="Arial"/>
          <w:sz w:val="16"/>
          <w:szCs w:val="16"/>
          <w:u w:val="single" w:color="auto"/>
          <w:color w:val="auto"/>
        </w:rPr>
        <w:t>Casualty, Etc</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the businesses nor the properties of the Borrower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5.19</w:t>
      </w:r>
      <w:r>
        <w:rPr>
          <w:sz w:val="20"/>
          <w:szCs w:val="20"/>
          <w:color w:val="auto"/>
        </w:rPr>
        <w:tab/>
      </w:r>
      <w:r>
        <w:rPr>
          <w:rFonts w:ascii="Arial" w:cs="Arial" w:eastAsia="Arial" w:hAnsi="Arial"/>
          <w:sz w:val="16"/>
          <w:szCs w:val="16"/>
          <w:u w:val="single" w:color="auto"/>
          <w:color w:val="auto"/>
        </w:rPr>
        <w:t>Collateral Documents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provisions of the Collateral Documents are effective to create in favor of the Administrative Agent for the benefit of the Secured Parties a legal, valid and enforceable first priority Lien (subject to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on all right, title and interest of the respective Loan Parties in the Collateral described therein.</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5.20</w:t>
      </w:r>
      <w:r>
        <w:rPr>
          <w:sz w:val="20"/>
          <w:szCs w:val="20"/>
          <w:color w:val="auto"/>
        </w:rPr>
        <w:tab/>
      </w:r>
      <w:r>
        <w:rPr>
          <w:rFonts w:ascii="Arial" w:cs="Arial" w:eastAsia="Arial" w:hAnsi="Arial"/>
          <w:sz w:val="16"/>
          <w:szCs w:val="16"/>
          <w:u w:val="single" w:color="auto"/>
          <w:color w:val="auto"/>
        </w:rPr>
        <w:t>Material Agreements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Borrower’s most recent form 10-K filed with the SEC, as supplemented by the Borrower’s forms 10-Q and 8-K filed with the SEC thereafter, accurately and completely lists each material agreement and instrument required to be disclosed therein, including but not limited to any material leases, employment agreements or other agreements with management of the Borrower or any Subsidiary, stockholder agreements and all other material agreements required to be disclosed therein. Each of the Borrower and its Subsidiaries (as applicable) and, to the best of the Borrower’s knowledge, all third parties to such material agreements, are in material compliance with the terms thereof, and no default or event of default by the Borrower or, to the Borrower’s knowledge, any other party thereto, exists thereunder.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9" w:name="page110"/>
    <w:bookmarkEnd w:id="109"/>
    <w:p>
      <w:pPr>
        <w:ind w:left="660"/>
        <w:spacing w:after="0"/>
        <w:tabs>
          <w:tab w:leader="none" w:pos="140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6"/>
          <w:szCs w:val="16"/>
          <w:u w:val="single" w:color="auto"/>
          <w:color w:val="auto"/>
        </w:rPr>
        <w:t>Eligible Receivables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Eligible Receivables included the calculation of minimum Working Capital are bona fide existing payment obligations of Account Debtors created by the sale or lease and delivery of Inventory or the rendition of services to such Account Debtors in the ordinary course of Borrower’s and/or its Subsidiaries’ business, owed to Borrower and/or such Subsidiaries without defenses, disputes, offsets, counterclaims, or rights of return or cancellation (other than normal return policies) known to the Borrower or such Subsidiary. As to each Receivable that is identified by Borrower as an Eligible Receivables in a Compliance Certificate submitted to Administrative Agent, such Account is not excluded as ineligible by virtue of one or more of the excluding criteria set forth in the definition of Eligible Receivables, other than subsection (f) which is qualified to the Borrower’s knowledge.</w:t>
      </w:r>
    </w:p>
    <w:p>
      <w:pPr>
        <w:spacing w:after="0" w:line="17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7"/>
          <w:szCs w:val="17"/>
          <w:u w:val="single" w:color="auto"/>
          <w:color w:val="auto"/>
        </w:rPr>
        <w:t>Eligible Inventory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All Eligible Inventory included in the calculation of minimum Working Capital is of good and merchantable quality. As to each item of Inventory that is identified by Borrower as Eligible Inventory in a Compliance Certificate submitted to Administrative Agent, such Inventory is located at one of the locations set forth on </w:t>
      </w:r>
      <w:r>
        <w:rPr>
          <w:rFonts w:ascii="Arial" w:cs="Arial" w:eastAsia="Arial" w:hAnsi="Arial"/>
          <w:sz w:val="18"/>
          <w:szCs w:val="18"/>
          <w:u w:val="single" w:color="auto"/>
          <w:color w:val="auto"/>
        </w:rPr>
        <w:t>Schedule 5.08</w:t>
      </w:r>
      <w:r>
        <w:rPr>
          <w:rFonts w:ascii="Arial" w:cs="Arial" w:eastAsia="Arial" w:hAnsi="Arial"/>
          <w:sz w:val="18"/>
          <w:szCs w:val="18"/>
          <w:color w:val="auto"/>
        </w:rPr>
        <w:t xml:space="preserve"> or at such other location identified in writing by Borrower to Administrative Agent, or is in transit from one such location to another such location and is not otherwise excluded as ineligible by virtue of one or more of the excluding criteria set forth in the definition of Eligible Inventory.</w:t>
      </w:r>
    </w:p>
    <w:p>
      <w:pPr>
        <w:spacing w:after="0" w:line="18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6"/>
          <w:szCs w:val="16"/>
          <w:u w:val="single" w:color="auto"/>
          <w:color w:val="auto"/>
        </w:rPr>
        <w:t>Insurance Policies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properties of the Borrower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 </w:t>
      </w:r>
      <w:r>
        <w:rPr>
          <w:rFonts w:ascii="Arial" w:cs="Arial" w:eastAsia="Arial" w:hAnsi="Arial"/>
          <w:sz w:val="17"/>
          <w:szCs w:val="17"/>
          <w:u w:val="single" w:color="auto"/>
          <w:color w:val="auto"/>
        </w:rPr>
        <w:t>Schedule 5.23</w:t>
      </w:r>
      <w:r>
        <w:rPr>
          <w:rFonts w:ascii="Arial" w:cs="Arial" w:eastAsia="Arial" w:hAnsi="Arial"/>
          <w:sz w:val="17"/>
          <w:szCs w:val="17"/>
          <w:color w:val="auto"/>
        </w:rPr>
        <w:t xml:space="preserve"> lists all material insurance policies of any kind or nature by or on behalf of the Borrower, as well as a summary of the principal terms of such insurance. All such insurance policies, together with any insurance policies obtained by the Borrower after the Third A&amp;R Effective Date are or will be in full force and effect and provide coverage of such risks and in such amounts as is customarily maintained for businesses of the scope and size of the Borrower..</w:t>
      </w:r>
    </w:p>
    <w:p>
      <w:pPr>
        <w:spacing w:after="0" w:line="17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6"/>
          <w:szCs w:val="16"/>
          <w:u w:val="single" w:color="auto"/>
          <w:color w:val="auto"/>
        </w:rPr>
        <w:t>Employment and Labor Agreements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Schedule 5.24</w:t>
      </w:r>
      <w:r>
        <w:rPr>
          <w:rFonts w:ascii="Arial" w:cs="Arial" w:eastAsia="Arial" w:hAnsi="Arial"/>
          <w:sz w:val="18"/>
          <w:szCs w:val="18"/>
          <w:color w:val="auto"/>
        </w:rPr>
        <w:t xml:space="preserve"> accurately and completely describes each employment agreement, agreement for the payment of defined compensation, severance or so-called change in control agreement covering executive officers of the Borrower, as well as all collective bargaining agreements or other labor agreements covering any employees of the Borrower or its Subsidiaries.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0" w:name="page111"/>
    <w:bookmarkEnd w:id="110"/>
    <w:p>
      <w:pPr>
        <w:ind w:left="660"/>
        <w:spacing w:after="0"/>
        <w:tabs>
          <w:tab w:leader="none" w:pos="1400" w:val="left"/>
        </w:tabs>
        <w:rPr>
          <w:sz w:val="20"/>
          <w:szCs w:val="20"/>
          <w:color w:val="auto"/>
        </w:rPr>
      </w:pPr>
      <w:r>
        <w:rPr>
          <w:rFonts w:ascii="Arial" w:cs="Arial" w:eastAsia="Arial" w:hAnsi="Arial"/>
          <w:sz w:val="18"/>
          <w:szCs w:val="18"/>
          <w:color w:val="auto"/>
        </w:rPr>
        <w:t>5.25</w:t>
      </w:r>
      <w:r>
        <w:rPr>
          <w:sz w:val="20"/>
          <w:szCs w:val="20"/>
          <w:color w:val="auto"/>
        </w:rPr>
        <w:tab/>
      </w:r>
      <w:r>
        <w:rPr>
          <w:rFonts w:ascii="Arial" w:cs="Arial" w:eastAsia="Arial" w:hAnsi="Arial"/>
          <w:sz w:val="17"/>
          <w:szCs w:val="17"/>
          <w:u w:val="single" w:color="auto"/>
          <w:color w:val="auto"/>
        </w:rPr>
        <w:t>OFAC; Anti-Corruption Laws</w:t>
      </w:r>
    </w:p>
    <w:p>
      <w:pPr>
        <w:spacing w:after="0" w:line="225" w:lineRule="exact"/>
        <w:rPr>
          <w:sz w:val="20"/>
          <w:szCs w:val="20"/>
          <w:color w:val="auto"/>
        </w:rPr>
      </w:pPr>
    </w:p>
    <w:p>
      <w:pPr>
        <w:jc w:val="both"/>
        <w:ind w:left="660" w:firstLine="645"/>
        <w:spacing w:after="0" w:line="257" w:lineRule="auto"/>
        <w:tabs>
          <w:tab w:leader="none" w:pos="241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Loan Party, nor, to the knowledge of the Loan Parties, any director, officer, employee, agent, affiliate or representative thereof, is an individual or entity that is, or is owned or controlled by any individual or entity that is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w:t>
      </w:r>
    </w:p>
    <w:p>
      <w:pPr>
        <w:spacing w:after="0" w:line="188" w:lineRule="exact"/>
        <w:rPr>
          <w:rFonts w:ascii="Arial" w:cs="Arial" w:eastAsia="Arial" w:hAnsi="Arial"/>
          <w:sz w:val="18"/>
          <w:szCs w:val="18"/>
          <w:color w:val="auto"/>
        </w:rPr>
      </w:pPr>
    </w:p>
    <w:p>
      <w:pPr>
        <w:jc w:val="both"/>
        <w:ind w:left="660" w:firstLine="645"/>
        <w:spacing w:after="0" w:line="293" w:lineRule="auto"/>
        <w:tabs>
          <w:tab w:leader="none" w:pos="234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Loan Parties and, to the knowledge of the Borrower, their respective directors, officers, employees, and agents are, and have been in compliance with all applicable laws, rules, regulations and orders regarding Sanctions, and have conducted their businesses in compliance with applicable anti-corruption Laws and have instituted and maintained policies and procedures designed to promote and achieve compliance with such Laws. The Borrower will not, directly or, to the Borrower’s knowledge, indirectly, use the proceeds of the Loans, or lend, contribute or otherwise make available such proceeds to any subsidiary, joint venture partner or other Person to fund any activities or business of or with any Person, or in any country or territory, that, at the time of such funding, is, or whose government is, the subject of Sanctions.</w:t>
      </w:r>
    </w:p>
    <w:p>
      <w:pPr>
        <w:spacing w:after="0" w:line="164" w:lineRule="exact"/>
        <w:rPr>
          <w:rFonts w:ascii="Arial" w:cs="Arial" w:eastAsia="Arial" w:hAnsi="Arial"/>
          <w:sz w:val="16"/>
          <w:szCs w:val="16"/>
          <w:color w:val="auto"/>
        </w:rPr>
      </w:pPr>
    </w:p>
    <w:p>
      <w:pPr>
        <w:jc w:val="both"/>
        <w:ind w:left="660" w:firstLine="645"/>
        <w:spacing w:after="0" w:line="272" w:lineRule="auto"/>
        <w:tabs>
          <w:tab w:leader="none" w:pos="224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None of the Borrower or any of its Subsidiaries nor, to the knowledge of the Borrower, any director, officer, employee or agent of the Borrower or any of its Subsidiaries has taken any action, directly or indirectly, that would result in a material violation by such persons of the Foreign Corrupt Practices Act of 1977, as amended, and the rules and regulations thereunder (the “</w:t>
      </w:r>
      <w:r>
        <w:rPr>
          <w:rFonts w:ascii="Arial" w:cs="Arial" w:eastAsia="Arial" w:hAnsi="Arial"/>
          <w:sz w:val="17"/>
          <w:szCs w:val="17"/>
          <w:u w:val="single" w:color="auto"/>
          <w:color w:val="auto"/>
        </w:rPr>
        <w:t>FCPA</w:t>
      </w:r>
      <w:r>
        <w:rPr>
          <w:rFonts w:ascii="Arial" w:cs="Arial" w:eastAsia="Arial" w:hAnsi="Arial"/>
          <w:sz w:val="17"/>
          <w:szCs w:val="17"/>
          <w:color w:val="auto"/>
        </w:rPr>
        <w:t>”) or any other applicable anti-corruption law. No part of the proceeds of the Loans will be used, directly or to the Borrower’s knowledge, indirectly, for any payment to any governmental official or employee, political party, official of a political party, candidate for political office, or anyone else acting in an official capacity in violation of the FCPA or any other anti-corruption law. The Borrower and its Subsidiaries are in compliance, in all material respects, with the Act and all other applicable anti-money laundering and counter-terrorist financing laws and regulations.</w:t>
      </w:r>
    </w:p>
    <w:p>
      <w:pPr>
        <w:spacing w:after="0" w:line="17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5.26</w:t>
      </w:r>
      <w:r>
        <w:rPr>
          <w:sz w:val="20"/>
          <w:szCs w:val="20"/>
          <w:color w:val="auto"/>
        </w:rPr>
        <w:tab/>
      </w:r>
      <w:r>
        <w:rPr>
          <w:rFonts w:ascii="Arial" w:cs="Arial" w:eastAsia="Arial" w:hAnsi="Arial"/>
          <w:sz w:val="17"/>
          <w:szCs w:val="17"/>
          <w:u w:val="single" w:color="auto"/>
          <w:color w:val="auto"/>
        </w:rPr>
        <w:t>EEA Financial Institution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Loan Party is an EEA Financial Institution.</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5.27</w:t>
      </w:r>
      <w:r>
        <w:rPr>
          <w:sz w:val="20"/>
          <w:szCs w:val="20"/>
          <w:color w:val="auto"/>
        </w:rPr>
        <w:tab/>
      </w:r>
      <w:r>
        <w:rPr>
          <w:rFonts w:ascii="Arial" w:cs="Arial" w:eastAsia="Arial" w:hAnsi="Arial"/>
          <w:sz w:val="16"/>
          <w:szCs w:val="16"/>
          <w:u w:val="single" w:color="auto"/>
          <w:color w:val="auto"/>
        </w:rPr>
        <w:t>Restated Obligations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Loan Parties confirm, acknowledge, and agree that the aggregate outstanding principal amount of Restated Obligations as of the date hereof is $14,000,000.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hereunder shall remain unpaid or unsatisfied, or any Letter of Credit shall remain outstanding, the Borrower shall, and shall (except in the case of the covenants set forth in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6.11</w:t>
      </w:r>
      <w:r>
        <w:rPr>
          <w:rFonts w:ascii="Arial" w:cs="Arial" w:eastAsia="Arial" w:hAnsi="Arial"/>
          <w:sz w:val="18"/>
          <w:szCs w:val="18"/>
          <w:color w:val="auto"/>
        </w:rPr>
        <w:t>) cause each Subsidiary to:</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 w:name="page112"/>
    <w:bookmarkEnd w:id="111"/>
    <w:p>
      <w:pPr>
        <w:spacing w:after="0"/>
        <w:tabs>
          <w:tab w:leader="none" w:pos="74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6"/>
          <w:szCs w:val="16"/>
          <w:u w:val="single" w:color="auto"/>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Deliver to the Administrative Agent and each Lender, in form and detail satisfactory to the Administrative Agent and the Required Lenders:</w:t>
      </w:r>
    </w:p>
    <w:p>
      <w:pPr>
        <w:spacing w:after="0" w:line="237" w:lineRule="exact"/>
        <w:rPr>
          <w:sz w:val="20"/>
          <w:szCs w:val="20"/>
          <w:color w:val="auto"/>
        </w:rPr>
      </w:pPr>
    </w:p>
    <w:p>
      <w:pPr>
        <w:jc w:val="both"/>
        <w:ind w:firstLine="645"/>
        <w:spacing w:after="0" w:line="270" w:lineRule="auto"/>
        <w:tabs>
          <w:tab w:leader="none" w:pos="160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as soon as available, but in any event within 120 days after the end of each fiscal year of the Borrower (commencing with the fiscal year ended December 31, 2016), a consolidated balance sheet of the Borrower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 such consolidating statements to be certified by the chief executive officer, chief financial officer, treasurer or controller of the Borrower to the effect that such statements are fairly stated in all material respects when considered in relation to the consolidated financial statements of the Borrower and its Subsidiaries;</w:t>
      </w:r>
    </w:p>
    <w:p>
      <w:pPr>
        <w:spacing w:after="0" w:line="177" w:lineRule="exact"/>
        <w:rPr>
          <w:rFonts w:ascii="Arial" w:cs="Arial" w:eastAsia="Arial" w:hAnsi="Arial"/>
          <w:sz w:val="17"/>
          <w:szCs w:val="17"/>
          <w:color w:val="auto"/>
        </w:rPr>
      </w:pPr>
    </w:p>
    <w:p>
      <w:pPr>
        <w:jc w:val="both"/>
        <w:ind w:firstLine="645"/>
        <w:spacing w:after="0" w:line="269" w:lineRule="auto"/>
        <w:tabs>
          <w:tab w:leader="none" w:pos="160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as soon as available, but in any event within 45 days after the end of each of the first three fiscal quarters of each fiscal year of the Borrower (commencing with the fiscal quarter ended December 31, 2016), and within 60 days after the end of the fourth fiscal quarter, a consolidated and consolidating balance sheet of the Borrower and its Subsidiaries as at the end of such fiscal quarter, and the related consolidated and consolidating statements of income or operations, changes in shareholders’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such consolidated statements to be certified by the chief executive officer, chief financial officer, treasurer or controller of the Borrower as fairly presenting the financial condition, results of operations, shareholders’ equity and cash flows of the Borrower and its Subsidiaries in accordance with GAAP, subject only to normal year-end audit adjustments and the absence of footnotes and such consolidating statements to be certified by the chief executive officer, chief financial officer, treasurer or controller of the Borrower to the effect that such statements are fairly stated in all material respects when considered in relation to the consolidated financial statements of the Borrower and its Subsidiaries;</w:t>
      </w:r>
    </w:p>
    <w:p>
      <w:pPr>
        <w:spacing w:after="0" w:line="182" w:lineRule="exact"/>
        <w:rPr>
          <w:rFonts w:ascii="Arial" w:cs="Arial" w:eastAsia="Arial" w:hAnsi="Arial"/>
          <w:sz w:val="17"/>
          <w:szCs w:val="17"/>
          <w:color w:val="auto"/>
        </w:rPr>
      </w:pPr>
    </w:p>
    <w:p>
      <w:pPr>
        <w:jc w:val="both"/>
        <w:ind w:firstLine="645"/>
        <w:spacing w:after="0" w:line="302" w:lineRule="auto"/>
        <w:tabs>
          <w:tab w:leader="none" w:pos="165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on or before January 30 of each fiscal year of the Borrower, a budget of the Borrower and its Subsidiaries on a consolidated basis for the then current fiscal year, including forecasts prepared by management of the Borrower, in form satisfactory to the Administrative Agent and the Required Lenders, of consolidated balance sheets and statements of income or operations and cash flows of the Borrower and its Subsidiaries on a quarterly basis for the immediately following fiscal year (including the fiscal year in which the Maturity Date for the Term Loans occurs).</w:t>
      </w:r>
    </w:p>
    <w:p>
      <w:pPr>
        <w:spacing w:after="0" w:line="37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431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12" w:name="page113"/>
    <w:bookmarkEnd w:id="112"/>
    <w:p>
      <w:pPr>
        <w:jc w:val="both"/>
        <w:ind w:left="660" w:firstLine="645"/>
        <w:spacing w:after="0" w:line="273" w:lineRule="auto"/>
        <w:tabs>
          <w:tab w:leader="none" w:pos="24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As soon as available, but in any event within forty-five (45) days after the end of each quarterly accounting period in each fiscal year of the Borrower and within sixty (60) days after the end of the fourth fiscal quarter, (i) quarterly summary accounts receivable aging report, in such form as Administrative Agent may from time to time reasonably require and (ii) reports detailing such other information as Administrative Agent may from time to time reasonably require. All of the reports listed in forgoing clauses (i) and (ii) shall be in reasonable detail and current through at least the close of business for the immediately preceding quarter and certified by the Chief Executive Officer or the Chief Financial Officer or such other officer of the Borrower as may be acceptable in the sole discretion of Agent.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6.02(d)</w:t>
      </w:r>
      <w:r>
        <w:rPr>
          <w:rFonts w:ascii="Arial" w:cs="Arial" w:eastAsia="Arial" w:hAnsi="Arial"/>
          <w:sz w:val="18"/>
          <w:szCs w:val="18"/>
          <w:color w:val="auto"/>
        </w:rPr>
        <w:t xml:space="preserve">, the Borrower shall not be separately required to furnish such information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but the foregoing shall not be in derogation of the obligation of the Borrower to furnish the information and materials described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at the times specified therein.</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u w:val="single" w:color="auto"/>
          <w:color w:val="auto"/>
        </w:rPr>
        <w:t>Certificates; Other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Deliver to the Administrative Agent and each Lender, in form and detail satisfactory to the Administrative Agent and the Required Lenders:</w:t>
      </w:r>
    </w:p>
    <w:p>
      <w:pPr>
        <w:spacing w:after="0" w:line="225" w:lineRule="exact"/>
        <w:rPr>
          <w:sz w:val="20"/>
          <w:szCs w:val="20"/>
          <w:color w:val="auto"/>
        </w:rPr>
      </w:pPr>
    </w:p>
    <w:p>
      <w:pPr>
        <w:jc w:val="both"/>
        <w:ind w:left="660" w:firstLine="645"/>
        <w:spacing w:after="0" w:line="276" w:lineRule="auto"/>
        <w:tabs>
          <w:tab w:leader="none" w:pos="254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concurrently with the delivery of the financial statements referred to in </w:t>
      </w:r>
      <w:r>
        <w:rPr>
          <w:rFonts w:ascii="Arial" w:cs="Arial" w:eastAsia="Arial" w:hAnsi="Arial"/>
          <w:sz w:val="17"/>
          <w:szCs w:val="17"/>
          <w:u w:val="single" w:color="auto"/>
          <w:color w:val="auto"/>
        </w:rPr>
        <w:t>Sections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(i) a duly completed Compliance Certificate signed by the chief executive officer, chief financial officer, treasurer or controller of the Borrower, and in the event of any change in generally accepted accounting principles used in the preparation of such financial statements, the Borrower shall also provide, if necessary for the determination of compliance with </w:t>
      </w:r>
      <w:r>
        <w:rPr>
          <w:rFonts w:ascii="Arial" w:cs="Arial" w:eastAsia="Arial" w:hAnsi="Arial"/>
          <w:sz w:val="17"/>
          <w:szCs w:val="17"/>
          <w:u w:val="single" w:color="auto"/>
          <w:color w:val="auto"/>
        </w:rPr>
        <w:t>Section 7.11</w:t>
      </w:r>
      <w:r>
        <w:rPr>
          <w:rFonts w:ascii="Arial" w:cs="Arial" w:eastAsia="Arial" w:hAnsi="Arial"/>
          <w:sz w:val="17"/>
          <w:szCs w:val="17"/>
          <w:color w:val="auto"/>
        </w:rPr>
        <w:t>, a statement of reconciliation conforming such financial statements to GAAP and (ii) a copy of management’s discussion and analysis with respect to such financial statements;</w:t>
      </w:r>
    </w:p>
    <w:p>
      <w:pPr>
        <w:spacing w:after="0" w:line="172" w:lineRule="exact"/>
        <w:rPr>
          <w:rFonts w:ascii="Arial" w:cs="Arial" w:eastAsia="Arial" w:hAnsi="Arial"/>
          <w:sz w:val="17"/>
          <w:szCs w:val="17"/>
          <w:color w:val="auto"/>
        </w:rPr>
      </w:pPr>
    </w:p>
    <w:p>
      <w:pPr>
        <w:jc w:val="both"/>
        <w:ind w:left="660" w:firstLine="645"/>
        <w:spacing w:after="0" w:line="286" w:lineRule="auto"/>
        <w:tabs>
          <w:tab w:leader="none" w:pos="223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promptly after any request by the Administrative Agent or any Lender, copies of any detailed audit reports, management letters or recommendations submitted to the board of directors (or the audit committee of the board of directors) of any Loan Party by independent accountants in connection with the accounts or books of any Loan Party or any of its Subsidiaries, or any audit of any of them;</w:t>
      </w:r>
    </w:p>
    <w:p>
      <w:pPr>
        <w:spacing w:after="0" w:line="165" w:lineRule="exact"/>
        <w:rPr>
          <w:rFonts w:ascii="Arial" w:cs="Arial" w:eastAsia="Arial" w:hAnsi="Arial"/>
          <w:sz w:val="17"/>
          <w:szCs w:val="17"/>
          <w:color w:val="auto"/>
        </w:rPr>
      </w:pPr>
    </w:p>
    <w:p>
      <w:pPr>
        <w:jc w:val="both"/>
        <w:ind w:left="660" w:firstLine="645"/>
        <w:spacing w:after="0" w:line="279" w:lineRule="auto"/>
        <w:tabs>
          <w:tab w:leader="none" w:pos="265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Securities Exchange Act of 1934, or with any national securities exchange, and in any case not otherwise required to be delivered to the Administrative Agent pursuant hereto;</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3" w:name="page114"/>
    <w:bookmarkEnd w:id="113"/>
    <w:p>
      <w:pPr>
        <w:jc w:val="both"/>
        <w:ind w:left="-540" w:firstLine="645"/>
        <w:spacing w:after="0" w:line="264" w:lineRule="auto"/>
        <w:tabs>
          <w:tab w:leader="none" w:pos="111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promptly after the furnishing thereof, copies of any statement or report furnished to any holder of debt securities of any Loan Party or of any of its Subsidiaries pursuant to the terms of any indenture, loan or credit or similar agreement and not otherwise required to be furnished to the Lenders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any other clause of this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540" w:firstLine="645"/>
        <w:spacing w:after="0" w:line="286" w:lineRule="auto"/>
        <w:tabs>
          <w:tab w:leader="none" w:pos="104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as soon as available, but in any event within 30 days after the end of each fiscal year of the Borrower, a report summarizing the insurance coverage (specifying type, amount and carrier) in effect for each Loan Party and its Subsidiaries and containing such additional information as the Administrative Agent, or any Lender through the Administrative Agent, may reasonably specify;</w:t>
      </w:r>
    </w:p>
    <w:p>
      <w:pPr>
        <w:spacing w:after="0" w:line="165" w:lineRule="exact"/>
        <w:rPr>
          <w:rFonts w:ascii="Arial" w:cs="Arial" w:eastAsia="Arial" w:hAnsi="Arial"/>
          <w:sz w:val="17"/>
          <w:szCs w:val="17"/>
          <w:color w:val="auto"/>
        </w:rPr>
      </w:pPr>
    </w:p>
    <w:p>
      <w:pPr>
        <w:jc w:val="both"/>
        <w:ind w:left="-540" w:firstLine="645"/>
        <w:spacing w:after="0" w:line="259" w:lineRule="auto"/>
        <w:tabs>
          <w:tab w:leader="none" w:pos="101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promptly, and in any event within five Business Days after receipt thereof by any Loan Party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thereof;</w:t>
      </w:r>
    </w:p>
    <w:p>
      <w:pPr>
        <w:spacing w:after="0" w:line="186" w:lineRule="exact"/>
        <w:rPr>
          <w:rFonts w:ascii="Arial" w:cs="Arial" w:eastAsia="Arial" w:hAnsi="Arial"/>
          <w:sz w:val="18"/>
          <w:szCs w:val="18"/>
          <w:color w:val="auto"/>
        </w:rPr>
      </w:pPr>
    </w:p>
    <w:p>
      <w:pPr>
        <w:ind w:left="980" w:hanging="875"/>
        <w:spacing w:after="0"/>
        <w:tabs>
          <w:tab w:leader="none" w:pos="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540" w:firstLine="645"/>
        <w:spacing w:after="0" w:line="264" w:lineRule="auto"/>
        <w:tabs>
          <w:tab w:leader="none" w:pos="112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promptly after the assertion or occurrence thereof, notice of any action or proceeding against or of any noncompliance by any Loan Party or any of its Subsidiaries with any Environmental Law or Environmental Permit that could reasonably be expected to have a Material Adverse Effect;</w:t>
      </w:r>
    </w:p>
    <w:p>
      <w:pPr>
        <w:spacing w:after="0" w:line="181" w:lineRule="exact"/>
        <w:rPr>
          <w:rFonts w:ascii="Arial" w:cs="Arial" w:eastAsia="Arial" w:hAnsi="Arial"/>
          <w:sz w:val="18"/>
          <w:szCs w:val="18"/>
          <w:color w:val="auto"/>
        </w:rPr>
      </w:pPr>
    </w:p>
    <w:p>
      <w:pPr>
        <w:jc w:val="both"/>
        <w:ind w:left="-540" w:firstLine="645"/>
        <w:spacing w:after="0" w:line="257" w:lineRule="auto"/>
        <w:tabs>
          <w:tab w:leader="none" w:pos="104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as soon as available, but in any event within 30 days after the end of each fiscal year of the Borrower, an update supplementing </w:t>
      </w:r>
      <w:r>
        <w:rPr>
          <w:rFonts w:ascii="Arial" w:cs="Arial" w:eastAsia="Arial" w:hAnsi="Arial"/>
          <w:sz w:val="18"/>
          <w:szCs w:val="18"/>
          <w:u w:val="single" w:color="auto"/>
          <w:color w:val="auto"/>
        </w:rPr>
        <w:t>Schedules 5.08(c), 5.08(d)(i), 5.08(d)(ii), 5.08(e) and 5.16</w:t>
      </w:r>
      <w:r>
        <w:rPr>
          <w:rFonts w:ascii="Arial" w:cs="Arial" w:eastAsia="Arial" w:hAnsi="Arial"/>
          <w:sz w:val="18"/>
          <w:szCs w:val="18"/>
          <w:color w:val="auto"/>
        </w:rPr>
        <w:t>, containing the information included in such Schedules as may be necessary for such Schedules to be true, accurate and complete in accordance with the applicable representation and warranty hereunder as if made as of the last day of the fiscal year of the Borrower, each such report to be signed by a Responsible Officer of the Borrower and each such update to be in substance reasonably satisfactory to the Administrative Agent;</w:t>
      </w:r>
    </w:p>
    <w:p>
      <w:pPr>
        <w:spacing w:after="0" w:line="188" w:lineRule="exact"/>
        <w:rPr>
          <w:rFonts w:ascii="Arial" w:cs="Arial" w:eastAsia="Arial" w:hAnsi="Arial"/>
          <w:sz w:val="18"/>
          <w:szCs w:val="18"/>
          <w:color w:val="auto"/>
        </w:rPr>
      </w:pPr>
    </w:p>
    <w:p>
      <w:pPr>
        <w:jc w:val="both"/>
        <w:ind w:left="-540" w:firstLine="645"/>
        <w:spacing w:after="0" w:line="264" w:lineRule="auto"/>
        <w:tabs>
          <w:tab w:leader="none" w:pos="116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financial, legal or corporate affairs of any Loan Party or any Subsidiary thereof, or compliance with the terms of the Loan Documents, as the Administrative Agent or any Lender may from time to time reasonably request.; and</w:t>
      </w:r>
    </w:p>
    <w:p>
      <w:pPr>
        <w:spacing w:after="0" w:line="181" w:lineRule="exact"/>
        <w:rPr>
          <w:rFonts w:ascii="Arial" w:cs="Arial" w:eastAsia="Arial" w:hAnsi="Arial"/>
          <w:sz w:val="18"/>
          <w:szCs w:val="18"/>
          <w:color w:val="auto"/>
        </w:rPr>
      </w:pPr>
    </w:p>
    <w:p>
      <w:pPr>
        <w:ind w:left="-540" w:firstLine="645"/>
        <w:spacing w:after="0" w:line="277" w:lineRule="auto"/>
        <w:tabs>
          <w:tab w:leader="none" w:pos="112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within five (5) Business Days of request by Agent, a fully executed Authorization to Share Insurance Information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w:t>
      </w:r>
    </w:p>
    <w:p>
      <w:pPr>
        <w:spacing w:after="0" w:line="38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14" w:name="page115"/>
    <w:bookmarkEnd w:id="114"/>
    <w:p>
      <w:pPr>
        <w:jc w:val="both"/>
        <w:ind w:firstLine="648"/>
        <w:spacing w:after="0" w:line="268"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6.02(d)</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7"/>
          <w:szCs w:val="17"/>
          <w:u w:val="single" w:color="auto"/>
          <w:color w:val="auto"/>
        </w:rPr>
        <w:t>Schedule 11.02</w:t>
      </w:r>
      <w:r>
        <w:rPr>
          <w:rFonts w:ascii="Arial" w:cs="Arial" w:eastAsia="Arial" w:hAnsi="Arial"/>
          <w:sz w:val="17"/>
          <w:szCs w:val="17"/>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shall deliver paper copies of such documents to the Administrative Agent or any Lender that requests the Borrower to deliver such paper copies until a written request to cease delivering paper copies is given by the Administrative Agent or such Lender and (ii) the Borrower shall notify the Administrative Agent and each Lender (by telecopier or electronic mail) of the posting of any such documents and provide to the Administrative Agent by electronic mail electronic versions (</w:t>
      </w:r>
      <w:r>
        <w:rPr>
          <w:rFonts w:ascii="Arial" w:cs="Arial" w:eastAsia="Arial" w:hAnsi="Arial"/>
          <w:sz w:val="17"/>
          <w:szCs w:val="17"/>
          <w:u w:val="single" w:color="auto"/>
          <w:color w:val="auto"/>
        </w:rPr>
        <w:t>i.e.</w:t>
      </w:r>
      <w:r>
        <w:rPr>
          <w:rFonts w:ascii="Arial" w:cs="Arial" w:eastAsia="Arial" w:hAnsi="Arial"/>
          <w:sz w:val="17"/>
          <w:szCs w:val="17"/>
          <w:color w:val="auto"/>
        </w:rPr>
        <w:t xml:space="preserve">, soft copies) of such documents. Notwithstanding anything contained herein, in every instance the Borrower shall be required to provide paper copies of the Compliance Certificates required by </w:t>
      </w:r>
      <w:r>
        <w:rPr>
          <w:rFonts w:ascii="Arial" w:cs="Arial" w:eastAsia="Arial" w:hAnsi="Arial"/>
          <w:sz w:val="17"/>
          <w:szCs w:val="17"/>
          <w:u w:val="single" w:color="auto"/>
          <w:color w:val="auto"/>
        </w:rPr>
        <w:t>Section 6.02(b)</w:t>
      </w:r>
      <w:r>
        <w:rPr>
          <w:rFonts w:ascii="Arial" w:cs="Arial" w:eastAsia="Arial" w:hAnsi="Arial"/>
          <w:sz w:val="17"/>
          <w:szCs w:val="17"/>
          <w:color w:val="auto"/>
        </w:rPr>
        <w:t xml:space="preserve"> to the Administrative Agent. Except for such Compliance Certificates,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Borrower hereby acknowledges that (a) the Administrative Agent will make available to the Lenders and the L/C Issuer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so long as the Borrower is the issuer of any outstanding debt or equity securities that are registered or issued pursuant to a private offering or is actively contemplating issuing any such securities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L/C Issuer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11.07</w:t>
      </w:r>
      <w:r>
        <w:rPr>
          <w:rFonts w:ascii="Arial" w:cs="Arial" w:eastAsia="Arial" w:hAnsi="Arial"/>
          <w:sz w:val="16"/>
          <w:szCs w:val="16"/>
          <w:color w:val="auto"/>
        </w:rPr>
        <w:t>); (y) all Borrower Materials marked “PUBLIC” are permitted to be made available through a portion of the Platform designated “Public Side Information;” and (z) the Administrative Agent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16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6"/>
          <w:szCs w:val="16"/>
          <w:u w:val="single" w:color="auto"/>
          <w:color w:val="auto"/>
        </w:rPr>
        <w:t>Notices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Promptly notify the Administrative Agent and each Lender:</w:t>
      </w:r>
    </w:p>
    <w:p>
      <w:pPr>
        <w:spacing w:after="0" w:line="225" w:lineRule="exact"/>
        <w:rPr>
          <w:sz w:val="20"/>
          <w:szCs w:val="20"/>
          <w:color w:val="auto"/>
        </w:rPr>
      </w:pPr>
    </w:p>
    <w:p>
      <w:pPr>
        <w:ind w:left="2220" w:hanging="915"/>
        <w:spacing w:after="0"/>
        <w:tabs>
          <w:tab w:leader="none" w:pos="22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of the occurrence of any Default;</w:t>
      </w:r>
    </w:p>
    <w:p>
      <w:pPr>
        <w:spacing w:after="0" w:line="225" w:lineRule="exact"/>
        <w:rPr>
          <w:rFonts w:ascii="Arial" w:cs="Arial" w:eastAsia="Arial" w:hAnsi="Arial"/>
          <w:sz w:val="18"/>
          <w:szCs w:val="18"/>
          <w:color w:val="auto"/>
        </w:rPr>
      </w:pPr>
    </w:p>
    <w:p>
      <w:pPr>
        <w:jc w:val="both"/>
        <w:ind w:left="660" w:firstLine="645"/>
        <w:spacing w:after="0" w:line="302" w:lineRule="auto"/>
        <w:tabs>
          <w:tab w:leader="none" w:pos="230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of any matter that has resulted or could reasonably be expected to result in a Material Adverse Effect, including (i) breach or non-performance of, or any default under, a Contractual Obligation of the Borrower or any Subsidiary; (ii) any dispute, litigation, investigation, proceeding or suspension between the Borrower or any Subsidiary and any Governmental Authority; or (iii) the commencement of, or any material development in, any litigation or proceeding affecting the Borrower or any Subsidiary, including pursuant to any applicable Environmental Laws;</w:t>
      </w:r>
    </w:p>
    <w:p>
      <w:pPr>
        <w:spacing w:after="0" w:line="154" w:lineRule="exact"/>
        <w:rPr>
          <w:rFonts w:ascii="Arial" w:cs="Arial" w:eastAsia="Arial" w:hAnsi="Arial"/>
          <w:sz w:val="16"/>
          <w:szCs w:val="16"/>
          <w:color w:val="auto"/>
        </w:rPr>
      </w:pPr>
    </w:p>
    <w:p>
      <w:pPr>
        <w:ind w:left="2220" w:hanging="915"/>
        <w:spacing w:after="0"/>
        <w:tabs>
          <w:tab w:leader="none" w:pos="22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of the occurrence of any ERISA Event;</w:t>
      </w:r>
    </w:p>
    <w:p>
      <w:pPr>
        <w:spacing w:after="0" w:line="225" w:lineRule="exact"/>
        <w:rPr>
          <w:rFonts w:ascii="Arial" w:cs="Arial" w:eastAsia="Arial" w:hAnsi="Arial"/>
          <w:sz w:val="18"/>
          <w:szCs w:val="18"/>
          <w:color w:val="auto"/>
        </w:rPr>
      </w:pPr>
    </w:p>
    <w:p>
      <w:pPr>
        <w:ind w:left="2180" w:hanging="875"/>
        <w:spacing w:after="0"/>
        <w:tabs>
          <w:tab w:leader="none" w:pos="21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of any material change in accounting policies or financial reporting practices by any Loan Party or any Subsidiary thereof; and</w:t>
      </w:r>
    </w:p>
    <w:p>
      <w:pPr>
        <w:spacing w:after="0" w:line="248" w:lineRule="exact"/>
        <w:rPr>
          <w:rFonts w:ascii="Arial" w:cs="Arial" w:eastAsia="Arial" w:hAnsi="Arial"/>
          <w:sz w:val="16"/>
          <w:szCs w:val="16"/>
          <w:color w:val="auto"/>
        </w:rPr>
      </w:pPr>
    </w:p>
    <w:p>
      <w:pPr>
        <w:jc w:val="both"/>
        <w:ind w:left="660" w:firstLine="645"/>
        <w:spacing w:after="0" w:line="257" w:lineRule="auto"/>
        <w:tabs>
          <w:tab w:leader="none" w:pos="255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of the (i) occurrence of any Disposition of property or assets for which the Borrower is required to make a mandatory prepayment pursuant to </w:t>
      </w:r>
      <w:r>
        <w:rPr>
          <w:rFonts w:ascii="Arial" w:cs="Arial" w:eastAsia="Arial" w:hAnsi="Arial"/>
          <w:sz w:val="18"/>
          <w:szCs w:val="18"/>
          <w:u w:val="single" w:color="auto"/>
          <w:color w:val="auto"/>
        </w:rPr>
        <w:t>Section 2.05(b)(ii)</w:t>
      </w:r>
      <w:r>
        <w:rPr>
          <w:rFonts w:ascii="Arial" w:cs="Arial" w:eastAsia="Arial" w:hAnsi="Arial"/>
          <w:sz w:val="18"/>
          <w:szCs w:val="18"/>
          <w:color w:val="auto"/>
        </w:rPr>
        <w:t xml:space="preserve">, (ii) occurrence of any sale of capital stock or other Equity Interests for which the Borrower is required to make a mandatory prepayment pursuant to </w:t>
      </w:r>
      <w:r>
        <w:rPr>
          <w:rFonts w:ascii="Arial" w:cs="Arial" w:eastAsia="Arial" w:hAnsi="Arial"/>
          <w:sz w:val="18"/>
          <w:szCs w:val="18"/>
          <w:u w:val="single" w:color="auto"/>
          <w:color w:val="auto"/>
        </w:rPr>
        <w:t>Section 2.05(b)(iii)</w:t>
      </w:r>
      <w:r>
        <w:rPr>
          <w:rFonts w:ascii="Arial" w:cs="Arial" w:eastAsia="Arial" w:hAnsi="Arial"/>
          <w:sz w:val="18"/>
          <w:szCs w:val="18"/>
          <w:color w:val="auto"/>
        </w:rPr>
        <w:t xml:space="preserve">, (iii) incurrence or issuance of any Indebtedness for which the Borrower is required to make a mandatory prepayment pursuant to </w:t>
      </w:r>
      <w:r>
        <w:rPr>
          <w:rFonts w:ascii="Arial" w:cs="Arial" w:eastAsia="Arial" w:hAnsi="Arial"/>
          <w:sz w:val="18"/>
          <w:szCs w:val="18"/>
          <w:u w:val="single" w:color="auto"/>
          <w:color w:val="auto"/>
        </w:rPr>
        <w:t>Section 2.05(b)(iv)</w:t>
      </w:r>
      <w:r>
        <w:rPr>
          <w:rFonts w:ascii="Arial" w:cs="Arial" w:eastAsia="Arial" w:hAnsi="Arial"/>
          <w:sz w:val="18"/>
          <w:szCs w:val="18"/>
          <w:color w:val="auto"/>
        </w:rPr>
        <w:t xml:space="preserve">, and (iv) receipt of any Extraordinary Receipt for which the Borrower is required to make a mandatory prepayment pursuant to </w:t>
      </w:r>
      <w:r>
        <w:rPr>
          <w:rFonts w:ascii="Arial" w:cs="Arial" w:eastAsia="Arial" w:hAnsi="Arial"/>
          <w:sz w:val="18"/>
          <w:szCs w:val="18"/>
          <w:u w:val="single" w:color="auto"/>
          <w:color w:val="auto"/>
        </w:rPr>
        <w:t>Section 2.0(b)(v)</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Each notice pursuant to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6.03(e)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shall describe with particularity any and all provisions of this Agreement and any other Loan Document that have been breached.</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6.04</w:t>
      </w:r>
      <w:r>
        <w:rPr>
          <w:sz w:val="20"/>
          <w:szCs w:val="20"/>
          <w:color w:val="auto"/>
        </w:rPr>
        <w:tab/>
      </w:r>
      <w:r>
        <w:rPr>
          <w:rFonts w:ascii="Arial" w:cs="Arial" w:eastAsia="Arial" w:hAnsi="Arial"/>
          <w:sz w:val="16"/>
          <w:szCs w:val="16"/>
          <w:u w:val="single" w:color="auto"/>
          <w:color w:val="auto"/>
        </w:rPr>
        <w:t>Payment of Obligations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 (b) all lawful claims which, if unpaid, would by law become a Lien upon its property; and (c) all Indebtedness, as and when due and payable, but subject to any applicable grace periods and subordination provisions contained in any instrument or agreement evidencing such Indebtedness.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112" w:gutter="0" w:footer="0" w:header="0"/>
        </w:sectPr>
      </w:pPr>
    </w:p>
    <w:bookmarkStart w:id="115" w:name="page116"/>
    <w:bookmarkEnd w:id="115"/>
    <w:p>
      <w:pPr>
        <w:ind w:left="660"/>
        <w:spacing w:after="0"/>
        <w:tabs>
          <w:tab w:leader="none" w:pos="1400" w:val="left"/>
        </w:tabs>
        <w:rPr>
          <w:sz w:val="20"/>
          <w:szCs w:val="20"/>
          <w:color w:val="auto"/>
        </w:rPr>
      </w:pPr>
      <w:r>
        <w:rPr>
          <w:rFonts w:ascii="Arial" w:cs="Arial" w:eastAsia="Arial" w:hAnsi="Arial"/>
          <w:sz w:val="18"/>
          <w:szCs w:val="18"/>
          <w:color w:val="auto"/>
        </w:rPr>
        <w:t>6.05</w:t>
      </w:r>
      <w:r>
        <w:rPr>
          <w:sz w:val="20"/>
          <w:szCs w:val="20"/>
          <w:color w:val="auto"/>
        </w:rPr>
        <w:tab/>
      </w:r>
      <w:r>
        <w:rPr>
          <w:rFonts w:ascii="Arial" w:cs="Arial" w:eastAsia="Arial" w:hAnsi="Arial"/>
          <w:sz w:val="16"/>
          <w:szCs w:val="16"/>
          <w:u w:val="single" w:color="auto"/>
          <w:color w:val="auto"/>
        </w:rPr>
        <w:t>Preservation of Existence, Etc</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76" w:lineRule="auto"/>
        <w:tabs>
          <w:tab w:leader="none" w:pos="2241"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Preserve, renew and maintain in full force and effect its legal existence and good standing under the Laws of the jurisdiction of its organization except in a transaction permitted by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7.05</w:t>
      </w:r>
      <w:r>
        <w:rPr>
          <w:rFonts w:ascii="Arial" w:cs="Arial" w:eastAsia="Arial" w:hAnsi="Arial"/>
          <w:sz w:val="17"/>
          <w:szCs w:val="17"/>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17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6.06</w:t>
      </w:r>
      <w:r>
        <w:rPr>
          <w:sz w:val="20"/>
          <w:szCs w:val="20"/>
          <w:color w:val="auto"/>
        </w:rPr>
        <w:tab/>
      </w:r>
      <w:r>
        <w:rPr>
          <w:rFonts w:ascii="Arial" w:cs="Arial" w:eastAsia="Arial" w:hAnsi="Arial"/>
          <w:sz w:val="16"/>
          <w:szCs w:val="16"/>
          <w:u w:val="single" w:color="auto"/>
          <w:color w:val="auto"/>
        </w:rPr>
        <w:t>Maintenance of Properties</w:t>
      </w:r>
    </w:p>
    <w:p>
      <w:pPr>
        <w:spacing w:after="0" w:line="225" w:lineRule="exact"/>
        <w:rPr>
          <w:sz w:val="20"/>
          <w:szCs w:val="20"/>
          <w:color w:val="auto"/>
        </w:rPr>
      </w:pPr>
    </w:p>
    <w:p>
      <w:pPr>
        <w:jc w:val="both"/>
        <w:ind w:left="660" w:firstLine="645"/>
        <w:spacing w:after="0" w:line="286" w:lineRule="auto"/>
        <w:tabs>
          <w:tab w:leader="none" w:pos="235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Maintain, preserve and protect all of its material properties and equipment necessary in the operation of its business in good working order and condition, ordinary wear and tear excepted; and (b) make all necessary repairs thereto and renewals and replacements thereof except where the failure to do so could not reasonably be expected to have a Material Adverse Effect.</w:t>
      </w:r>
    </w:p>
    <w:p>
      <w:pPr>
        <w:spacing w:after="0" w:line="16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6.07</w:t>
      </w:r>
      <w:r>
        <w:rPr>
          <w:sz w:val="20"/>
          <w:szCs w:val="20"/>
          <w:color w:val="auto"/>
        </w:rPr>
        <w:tab/>
      </w:r>
      <w:r>
        <w:rPr>
          <w:rFonts w:ascii="Arial" w:cs="Arial" w:eastAsia="Arial" w:hAnsi="Arial"/>
          <w:sz w:val="16"/>
          <w:szCs w:val="16"/>
          <w:u w:val="single" w:color="auto"/>
          <w:color w:val="auto"/>
        </w:rPr>
        <w:t>Maintenance of Insurance</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6.08</w:t>
      </w:r>
      <w:r>
        <w:rPr>
          <w:sz w:val="20"/>
          <w:szCs w:val="20"/>
          <w:color w:val="auto"/>
        </w:rPr>
        <w:tab/>
      </w:r>
      <w:r>
        <w:rPr>
          <w:rFonts w:ascii="Arial" w:cs="Arial" w:eastAsia="Arial" w:hAnsi="Arial"/>
          <w:sz w:val="16"/>
          <w:szCs w:val="16"/>
          <w:u w:val="single" w:color="auto"/>
          <w:color w:val="auto"/>
        </w:rPr>
        <w:t>Compliance with Laws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Comply in all material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6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6.09</w:t>
      </w:r>
      <w:r>
        <w:rPr>
          <w:sz w:val="20"/>
          <w:szCs w:val="20"/>
          <w:color w:val="auto"/>
        </w:rPr>
        <w:tab/>
      </w:r>
      <w:r>
        <w:rPr>
          <w:rFonts w:ascii="Arial" w:cs="Arial" w:eastAsia="Arial" w:hAnsi="Arial"/>
          <w:sz w:val="16"/>
          <w:szCs w:val="16"/>
          <w:u w:val="single" w:color="auto"/>
          <w:color w:val="auto"/>
        </w:rPr>
        <w:t>Books and Records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Maintain proper Books, in which full, true and correct entries in conformity with GAAP consistently applied shall be made of all financial transactions and matters involving the assets and business of the Borrower or such Subsidiary, as the case may be.</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u w:val="single" w:color="auto"/>
          <w:color w:val="auto"/>
        </w:rPr>
        <w:t>Inspection Rights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Borrower and at such reasonable times during normal business hours and as often as may be reasonably desired, upon reasonable advance notice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when an Event of Default exists the Administrative Agent or any Lender (or any of their respective representatives or independent contractors) may do any of the foregoing at the expense of the Borrower at any time during normal business hours and without advance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so long as no occurrence of a Default or Event of Default has occurred and is continuing, the Borrower shall only be responsible for the expenses relating to such inspections once per calendar year.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6" w:name="page117"/>
    <w:bookmarkEnd w:id="116"/>
    <w:p>
      <w:pPr>
        <w:spacing w:after="0"/>
        <w:tabs>
          <w:tab w:leader="none" w:pos="74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5"/>
          <w:szCs w:val="15"/>
          <w:u w:val="single" w:color="auto"/>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Use the proceeds of the Revolving Credit Loans for working capital, Permitted Acquisitions and general corporate purposes.</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u w:val="single" w:color="auto"/>
          <w:color w:val="auto"/>
        </w:rPr>
        <w:t>Covenant to Guarantee Obligations and Give Security</w:t>
      </w:r>
    </w:p>
    <w:p>
      <w:pPr>
        <w:spacing w:after="0" w:line="225" w:lineRule="exact"/>
        <w:rPr>
          <w:sz w:val="20"/>
          <w:szCs w:val="20"/>
          <w:color w:val="auto"/>
        </w:rPr>
      </w:pPr>
    </w:p>
    <w:p>
      <w:pPr>
        <w:ind w:firstLine="645"/>
        <w:spacing w:after="0" w:line="277" w:lineRule="auto"/>
        <w:tabs>
          <w:tab w:leader="none" w:pos="171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Upon the formation or acquisition of any new direct or indirect Subsidiary (other than any CFC or a Subsidiary that is held directly or indirectly by a CFC) by any Loan Party, then the Borrower shall, at the Borrower’s expense:</w:t>
      </w:r>
    </w:p>
    <w:p>
      <w:pPr>
        <w:spacing w:after="0" w:line="170" w:lineRule="exact"/>
        <w:rPr>
          <w:rFonts w:ascii="Arial" w:cs="Arial" w:eastAsia="Arial" w:hAnsi="Arial"/>
          <w:sz w:val="18"/>
          <w:szCs w:val="18"/>
          <w:color w:val="auto"/>
        </w:rPr>
      </w:pPr>
    </w:p>
    <w:p>
      <w:pPr>
        <w:jc w:val="both"/>
        <w:ind w:left="640" w:firstLine="653"/>
        <w:spacing w:after="0" w:line="259" w:lineRule="auto"/>
        <w:tabs>
          <w:tab w:leader="none" w:pos="225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within 10 days after such formation or acquisition, cause such Subsidiary, and cause each direct and indirect parent of such Subsidiary (if it has not already done so), to duly execute and deliver to the Administrative Agent a guaranty or guaranty supplement, in form and substance reasonably satisfactory to the Administrative Agent, guaranteeing the other Loan Parties’ obligations under the Loan Documents,</w:t>
      </w:r>
    </w:p>
    <w:p>
      <w:pPr>
        <w:spacing w:after="0" w:line="186" w:lineRule="exact"/>
        <w:rPr>
          <w:rFonts w:ascii="Arial" w:cs="Arial" w:eastAsia="Arial" w:hAnsi="Arial"/>
          <w:sz w:val="18"/>
          <w:szCs w:val="18"/>
          <w:color w:val="auto"/>
        </w:rPr>
      </w:pPr>
    </w:p>
    <w:p>
      <w:pPr>
        <w:ind w:left="640" w:right="20" w:firstLine="653"/>
        <w:spacing w:after="0" w:line="277" w:lineRule="auto"/>
        <w:tabs>
          <w:tab w:leader="none" w:pos="230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within 10 days after such formation or acquisition, furnish to the Administrative Agent a description of the real and personal properties of such Subsidiary, in detail reasonably satisfactory to the Administrative Agent,</w:t>
      </w:r>
    </w:p>
    <w:p>
      <w:pPr>
        <w:spacing w:after="0" w:line="170" w:lineRule="exact"/>
        <w:rPr>
          <w:rFonts w:ascii="Arial" w:cs="Arial" w:eastAsia="Arial" w:hAnsi="Arial"/>
          <w:sz w:val="18"/>
          <w:szCs w:val="18"/>
          <w:color w:val="auto"/>
        </w:rPr>
      </w:pPr>
    </w:p>
    <w:p>
      <w:pPr>
        <w:jc w:val="both"/>
        <w:ind w:left="640" w:firstLine="653"/>
        <w:spacing w:after="0" w:line="255" w:lineRule="auto"/>
        <w:tabs>
          <w:tab w:leader="none" w:pos="223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within 30 days after such formation or acquisition, cause such Subsidiary and each direct and indirect parent of such Subsidiary (if it has not already done so) to duly execute and deliver to the Administrative Agent deeds of trust, trust deeds, deeds to secure debt, mortgages, leasehold mortgages, leasehold deeds of trust, Security Agreement Supplements, IP Security Agreement Supplements and other security and pledge agreements, as specified by and in form and substance satisfactory to the Administrative Agent (including delivery of all Pledged Interests in and of such Subsidiary, and other instruments of the type specified in </w:t>
      </w:r>
      <w:r>
        <w:rPr>
          <w:rFonts w:ascii="Arial" w:cs="Arial" w:eastAsia="Arial" w:hAnsi="Arial"/>
          <w:sz w:val="18"/>
          <w:szCs w:val="18"/>
          <w:u w:val="single" w:color="auto"/>
          <w:color w:val="auto"/>
        </w:rPr>
        <w:t>Section 4.01(a)(iii)</w:t>
      </w:r>
      <w:r>
        <w:rPr>
          <w:rFonts w:ascii="Arial" w:cs="Arial" w:eastAsia="Arial" w:hAnsi="Arial"/>
          <w:sz w:val="18"/>
          <w:szCs w:val="18"/>
          <w:color w:val="auto"/>
        </w:rPr>
        <w:t>), securing payment of all the Obligations of such Subsidiary or such parent, as the case may be, under the Loan Documents and constituting Liens on all such real and personal properties,</w:t>
      </w:r>
    </w:p>
    <w:p>
      <w:pPr>
        <w:spacing w:after="0" w:line="189" w:lineRule="exact"/>
        <w:rPr>
          <w:rFonts w:ascii="Arial" w:cs="Arial" w:eastAsia="Arial" w:hAnsi="Arial"/>
          <w:sz w:val="18"/>
          <w:szCs w:val="18"/>
          <w:color w:val="auto"/>
        </w:rPr>
      </w:pPr>
    </w:p>
    <w:p>
      <w:pPr>
        <w:jc w:val="both"/>
        <w:ind w:left="640" w:firstLine="653"/>
        <w:spacing w:after="0" w:line="272" w:lineRule="auto"/>
        <w:tabs>
          <w:tab w:leader="none" w:pos="2227" w:val="left"/>
        </w:tabs>
        <w:numPr>
          <w:ilvl w:val="1"/>
          <w:numId w:val="128"/>
        </w:numPr>
        <w:rPr>
          <w:rFonts w:ascii="Arial" w:cs="Arial" w:eastAsia="Arial" w:hAnsi="Arial"/>
          <w:sz w:val="17"/>
          <w:szCs w:val="17"/>
          <w:color w:val="auto"/>
        </w:rPr>
      </w:pPr>
      <w:r>
        <w:rPr>
          <w:rFonts w:ascii="Arial" w:cs="Arial" w:eastAsia="Arial" w:hAnsi="Arial"/>
          <w:sz w:val="17"/>
          <w:szCs w:val="17"/>
          <w:color w:val="auto"/>
        </w:rPr>
        <w:t xml:space="preserve">within 30 days after such formation or acquisition, cause such Subsidiary and each direct and indirect parent of such Subsidiary (if it has not already done so) to take whatever action (including the recording of mortgages, the filing of Uniform Commercial Code financing statements, the giving of notices and the endorsement of notices on title documents) may be reasonably necessary or advisable in the opinion of the Administrative Agent to vest in the Administrative Agent (or in any representative of the Administrative Agent designated by it) valid and subsisting Liens on the properties purported to be subject to the deeds of trust, trust deeds, deeds to secure debt, mortgages, leasehold mortgages, leasehold deeds of trust, Security Agreement Supplements, IP Security Agreement Supplements and security and pledge agreements delivered pursuant to this </w:t>
      </w:r>
      <w:r>
        <w:rPr>
          <w:rFonts w:ascii="Arial" w:cs="Arial" w:eastAsia="Arial" w:hAnsi="Arial"/>
          <w:sz w:val="17"/>
          <w:szCs w:val="17"/>
          <w:u w:val="single" w:color="auto"/>
          <w:color w:val="auto"/>
        </w:rPr>
        <w:t>Section 6.12</w:t>
      </w:r>
      <w:r>
        <w:rPr>
          <w:rFonts w:ascii="Arial" w:cs="Arial" w:eastAsia="Arial" w:hAnsi="Arial"/>
          <w:sz w:val="17"/>
          <w:szCs w:val="17"/>
          <w:color w:val="auto"/>
        </w:rPr>
        <w:t>,</w:t>
      </w:r>
    </w:p>
    <w:p>
      <w:pPr>
        <w:spacing w:after="0" w:line="39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43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17" w:name="page118"/>
    <w:bookmarkEnd w:id="117"/>
    <w:p>
      <w:pPr>
        <w:jc w:val="both"/>
        <w:ind w:left="100" w:firstLine="653"/>
        <w:spacing w:after="0" w:line="288" w:lineRule="auto"/>
        <w:tabs>
          <w:tab w:leader="none" w:pos="1903" w:val="left"/>
        </w:tabs>
        <w:numPr>
          <w:ilvl w:val="1"/>
          <w:numId w:val="129"/>
        </w:numPr>
        <w:rPr>
          <w:rFonts w:ascii="Arial" w:cs="Arial" w:eastAsia="Arial" w:hAnsi="Arial"/>
          <w:sz w:val="16"/>
          <w:szCs w:val="16"/>
          <w:color w:val="auto"/>
        </w:rPr>
      </w:pPr>
      <w:r>
        <w:rPr>
          <w:rFonts w:ascii="Arial" w:cs="Arial" w:eastAsia="Arial" w:hAnsi="Arial"/>
          <w:sz w:val="16"/>
          <w:szCs w:val="16"/>
          <w:color w:val="auto"/>
        </w:rPr>
        <w:t>within 60 days after such formation or acquisition, deliver to the Administrative Agent, upon the request of the Administrative Agent in its sole discretion, a signed copy of a favorable opinion, addressed to the Administrative Agent and the other Secured Parties, of counsel for the Loan Parties reasonably acceptable to the Administrative Agent as to the matters contained in clauses (i),</w:t>
      </w:r>
    </w:p>
    <w:p>
      <w:pPr>
        <w:ind w:left="420" w:hanging="315"/>
        <w:spacing w:after="0"/>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and (iv) above, and as to such other matters as the Administrative Agent may reasonably request, and</w:t>
      </w:r>
    </w:p>
    <w:p>
      <w:pPr>
        <w:spacing w:after="0" w:line="210" w:lineRule="exact"/>
        <w:rPr>
          <w:rFonts w:ascii="Arial" w:cs="Arial" w:eastAsia="Arial" w:hAnsi="Arial"/>
          <w:sz w:val="18"/>
          <w:szCs w:val="18"/>
          <w:color w:val="auto"/>
        </w:rPr>
      </w:pPr>
    </w:p>
    <w:p>
      <w:pPr>
        <w:jc w:val="both"/>
        <w:ind w:left="100" w:firstLine="653"/>
        <w:spacing w:after="0" w:line="273" w:lineRule="auto"/>
        <w:tabs>
          <w:tab w:leader="none" w:pos="162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 xml:space="preserve">as promptly as practicable after such formation or acquisition, deliver, upon the request of the Administrative Agent in its sole discretion, to the Administrative Agent with respect to each parcel of real property owned or held by the entity that is the subject of such formation or acquisition title reports, surveys and engineering, soils and other reports, and environmental assessment reports, each in scope, form and substance reasonably satisfactory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to the extent that any Loan Party or any of its Subsidiaries shall have otherwise received any of the foregoing items with respect to such real property, such items shall, promptly after the receipt thereof, be delivered to the Administrative Agent.</w:t>
      </w:r>
    </w:p>
    <w:p>
      <w:pPr>
        <w:spacing w:after="0" w:line="178" w:lineRule="exact"/>
        <w:rPr>
          <w:sz w:val="20"/>
          <w:szCs w:val="20"/>
          <w:color w:val="auto"/>
        </w:rPr>
      </w:pPr>
    </w:p>
    <w:p>
      <w:pPr>
        <w:jc w:val="both"/>
        <w:ind w:left="-540" w:firstLine="645"/>
        <w:spacing w:after="0" w:line="264" w:lineRule="auto"/>
        <w:tabs>
          <w:tab w:leader="none" w:pos="99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Upon the acquisition of any property by any Loan Party, if such property, in the judgment of the Administrative Agent, shall not already be subject to a perfected first priority security interest in favor of the Administrative Agent for the benefit of the Secured Parties, then the Borrower shall, at the Borrower’s expense:</w:t>
      </w:r>
    </w:p>
    <w:p>
      <w:pPr>
        <w:spacing w:after="0" w:line="181" w:lineRule="exact"/>
        <w:rPr>
          <w:rFonts w:ascii="Arial" w:cs="Arial" w:eastAsia="Arial" w:hAnsi="Arial"/>
          <w:sz w:val="18"/>
          <w:szCs w:val="18"/>
          <w:color w:val="auto"/>
        </w:rPr>
      </w:pPr>
    </w:p>
    <w:p>
      <w:pPr>
        <w:ind w:left="100" w:firstLine="653"/>
        <w:spacing w:after="0" w:line="277" w:lineRule="auto"/>
        <w:tabs>
          <w:tab w:leader="none" w:pos="1724"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within 10 days after such acquisition, furnish to the Administrative Agent a description of the property so acquired in detail reasonably satisfactory to the Administrative Agent,</w:t>
      </w:r>
    </w:p>
    <w:p>
      <w:pPr>
        <w:spacing w:after="0" w:line="170" w:lineRule="exact"/>
        <w:rPr>
          <w:rFonts w:ascii="Arial" w:cs="Arial" w:eastAsia="Arial" w:hAnsi="Arial"/>
          <w:sz w:val="18"/>
          <w:szCs w:val="18"/>
          <w:color w:val="auto"/>
        </w:rPr>
      </w:pPr>
    </w:p>
    <w:p>
      <w:pPr>
        <w:jc w:val="both"/>
        <w:ind w:left="100" w:firstLine="653"/>
        <w:spacing w:after="0" w:line="255" w:lineRule="auto"/>
        <w:tabs>
          <w:tab w:leader="none" w:pos="171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within 15 days after the Administrative Agent delivers to the Borrower the appropriate form which may be delivered on the date of or following such acquisition, cause the applicable Loan Party to duly execute and deliver to the Administrative Agent deeds of trust, trust deeds, deeds to secure debt, mortgages, leasehold mortgages, leasehold deeds of trust, Security Agreement Supplements, IP Security Agreement Supplements and other security and pledge agreements, as specified by and in form and substance satisfactory to the Administrative Agent, securing payment of all the Obligations of the applicable Loan Party under the Loan Documents and constituting Liens on all such properties,</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18" w:name="page119"/>
    <w:bookmarkEnd w:id="118"/>
    <w:p>
      <w:pPr>
        <w:jc w:val="both"/>
        <w:ind w:left="100" w:firstLine="653"/>
        <w:spacing w:after="0" w:line="257" w:lineRule="auto"/>
        <w:tabs>
          <w:tab w:leader="none" w:pos="163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within 30 days after such acquisition, cause the applicable Loan Party to take whatever action (including the recording of mortgages, the filing of Uniform Commercial Code financing statements, the giving of notices and the endorsement of notices on title documents) may be reasonably necessary or advisable in the opinion of the Administrative Agent to vest in the Administrative Agent (or in any representative of the Administrative Agent designated by it) valid and subsisting Liens on such property, enforceable against all third parties,</w:t>
      </w:r>
    </w:p>
    <w:p>
      <w:pPr>
        <w:spacing w:after="0" w:line="188" w:lineRule="exact"/>
        <w:rPr>
          <w:rFonts w:ascii="Arial" w:cs="Arial" w:eastAsia="Arial" w:hAnsi="Arial"/>
          <w:sz w:val="18"/>
          <w:szCs w:val="18"/>
          <w:color w:val="auto"/>
        </w:rPr>
      </w:pPr>
    </w:p>
    <w:p>
      <w:pPr>
        <w:jc w:val="both"/>
        <w:ind w:left="100" w:firstLine="653"/>
        <w:spacing w:after="0" w:line="259" w:lineRule="auto"/>
        <w:tabs>
          <w:tab w:leader="none" w:pos="179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within 60 days after such acquisition, deliver to the Administrative Agent, upon the request of the Administrative Agent in its sole discretion, a signed copy of a favorable opinion, addressed to the Administrative Agent and the other Secured Parties, of counsel for the Loan Parties reasonably acceptable to the Administrative Agent as to the matters contained in clauses (ii) and (iii) above and as to such other matters as the Administrative Agent may reasonably request, and</w:t>
      </w:r>
    </w:p>
    <w:p>
      <w:pPr>
        <w:spacing w:after="0" w:line="186" w:lineRule="exact"/>
        <w:rPr>
          <w:rFonts w:ascii="Arial" w:cs="Arial" w:eastAsia="Arial" w:hAnsi="Arial"/>
          <w:sz w:val="18"/>
          <w:szCs w:val="18"/>
          <w:color w:val="auto"/>
        </w:rPr>
      </w:pPr>
    </w:p>
    <w:p>
      <w:pPr>
        <w:jc w:val="both"/>
        <w:ind w:left="100" w:firstLine="653"/>
        <w:spacing w:after="0" w:line="297" w:lineRule="auto"/>
        <w:tabs>
          <w:tab w:leader="none" w:pos="183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 xml:space="preserve">as promptly as practicable after any acquisition of a real property, deliver, upon the request of the Administrative Agent in its sole discretion, to the Administrative Agent with respect to such real property title reports, surveys and engineering, soils and other reports, and environmental assessment reports, each in scope, form and substance reasonably satisfactory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any Loan Party or any of its Subsidiaries shall have otherwise received any of the foregoing items with respect to such real property, such items shall, promptly after the receipt thereof, be delivered to the Administrative Agent,</w:t>
      </w:r>
    </w:p>
    <w:p>
      <w:pPr>
        <w:spacing w:after="0" w:line="158" w:lineRule="exact"/>
        <w:rPr>
          <w:rFonts w:ascii="Arial" w:cs="Arial" w:eastAsia="Arial" w:hAnsi="Arial"/>
          <w:sz w:val="16"/>
          <w:szCs w:val="16"/>
          <w:color w:val="auto"/>
        </w:rPr>
      </w:pPr>
    </w:p>
    <w:p>
      <w:pPr>
        <w:ind w:left="-540" w:firstLine="645"/>
        <w:spacing w:after="0" w:line="277" w:lineRule="auto"/>
        <w:tabs>
          <w:tab w:leader="none" w:pos="106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Upon the request of the Administrative Agent following the occurrence and during the continuance of a Default, the Borrower shall, at the Borrower’s expense:</w:t>
      </w:r>
    </w:p>
    <w:p>
      <w:pPr>
        <w:spacing w:after="0" w:line="170" w:lineRule="exact"/>
        <w:rPr>
          <w:rFonts w:ascii="Arial" w:cs="Arial" w:eastAsia="Arial" w:hAnsi="Arial"/>
          <w:sz w:val="18"/>
          <w:szCs w:val="18"/>
          <w:color w:val="auto"/>
        </w:rPr>
      </w:pPr>
    </w:p>
    <w:p>
      <w:pPr>
        <w:ind w:left="100" w:firstLine="653"/>
        <w:spacing w:after="0" w:line="277" w:lineRule="auto"/>
        <w:tabs>
          <w:tab w:leader="none" w:pos="169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within 10 days after such request, furnish to the Administrative Agent a description of the real and personal properties of the Loan Parties and their respective Subsidiaries in detail satisfactory to the Administrative Agent,</w:t>
      </w:r>
    </w:p>
    <w:p>
      <w:pPr>
        <w:spacing w:after="0" w:line="170" w:lineRule="exact"/>
        <w:rPr>
          <w:rFonts w:ascii="Arial" w:cs="Arial" w:eastAsia="Arial" w:hAnsi="Arial"/>
          <w:sz w:val="18"/>
          <w:szCs w:val="18"/>
          <w:color w:val="auto"/>
        </w:rPr>
      </w:pPr>
    </w:p>
    <w:p>
      <w:pPr>
        <w:jc w:val="both"/>
        <w:ind w:left="100" w:firstLine="653"/>
        <w:spacing w:after="0" w:line="272" w:lineRule="auto"/>
        <w:tabs>
          <w:tab w:leader="none" w:pos="1845" w:val="left"/>
        </w:tabs>
        <w:numPr>
          <w:ilvl w:val="1"/>
          <w:numId w:val="133"/>
        </w:numPr>
        <w:rPr>
          <w:rFonts w:ascii="Arial" w:cs="Arial" w:eastAsia="Arial" w:hAnsi="Arial"/>
          <w:sz w:val="17"/>
          <w:szCs w:val="17"/>
          <w:color w:val="auto"/>
        </w:rPr>
      </w:pPr>
      <w:r>
        <w:rPr>
          <w:rFonts w:ascii="Arial" w:cs="Arial" w:eastAsia="Arial" w:hAnsi="Arial"/>
          <w:sz w:val="17"/>
          <w:szCs w:val="17"/>
          <w:color w:val="auto"/>
        </w:rPr>
        <w:t xml:space="preserve">within 15 days after such request, duly execute and deliver, and cause each Loan Party (other than any CFC or a Subsidiary that is held directly or indirectly by a CFC) of the Borrower (if it has not already done so) to duly execute and deliver, to the Administrative Agent deeds of trust, trust deeds, deeds to secure debt, mortgages, leasehold mortgages, leasehold deeds of trust, Security Agreement Supplements, IP Security Agreement Supplements and other security and pledge agreements, as specified by and in form and substance satisfactory to the Administrative Agent (including delivery of all Pledged Equity and Pledged Debt in and of such Subsidiary, and other instruments of the type specified in </w:t>
      </w:r>
      <w:r>
        <w:rPr>
          <w:rFonts w:ascii="Arial" w:cs="Arial" w:eastAsia="Arial" w:hAnsi="Arial"/>
          <w:sz w:val="17"/>
          <w:szCs w:val="17"/>
          <w:u w:val="single" w:color="auto"/>
          <w:color w:val="auto"/>
        </w:rPr>
        <w:t>Section 4.01(a)(iii))</w:t>
      </w:r>
      <w:r>
        <w:rPr>
          <w:rFonts w:ascii="Arial" w:cs="Arial" w:eastAsia="Arial" w:hAnsi="Arial"/>
          <w:sz w:val="17"/>
          <w:szCs w:val="17"/>
          <w:color w:val="auto"/>
        </w:rPr>
        <w:t>, securing payment of all the Obligations of the applicable Loan Party under the Loan Documents and constituting Liens on all such properties,</w:t>
      </w:r>
    </w:p>
    <w:p>
      <w:pPr>
        <w:spacing w:after="0" w:line="39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19" w:name="page120"/>
    <w:bookmarkEnd w:id="119"/>
    <w:p>
      <w:pPr>
        <w:jc w:val="both"/>
        <w:ind w:left="1300" w:firstLine="653"/>
        <w:spacing w:after="0" w:line="291" w:lineRule="auto"/>
        <w:tabs>
          <w:tab w:leader="none" w:pos="2925" w:val="left"/>
        </w:tabs>
        <w:numPr>
          <w:ilvl w:val="1"/>
          <w:numId w:val="134"/>
        </w:numPr>
        <w:rPr>
          <w:rFonts w:ascii="Arial" w:cs="Arial" w:eastAsia="Arial" w:hAnsi="Arial"/>
          <w:sz w:val="16"/>
          <w:szCs w:val="16"/>
          <w:color w:val="auto"/>
        </w:rPr>
      </w:pPr>
      <w:r>
        <w:rPr>
          <w:rFonts w:ascii="Arial" w:cs="Arial" w:eastAsia="Arial" w:hAnsi="Arial"/>
          <w:sz w:val="16"/>
          <w:szCs w:val="16"/>
          <w:color w:val="auto"/>
        </w:rPr>
        <w:t xml:space="preserve">within 30 days after such request, take, and cause each Loan Party (other than any CFC or a Subsidiary that is held directly or indirectly by a CFC) of the Borrower to take, whatever action (including the recording of mortgages, the filing of Uniform Commercial Code financing statements, the giving of notices and the endorsement of notices on title documents) may be necessary or advisable in the opinion of the Administrative Agent to vest in the Administrative Agent (or in any representative of the Administrative Agent designated by it) valid and subsisting Liens on the properties purported to be subject to the deeds of trust, trust deeds, deeds to secure debt, mortgages, leasehold mortgages, leasehold deeds of trust, Security Agreement Supplements, IP Security Agreement Supplements and security and pledge agreements delivered pursuant to this </w:t>
      </w:r>
      <w:r>
        <w:rPr>
          <w:rFonts w:ascii="Arial" w:cs="Arial" w:eastAsia="Arial" w:hAnsi="Arial"/>
          <w:sz w:val="16"/>
          <w:szCs w:val="16"/>
          <w:u w:val="single" w:color="auto"/>
          <w:color w:val="auto"/>
        </w:rPr>
        <w:t>Section 6.12</w:t>
      </w:r>
      <w:r>
        <w:rPr>
          <w:rFonts w:ascii="Arial" w:cs="Arial" w:eastAsia="Arial" w:hAnsi="Arial"/>
          <w:sz w:val="16"/>
          <w:szCs w:val="16"/>
          <w:color w:val="auto"/>
        </w:rPr>
        <w:t>, enforceable against all third parties in accordance with their terms,</w:t>
      </w:r>
    </w:p>
    <w:p>
      <w:pPr>
        <w:spacing w:after="0" w:line="167" w:lineRule="exact"/>
        <w:rPr>
          <w:rFonts w:ascii="Arial" w:cs="Arial" w:eastAsia="Arial" w:hAnsi="Arial"/>
          <w:sz w:val="16"/>
          <w:szCs w:val="16"/>
          <w:color w:val="auto"/>
        </w:rPr>
      </w:pPr>
    </w:p>
    <w:p>
      <w:pPr>
        <w:jc w:val="both"/>
        <w:ind w:left="1300" w:firstLine="653"/>
        <w:spacing w:after="0" w:line="259" w:lineRule="auto"/>
        <w:tabs>
          <w:tab w:leader="none" w:pos="28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within 60 days after such request, deliver to the Administrative Agent, upon the request of the Administrative Agent in its sole discretion, a signed copy of a favorable opinion, addressed to the Administrative Agent and the other Secured Parties, of counsel for the Loan Parties acceptable to the Administrative Agent as to the matters contained in clauses (ii) and (iii) above, and as to such other matters as the Administrative Agent may reasonably request, and</w:t>
      </w:r>
    </w:p>
    <w:p>
      <w:pPr>
        <w:spacing w:after="0" w:line="186" w:lineRule="exact"/>
        <w:rPr>
          <w:rFonts w:ascii="Arial" w:cs="Arial" w:eastAsia="Arial" w:hAnsi="Arial"/>
          <w:sz w:val="18"/>
          <w:szCs w:val="18"/>
          <w:color w:val="auto"/>
        </w:rPr>
      </w:pPr>
    </w:p>
    <w:p>
      <w:pPr>
        <w:jc w:val="both"/>
        <w:ind w:left="1300" w:firstLine="653"/>
        <w:spacing w:after="0" w:line="255" w:lineRule="auto"/>
        <w:tabs>
          <w:tab w:leader="none" w:pos="315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as promptly as practicable after such request, deliver, upon the request of the Administrative Agent in its sole discretion, to the Administrative Agent with respect to each parcel of real property owned or held by the Borrower and its Subsidiaries, title reports, surveys and engineering, soils and other reports, and environmental assessment reports, each in scope, form and substance satisfactory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to the extent that any Loan Party or any of its Subsidiaries shall have otherwise received any of the foregoing items with respect to such real property, such items shall, promptly after the receipt thereof, be delivered to the Administrative Agent.</w:t>
      </w:r>
    </w:p>
    <w:p>
      <w:pPr>
        <w:spacing w:after="0" w:line="193" w:lineRule="exact"/>
        <w:rPr>
          <w:rFonts w:ascii="Arial" w:cs="Arial" w:eastAsia="Arial" w:hAnsi="Arial"/>
          <w:sz w:val="18"/>
          <w:szCs w:val="18"/>
          <w:color w:val="auto"/>
        </w:rPr>
      </w:pPr>
    </w:p>
    <w:p>
      <w:pPr>
        <w:jc w:val="both"/>
        <w:ind w:left="660" w:firstLine="645"/>
        <w:spacing w:after="0" w:line="257" w:lineRule="auto"/>
        <w:tabs>
          <w:tab w:leader="none" w:pos="245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At any time upon request of the Administrative Agent, promptly execute and deliver any and all further instruments and documents and take all such other action as the Administrative Agent may deem necessary or desirable in obtaining the full benefits of, or (as applicable) in perfecting and preserving the Liens of, such guaranties, deeds of trust, trust deeds, deeds to secure debt, mortgages, leasehold mortgages, leasehold deeds of trust, Security Agreement Supplements, IP Security Agreement Supplements and other security and pledge agreements.</w:t>
      </w:r>
    </w:p>
    <w:p>
      <w:pPr>
        <w:spacing w:after="0" w:line="18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u w:val="single" w:color="auto"/>
          <w:color w:val="auto"/>
        </w:rPr>
        <w:t>Compliance with Environmental Laws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Comply, in all material respects, with all applicable Environmental Laws and Environmental Permits; obtain and renew all Environmental Permits necessary for its operations and properties; and to the extent required by any applicable Environmental Laws,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the Borrower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0" w:name="page121"/>
    <w:bookmarkEnd w:id="120"/>
    <w:p>
      <w:pPr>
        <w:ind w:left="660"/>
        <w:spacing w:after="0"/>
        <w:tabs>
          <w:tab w:leader="none" w:pos="140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5"/>
          <w:szCs w:val="15"/>
          <w:u w:val="single" w:color="auto"/>
          <w:color w:val="auto"/>
        </w:rPr>
        <w:t>Reserved</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6"/>
          <w:szCs w:val="16"/>
          <w:u w:val="single" w:color="auto"/>
          <w:color w:val="auto"/>
        </w:rPr>
        <w:t>Further Assurances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Promptly upon request by the Administrative Agent, or any Lender through the Administrative Agent, (a) correct any material defect or error that may be discovered in any Loan Document or in the execution, acknowledgment, filing or recordation thereof,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 and (c) deliver a collateral access agreement to the Administrative Agent, in form and substance reasonably satisfactory to it, for any headquarters location where books and records are kept or any other U.S. location where Collateral (including, without limitation, Inventory) having an aggregate fair market value of $1,000,000 or more is located.</w:t>
      </w:r>
    </w:p>
    <w:p>
      <w:pPr>
        <w:spacing w:after="0" w:line="18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5"/>
          <w:szCs w:val="15"/>
          <w:u w:val="single" w:color="auto"/>
          <w:color w:val="auto"/>
        </w:rPr>
        <w:t>Reserved</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5"/>
          <w:szCs w:val="15"/>
          <w:u w:val="single" w:color="auto"/>
          <w:color w:val="auto"/>
        </w:rPr>
        <w:t>Reserved</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6.18</w:t>
      </w:r>
      <w:r>
        <w:rPr>
          <w:sz w:val="20"/>
          <w:szCs w:val="20"/>
          <w:color w:val="auto"/>
        </w:rPr>
        <w:tab/>
      </w:r>
      <w:r>
        <w:rPr>
          <w:rFonts w:ascii="Arial" w:cs="Arial" w:eastAsia="Arial" w:hAnsi="Arial"/>
          <w:sz w:val="16"/>
          <w:szCs w:val="16"/>
          <w:u w:val="single" w:color="auto"/>
          <w:color w:val="auto"/>
        </w:rPr>
        <w:t>Material Contracts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Perform and observe all the terms and provisions of each Material Contract to be performed or observed by it, maintain each such Material Contract in full force and effect, enforce each such Material Contract in accordance with its terms, take all such action to such end as may be from time to time requested by the Administrative Agent and, upon request of the Administrative Agent, and cause each of its Subsidiaries to do so, except, in any case, where the failure to do so, either individually or in the aggregate, could not reasonably be expected to have a Material Adverse Effect.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1" w:name="page122"/>
    <w:bookmarkEnd w:id="121"/>
    <w:p>
      <w:pPr>
        <w:ind w:left="660"/>
        <w:spacing w:after="0"/>
        <w:tabs>
          <w:tab w:leader="none" w:pos="1400" w:val="left"/>
        </w:tabs>
        <w:rPr>
          <w:sz w:val="20"/>
          <w:szCs w:val="20"/>
          <w:color w:val="auto"/>
        </w:rPr>
      </w:pPr>
      <w:r>
        <w:rPr>
          <w:rFonts w:ascii="Arial" w:cs="Arial" w:eastAsia="Arial" w:hAnsi="Arial"/>
          <w:sz w:val="18"/>
          <w:szCs w:val="18"/>
          <w:color w:val="auto"/>
        </w:rPr>
        <w:t>6.19</w:t>
      </w:r>
      <w:r>
        <w:rPr>
          <w:sz w:val="20"/>
          <w:szCs w:val="20"/>
          <w:color w:val="auto"/>
        </w:rPr>
        <w:tab/>
      </w:r>
      <w:r>
        <w:rPr>
          <w:rFonts w:ascii="Arial" w:cs="Arial" w:eastAsia="Arial" w:hAnsi="Arial"/>
          <w:sz w:val="16"/>
          <w:szCs w:val="16"/>
          <w:u w:val="single" w:color="auto"/>
          <w:color w:val="auto"/>
        </w:rPr>
        <w:t>Cash Collateral Accounts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Maintain, and cause each of the other Loan Parties to maintain, all Cash Collateral Accounts with Bank of America or another commercial bank located in the United States reasonably acceptable to the Administrative Agent, which, if reasonably requested by the Administrative Agent, deliver an accepted assignment of such accounts to the Administrative Agent for the benefit of the Secured Parties pursuant to the terms of the Security Agreement.</w:t>
      </w:r>
    </w:p>
    <w:p>
      <w:pPr>
        <w:spacing w:after="0" w:line="14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6.20</w:t>
      </w:r>
      <w:r>
        <w:rPr>
          <w:sz w:val="20"/>
          <w:szCs w:val="20"/>
          <w:color w:val="auto"/>
        </w:rPr>
        <w:tab/>
      </w:r>
      <w:r>
        <w:rPr>
          <w:rFonts w:ascii="Arial" w:cs="Arial" w:eastAsia="Arial" w:hAnsi="Arial"/>
          <w:sz w:val="17"/>
          <w:szCs w:val="17"/>
          <w:u w:val="single" w:color="auto"/>
          <w:color w:val="auto"/>
        </w:rPr>
        <w:t>Anti-Corruption Laws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Conduct its business in compliance with the United States Foreign Corrupt Practices Act of 1977, the UK Bribery Act 2010, and other similar anti-corruption legislation in other jurisdictions, and maintain policies and procedures designed to promote and achieve compliance with such laws.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NEGATIVE COVENANTS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 long as any Lender shall have any Commitment hereunder, any Loan or other Obligation hereunder shall remain unpaid or unsatisfied, or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shall remain outstanding, the Borrower shall not, nor shall it permit any Subsidiary to, directly or indirectly:</w:t>
      </w:r>
    </w:p>
    <w:p>
      <w:pPr>
        <w:spacing w:after="0" w:line="21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6"/>
          <w:szCs w:val="16"/>
          <w:u w:val="single" w:color="auto"/>
          <w:color w:val="auto"/>
        </w:rPr>
        <w:t>Liens, Etc</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Create, incur, assume or suffer to exist, any mortgage, lien, charge or encumbrance on, or security interest in, or pledge of, or conditional sale or other title retention agreement (including any Capital Lease) with respect to, any real or personal property (tangible or intangible, now existing or hereafter acquired)(each being a “</w:t>
      </w:r>
      <w:r>
        <w:rPr>
          <w:rFonts w:ascii="Arial" w:cs="Arial" w:eastAsia="Arial" w:hAnsi="Arial"/>
          <w:sz w:val="17"/>
          <w:szCs w:val="17"/>
          <w:u w:val="single" w:color="auto"/>
          <w:color w:val="auto"/>
        </w:rPr>
        <w:t>Lien</w:t>
      </w:r>
      <w:r>
        <w:rPr>
          <w:rFonts w:ascii="Arial" w:cs="Arial" w:eastAsia="Arial" w:hAnsi="Arial"/>
          <w:sz w:val="17"/>
          <w:szCs w:val="17"/>
          <w:color w:val="auto"/>
        </w:rPr>
        <w:t>”), including but not limited to the Accounts and Inventory, nor will the Borrower nor any Subsidiary make the foregoing negative covenant in favor of any other Person except the following (each being a “</w:t>
      </w:r>
      <w:r>
        <w:rPr>
          <w:rFonts w:ascii="Arial" w:cs="Arial" w:eastAsia="Arial" w:hAnsi="Arial"/>
          <w:sz w:val="17"/>
          <w:szCs w:val="17"/>
          <w:u w:val="single" w:color="auto"/>
          <w:color w:val="auto"/>
        </w:rPr>
        <w:t>Permitted Lien</w:t>
      </w:r>
      <w:r>
        <w:rPr>
          <w:rFonts w:ascii="Arial" w:cs="Arial" w:eastAsia="Arial" w:hAnsi="Arial"/>
          <w:sz w:val="17"/>
          <w:szCs w:val="17"/>
          <w:color w:val="auto"/>
        </w:rPr>
        <w:t>”):</w:t>
      </w:r>
    </w:p>
    <w:p>
      <w:pPr>
        <w:spacing w:after="0" w:line="171" w:lineRule="exact"/>
        <w:rPr>
          <w:sz w:val="20"/>
          <w:szCs w:val="20"/>
          <w:color w:val="auto"/>
        </w:rPr>
      </w:pPr>
    </w:p>
    <w:p>
      <w:pPr>
        <w:jc w:val="both"/>
        <w:ind w:left="660" w:firstLine="645"/>
        <w:spacing w:after="0" w:line="257" w:lineRule="auto"/>
        <w:tabs>
          <w:tab w:leader="none" w:pos="230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Liens for taxes not yet delinquent or being contested in good faith; mechanics’, workmen’s, materialmen’s or other like liens arising in the ordinary course of business in respect of obligations which are not yet due or which are being contested in good faith (as to which adequate reserves have been established on the Borrower’s books to the extent required by GAAP) and which were not incurred in connection with the purchase of property, borrowing of money or the obtaining of credit and which do not detract from the value of the properties or assets of the Borrower and its Subsidiaries or affect the use thereof in the operation of their business;</w:t>
      </w:r>
    </w:p>
    <w:p>
      <w:pPr>
        <w:spacing w:after="0" w:line="188" w:lineRule="exact"/>
        <w:rPr>
          <w:rFonts w:ascii="Arial" w:cs="Arial" w:eastAsia="Arial" w:hAnsi="Arial"/>
          <w:sz w:val="18"/>
          <w:szCs w:val="18"/>
          <w:color w:val="auto"/>
        </w:rPr>
      </w:pPr>
    </w:p>
    <w:p>
      <w:pPr>
        <w:ind w:left="2240" w:hanging="935"/>
        <w:spacing w:after="0"/>
        <w:tabs>
          <w:tab w:leader="none" w:pos="2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The existing Liens referred to in </w:t>
      </w:r>
      <w:r>
        <w:rPr>
          <w:rFonts w:ascii="Arial" w:cs="Arial" w:eastAsia="Arial" w:hAnsi="Arial"/>
          <w:sz w:val="18"/>
          <w:szCs w:val="18"/>
          <w:u w:val="single" w:color="auto"/>
          <w:color w:val="auto"/>
        </w:rPr>
        <w:t>Schedule 7.01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223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Purchase money mortgages, liens and other security interests, including Capital Leases, created in respect of property acquired by the Borrower and/or any of its Subsidiaries after the date hereof or existing in respect of property so acquired prior to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such lien shall at all times be confined solely to the item of property so acquired, and (ii) the aggregate principal amount of indebtedness secured by all such liens shall at no time exceed $1,000,000;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2" w:name="page123"/>
    <w:bookmarkEnd w:id="122"/>
    <w:p>
      <w:pPr>
        <w:jc w:val="both"/>
        <w:ind w:firstLine="645"/>
        <w:spacing w:after="0" w:line="264" w:lineRule="auto"/>
        <w:tabs>
          <w:tab w:leader="none" w:pos="159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incurred in the ordinary course of business which, in the aggregate, do not materially detract from the value of the property subject thereto or interfere with the ordinary conduct of the businesses of the Borrower;</w:t>
      </w:r>
    </w:p>
    <w:p>
      <w:pPr>
        <w:spacing w:after="0" w:line="181" w:lineRule="exact"/>
        <w:rPr>
          <w:rFonts w:ascii="Arial" w:cs="Arial" w:eastAsia="Arial" w:hAnsi="Arial"/>
          <w:sz w:val="18"/>
          <w:szCs w:val="18"/>
          <w:color w:val="auto"/>
        </w:rPr>
      </w:pPr>
    </w:p>
    <w:p>
      <w:pPr>
        <w:ind w:firstLine="645"/>
        <w:spacing w:after="0" w:line="277" w:lineRule="auto"/>
        <w:tabs>
          <w:tab w:leader="none" w:pos="160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Liens arising solely by virtue of any contractual, statutory or common law provision relating to banker’s liens, rights of set-off or similar rights and remedies as to deposit accounts or other funds maintained with any financial institution;</w:t>
      </w:r>
    </w:p>
    <w:p>
      <w:pPr>
        <w:spacing w:after="0" w:line="170" w:lineRule="exact"/>
        <w:rPr>
          <w:rFonts w:ascii="Arial" w:cs="Arial" w:eastAsia="Arial" w:hAnsi="Arial"/>
          <w:sz w:val="18"/>
          <w:szCs w:val="18"/>
          <w:color w:val="auto"/>
        </w:rPr>
      </w:pPr>
    </w:p>
    <w:p>
      <w:pPr>
        <w:jc w:val="both"/>
        <w:ind w:firstLine="645"/>
        <w:spacing w:after="0" w:line="264" w:lineRule="auto"/>
        <w:tabs>
          <w:tab w:leader="none" w:pos="162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Liens in connection with operating leases and granted to secure obligations with respect to “off balance sheet” or “synthetic” leases (</w:t>
      </w:r>
      <w:r>
        <w:rPr>
          <w:rFonts w:ascii="Arial" w:cs="Arial" w:eastAsia="Arial" w:hAnsi="Arial"/>
          <w:sz w:val="18"/>
          <w:szCs w:val="18"/>
          <w:u w:val="single" w:color="auto"/>
          <w:color w:val="auto"/>
        </w:rPr>
        <w:t>i.e</w:t>
      </w:r>
      <w:r>
        <w:rPr>
          <w:rFonts w:ascii="Arial" w:cs="Arial" w:eastAsia="Arial" w:hAnsi="Arial"/>
          <w:sz w:val="18"/>
          <w:szCs w:val="18"/>
          <w:color w:val="auto"/>
        </w:rPr>
        <w:t>., leases where for tax purposes the lessee is treated as the owner of the leased property but for GAAP purposes the lease is treated as an operating lease and the lessor is treated as the owner of the leased property);</w:t>
      </w:r>
    </w:p>
    <w:p>
      <w:pPr>
        <w:spacing w:after="0" w:line="181" w:lineRule="exact"/>
        <w:rPr>
          <w:rFonts w:ascii="Arial" w:cs="Arial" w:eastAsia="Arial" w:hAnsi="Arial"/>
          <w:sz w:val="18"/>
          <w:szCs w:val="18"/>
          <w:color w:val="auto"/>
        </w:rPr>
      </w:pPr>
    </w:p>
    <w:p>
      <w:pPr>
        <w:ind w:left="1520" w:hanging="875"/>
        <w:spacing w:after="0"/>
        <w:tabs>
          <w:tab w:leader="none" w:pos="15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Liens consisting of security deposits securing the Borrower’s and/or any Subsidiary’s obligations under real property leases;</w:t>
      </w:r>
    </w:p>
    <w:p>
      <w:pPr>
        <w:spacing w:after="0" w:line="248" w:lineRule="exact"/>
        <w:rPr>
          <w:rFonts w:ascii="Arial" w:cs="Arial" w:eastAsia="Arial" w:hAnsi="Arial"/>
          <w:sz w:val="16"/>
          <w:szCs w:val="16"/>
          <w:color w:val="auto"/>
        </w:rPr>
      </w:pPr>
    </w:p>
    <w:p>
      <w:pPr>
        <w:ind w:left="1620" w:hanging="975"/>
        <w:spacing w:after="0"/>
        <w:tabs>
          <w:tab w:leader="none" w:pos="16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Lien securing Indebtedness to the Lenders;</w:t>
      </w:r>
    </w:p>
    <w:p>
      <w:pPr>
        <w:spacing w:after="0" w:line="225" w:lineRule="exact"/>
        <w:rPr>
          <w:rFonts w:ascii="Arial" w:cs="Arial" w:eastAsia="Arial" w:hAnsi="Arial"/>
          <w:sz w:val="18"/>
          <w:szCs w:val="18"/>
          <w:color w:val="auto"/>
        </w:rPr>
      </w:pPr>
    </w:p>
    <w:p>
      <w:pPr>
        <w:ind w:firstLine="645"/>
        <w:spacing w:after="0" w:line="277" w:lineRule="auto"/>
        <w:tabs>
          <w:tab w:leader="none" w:pos="165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Deposits or pledges made in connection with, or to secure payment of, worker’s compensation, unemployment insurance, old age pensions or social security;</w:t>
      </w:r>
    </w:p>
    <w:p>
      <w:pPr>
        <w:spacing w:after="0" w:line="170" w:lineRule="exact"/>
        <w:rPr>
          <w:rFonts w:ascii="Arial" w:cs="Arial" w:eastAsia="Arial" w:hAnsi="Arial"/>
          <w:sz w:val="18"/>
          <w:szCs w:val="18"/>
          <w:color w:val="auto"/>
        </w:rPr>
      </w:pPr>
    </w:p>
    <w:p>
      <w:pPr>
        <w:ind w:firstLine="645"/>
        <w:spacing w:after="0" w:line="277" w:lineRule="auto"/>
        <w:tabs>
          <w:tab w:leader="none" w:pos="149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Liens arising by operation of law or under rental agreements made in the ordinary course of business to secure landlords, lessors or renters under leases and confined to the premises or property rented;</w:t>
      </w:r>
    </w:p>
    <w:p>
      <w:pPr>
        <w:spacing w:after="0" w:line="170" w:lineRule="exact"/>
        <w:rPr>
          <w:rFonts w:ascii="Arial" w:cs="Arial" w:eastAsia="Arial" w:hAnsi="Arial"/>
          <w:sz w:val="18"/>
          <w:szCs w:val="18"/>
          <w:color w:val="auto"/>
        </w:rPr>
      </w:pPr>
    </w:p>
    <w:p>
      <w:pPr>
        <w:ind w:left="1620" w:hanging="975"/>
        <w:spacing w:after="0"/>
        <w:tabs>
          <w:tab w:leader="none" w:pos="16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Liens acquired in connection with the consummation of Permitted Acquisitions subject to </w:t>
      </w:r>
      <w:r>
        <w:rPr>
          <w:rFonts w:ascii="Arial" w:cs="Arial" w:eastAsia="Arial" w:hAnsi="Arial"/>
          <w:sz w:val="18"/>
          <w:szCs w:val="18"/>
          <w:u w:val="single" w:color="auto"/>
          <w:color w:val="auto"/>
        </w:rPr>
        <w:t>Section 7.02(g)</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jc w:val="both"/>
        <w:ind w:firstLine="645"/>
        <w:spacing w:after="0" w:line="264" w:lineRule="auto"/>
        <w:tabs>
          <w:tab w:leader="none" w:pos="145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Liens in favor of any bank or other financial institution solely against the Borrower’s and/or any Subsidiary’s deposit account(s) with such bank or other financial institution securing such bank’s or other financial institution’s obligation to guarantee the Borrower’s and/or its Subsidiaries’ promissory notes issued in connection with a Permitted Acquisition.</w:t>
      </w:r>
    </w:p>
    <w:p>
      <w:pPr>
        <w:spacing w:after="0" w:line="18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7.02</w:t>
      </w:r>
      <w:r>
        <w:rPr>
          <w:sz w:val="20"/>
          <w:szCs w:val="20"/>
          <w:color w:val="auto"/>
        </w:rPr>
        <w:tab/>
      </w:r>
      <w:r>
        <w:rPr>
          <w:rFonts w:ascii="Arial" w:cs="Arial" w:eastAsia="Arial" w:hAnsi="Arial"/>
          <w:sz w:val="15"/>
          <w:szCs w:val="15"/>
          <w:u w:val="single" w:color="auto"/>
          <w:color w:val="auto"/>
        </w:rPr>
        <w:t>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Create, incur, assume or become or remain liable in respect of any Indebtedness, except:</w:t>
      </w:r>
    </w:p>
    <w:p>
      <w:pPr>
        <w:spacing w:after="0" w:line="225" w:lineRule="exact"/>
        <w:rPr>
          <w:sz w:val="20"/>
          <w:szCs w:val="20"/>
          <w:color w:val="auto"/>
        </w:rPr>
      </w:pPr>
    </w:p>
    <w:p>
      <w:pPr>
        <w:ind w:left="1520" w:hanging="875"/>
        <w:spacing w:after="0"/>
        <w:tabs>
          <w:tab w:leader="none" w:pos="15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Indebtedness to the Lenders hereunder;</w:t>
      </w:r>
    </w:p>
    <w:p>
      <w:pPr>
        <w:spacing w:after="0" w:line="225" w:lineRule="exact"/>
        <w:rPr>
          <w:rFonts w:ascii="Arial" w:cs="Arial" w:eastAsia="Arial" w:hAnsi="Arial"/>
          <w:sz w:val="18"/>
          <w:szCs w:val="18"/>
          <w:color w:val="auto"/>
        </w:rPr>
      </w:pPr>
    </w:p>
    <w:p>
      <w:pPr>
        <w:ind w:firstLine="645"/>
        <w:spacing w:after="0" w:line="277" w:lineRule="auto"/>
        <w:tabs>
          <w:tab w:leader="none" w:pos="182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Liabilities of the Borrower and/or its Subsidiaries (other than for borrowed money) incurred in the ordinary course of its business and in accordance with customary trade practices;</w:t>
      </w:r>
    </w:p>
    <w:p>
      <w:pPr>
        <w:spacing w:after="0" w:line="170" w:lineRule="exact"/>
        <w:rPr>
          <w:rFonts w:ascii="Arial" w:cs="Arial" w:eastAsia="Arial" w:hAnsi="Arial"/>
          <w:sz w:val="18"/>
          <w:szCs w:val="18"/>
          <w:color w:val="auto"/>
        </w:rPr>
      </w:pPr>
    </w:p>
    <w:p>
      <w:pPr>
        <w:jc w:val="both"/>
        <w:ind w:firstLine="645"/>
        <w:spacing w:after="0" w:line="259" w:lineRule="auto"/>
        <w:tabs>
          <w:tab w:leader="none" w:pos="157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Existing Indebtedness, together with all accrued and unpaid interest thereon, of the Borrower and/or any Subsidiary referred to in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attached hereto, and refinancings thereof in an amount not more than the greater of (i) the respective unpaid principal amounts thereof or (ii) the respective principal amounts available to be drawn thereunder on the date hereof, in each case as specified in such schedule, together with all accrued and unpaid interest thereon;</w:t>
      </w:r>
    </w:p>
    <w:p>
      <w:pPr>
        <w:spacing w:after="0" w:line="200" w:lineRule="exact"/>
        <w:rPr>
          <w:sz w:val="20"/>
          <w:szCs w:val="20"/>
          <w:color w:val="auto"/>
        </w:rPr>
      </w:pPr>
    </w:p>
    <w:p>
      <w:pPr>
        <w:spacing w:after="0" w:line="20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43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23" w:name="page124"/>
    <w:bookmarkEnd w:id="123"/>
    <w:p>
      <w:pPr>
        <w:ind w:left="1600" w:hanging="955"/>
        <w:spacing w:after="0"/>
        <w:tabs>
          <w:tab w:leader="none" w:pos="16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Indebtedness of the Borrower and/or any Subsidiary secured as permitted by, and subject to the proviso to, subparagraph (c)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firstLine="645"/>
        <w:spacing w:after="0" w:line="302" w:lineRule="auto"/>
        <w:tabs>
          <w:tab w:leader="none" w:pos="183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Unsecured Indebtedness incurred or assumed in connection with (i) any Permitted Acquisition consummated pursuant to </w:t>
      </w:r>
      <w:r>
        <w:rPr>
          <w:rFonts w:ascii="Arial" w:cs="Arial" w:eastAsia="Arial" w:hAnsi="Arial"/>
          <w:sz w:val="16"/>
          <w:szCs w:val="16"/>
          <w:u w:val="single" w:color="auto"/>
          <w:color w:val="auto"/>
        </w:rPr>
        <w:t>Section 7.03(g)(A)</w:t>
      </w:r>
      <w:r>
        <w:rPr>
          <w:rFonts w:ascii="Arial" w:cs="Arial" w:eastAsia="Arial" w:hAnsi="Arial"/>
          <w:sz w:val="16"/>
          <w:szCs w:val="16"/>
          <w:color w:val="auto"/>
        </w:rPr>
        <w:t xml:space="preserve"> hereof in an amount not to exceed seventy-five percent (75%) of the purchase price of such Permitted Acquisition (excluding as Indebtedness incurred or assumed for the purpose of this computation, any promissory notes issued in connection with and included in the payment of the purchase price of any such Permitted Acquisition) and (ii) any Permitted Acquisition consummated pursuant to </w:t>
      </w:r>
      <w:r>
        <w:rPr>
          <w:rFonts w:ascii="Arial" w:cs="Arial" w:eastAsia="Arial" w:hAnsi="Arial"/>
          <w:sz w:val="16"/>
          <w:szCs w:val="16"/>
          <w:u w:val="single" w:color="auto"/>
          <w:color w:val="auto"/>
        </w:rPr>
        <w:t>Section 7.03(g)(B)</w:t>
      </w:r>
      <w:r>
        <w:rPr>
          <w:rFonts w:ascii="Arial" w:cs="Arial" w:eastAsia="Arial" w:hAnsi="Arial"/>
          <w:sz w:val="16"/>
          <w:szCs w:val="16"/>
          <w:color w:val="auto"/>
        </w:rPr>
        <w:t xml:space="preserve"> hereof;</w:t>
      </w:r>
    </w:p>
    <w:p>
      <w:pPr>
        <w:spacing w:after="0" w:line="154" w:lineRule="exact"/>
        <w:rPr>
          <w:rFonts w:ascii="Arial" w:cs="Arial" w:eastAsia="Arial" w:hAnsi="Arial"/>
          <w:sz w:val="16"/>
          <w:szCs w:val="16"/>
          <w:color w:val="auto"/>
        </w:rPr>
      </w:pPr>
    </w:p>
    <w:p>
      <w:pPr>
        <w:ind w:left="1600" w:hanging="955"/>
        <w:spacing w:after="0"/>
        <w:tabs>
          <w:tab w:leader="none" w:pos="16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Indebtedness in respect of promissory notes issued in connection with any Permitted Acquisition and secured as permitted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right="20" w:firstLine="645"/>
        <w:spacing w:after="0" w:line="308" w:lineRule="auto"/>
        <w:tabs>
          <w:tab w:leader="none" w:pos="1681"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Other secured Indebtedness incurred or assumed in connection with any Permitted Acquisition consummated pursuant to (i) </w:t>
      </w:r>
      <w:r>
        <w:rPr>
          <w:rFonts w:ascii="Arial" w:cs="Arial" w:eastAsia="Arial" w:hAnsi="Arial"/>
          <w:sz w:val="17"/>
          <w:szCs w:val="17"/>
          <w:u w:val="single" w:color="auto"/>
          <w:color w:val="auto"/>
        </w:rPr>
        <w:t>Section 7.3(g)(A)</w:t>
      </w:r>
      <w:r>
        <w:rPr>
          <w:rFonts w:ascii="Arial" w:cs="Arial" w:eastAsia="Arial" w:hAnsi="Arial"/>
          <w:sz w:val="17"/>
          <w:szCs w:val="17"/>
          <w:color w:val="auto"/>
        </w:rPr>
        <w:t xml:space="preserve"> in an aggregate principal amount at any time outstanding not to exceed $500,000 and (ii) </w:t>
      </w:r>
      <w:r>
        <w:rPr>
          <w:rFonts w:ascii="Arial" w:cs="Arial" w:eastAsia="Arial" w:hAnsi="Arial"/>
          <w:sz w:val="17"/>
          <w:szCs w:val="17"/>
          <w:u w:val="single" w:color="auto"/>
          <w:color w:val="auto"/>
        </w:rPr>
        <w:t>Section 7.03(g)</w:t>
      </w:r>
      <w:r>
        <w:rPr>
          <w:rFonts w:ascii="Arial" w:cs="Arial" w:eastAsia="Arial" w:hAnsi="Arial"/>
          <w:sz w:val="17"/>
          <w:szCs w:val="17"/>
          <w:color w:val="auto"/>
        </w:rPr>
        <w:t xml:space="preserve"> hereof;</w:t>
      </w:r>
    </w:p>
    <w:p>
      <w:pPr>
        <w:spacing w:after="0" w:line="146" w:lineRule="exact"/>
        <w:rPr>
          <w:rFonts w:ascii="Arial" w:cs="Arial" w:eastAsia="Arial" w:hAnsi="Arial"/>
          <w:sz w:val="17"/>
          <w:szCs w:val="17"/>
          <w:color w:val="auto"/>
        </w:rPr>
      </w:pPr>
    </w:p>
    <w:p>
      <w:pPr>
        <w:ind w:left="1620" w:hanging="975"/>
        <w:spacing w:after="0"/>
        <w:tabs>
          <w:tab w:leader="none" w:pos="1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Other unsecured Indebtedness not to exceed $100,000; and</w:t>
      </w:r>
    </w:p>
    <w:p>
      <w:pPr>
        <w:spacing w:after="0" w:line="225" w:lineRule="exact"/>
        <w:rPr>
          <w:rFonts w:ascii="Arial" w:cs="Arial" w:eastAsia="Arial" w:hAnsi="Arial"/>
          <w:sz w:val="18"/>
          <w:szCs w:val="18"/>
          <w:color w:val="auto"/>
        </w:rPr>
      </w:pPr>
    </w:p>
    <w:p>
      <w:pPr>
        <w:jc w:val="both"/>
        <w:ind w:firstLine="645"/>
        <w:spacing w:after="0" w:line="255" w:lineRule="auto"/>
        <w:tabs>
          <w:tab w:leader="none" w:pos="159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Indebtedness in respect of (i) taxes, assessments, governmental charges or levies and claims for labor, materials and supplies to the extent that payment thereof shall not at the time be required to be made or is being contested, (ii) judgments or awards which have been in force for less than the applicable appeal period so long as execution is not levied thereunder or in respect of which the Borrower or any Subsidiary shall in good faith be prosecuting an appeal or proceedings for review in a manner reasonably satisfactory to the Administrative Agent and in respect of which a stay of execution shall have been obtained pending such appeal or review and for which adequate reserves have been established in accordance with, and to the extent required by, GAAP, and (iii) endorsements made in connection with the deposit of items for credit or collection in the ordinary course of business.</w:t>
      </w:r>
    </w:p>
    <w:p>
      <w:pPr>
        <w:spacing w:after="0" w:line="1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 Make or hold any Investments, except:</w:t>
      </w:r>
    </w:p>
    <w:p>
      <w:pPr>
        <w:spacing w:after="0" w:line="225" w:lineRule="exact"/>
        <w:rPr>
          <w:sz w:val="20"/>
          <w:szCs w:val="20"/>
          <w:color w:val="auto"/>
        </w:rPr>
      </w:pPr>
    </w:p>
    <w:p>
      <w:pPr>
        <w:ind w:left="1560" w:hanging="915"/>
        <w:spacing w:after="0"/>
        <w:tabs>
          <w:tab w:leader="none" w:pos="15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Investments held by the Borrower and its Subsidiaries in the form of Cash Equivalents;</w:t>
      </w:r>
    </w:p>
    <w:p>
      <w:pPr>
        <w:spacing w:after="0" w:line="225" w:lineRule="exact"/>
        <w:rPr>
          <w:rFonts w:ascii="Arial" w:cs="Arial" w:eastAsia="Arial" w:hAnsi="Arial"/>
          <w:sz w:val="18"/>
          <w:szCs w:val="18"/>
          <w:color w:val="auto"/>
        </w:rPr>
      </w:pPr>
    </w:p>
    <w:p>
      <w:pPr>
        <w:ind w:firstLine="645"/>
        <w:spacing w:after="0" w:line="277" w:lineRule="auto"/>
        <w:tabs>
          <w:tab w:leader="none" w:pos="15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advances to officers, directors and employees of the Borrower and Subsidiaries in an aggregate amount not to exceed $500,000 at any time outstanding, for travel, entertainment, relocation and analogous ordinary business purposes;</w:t>
      </w:r>
    </w:p>
    <w:p>
      <w:pPr>
        <w:spacing w:after="0" w:line="38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431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24" w:name="page125"/>
    <w:bookmarkEnd w:id="124"/>
    <w:p>
      <w:pPr>
        <w:ind w:left="1020" w:hanging="915"/>
        <w:spacing w:after="0"/>
        <w:tabs>
          <w:tab w:leader="none" w:pos="10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Investments by the Borrower and its Subsidiaries in their respective Subsidiaries outstanding on the date hereof;</w:t>
      </w:r>
    </w:p>
    <w:p>
      <w:pPr>
        <w:spacing w:after="0" w:line="225" w:lineRule="exact"/>
        <w:rPr>
          <w:rFonts w:ascii="Arial" w:cs="Arial" w:eastAsia="Arial" w:hAnsi="Arial"/>
          <w:sz w:val="18"/>
          <w:szCs w:val="18"/>
          <w:color w:val="auto"/>
        </w:rPr>
      </w:pPr>
    </w:p>
    <w:p>
      <w:pPr>
        <w:jc w:val="both"/>
        <w:ind w:left="-540" w:firstLine="645"/>
        <w:spacing w:after="0" w:line="264" w:lineRule="auto"/>
        <w:tabs>
          <w:tab w:leader="none" w:pos="10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81" w:lineRule="exact"/>
        <w:rPr>
          <w:rFonts w:ascii="Arial" w:cs="Arial" w:eastAsia="Arial" w:hAnsi="Arial"/>
          <w:sz w:val="18"/>
          <w:szCs w:val="18"/>
          <w:color w:val="auto"/>
        </w:rPr>
      </w:pPr>
    </w:p>
    <w:p>
      <w:pPr>
        <w:ind w:left="1020" w:hanging="915"/>
        <w:spacing w:after="0"/>
        <w:tabs>
          <w:tab w:leader="none" w:pos="10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00" w:hanging="895"/>
        <w:spacing w:after="0"/>
        <w:tabs>
          <w:tab w:leader="none" w:pos="10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Investments existing on the date hereof (other than those referred to in </w:t>
      </w:r>
      <w:r>
        <w:rPr>
          <w:rFonts w:ascii="Arial" w:cs="Arial" w:eastAsia="Arial" w:hAnsi="Arial"/>
          <w:sz w:val="16"/>
          <w:szCs w:val="16"/>
          <w:u w:val="single" w:color="auto"/>
          <w:color w:val="auto"/>
        </w:rPr>
        <w:t>Section 7.03(c)(i)</w:t>
      </w:r>
      <w:r>
        <w:rPr>
          <w:rFonts w:ascii="Arial" w:cs="Arial" w:eastAsia="Arial" w:hAnsi="Arial"/>
          <w:sz w:val="16"/>
          <w:szCs w:val="16"/>
          <w:color w:val="auto"/>
        </w:rPr>
        <w:t xml:space="preserve">) and set forth on </w:t>
      </w:r>
      <w:r>
        <w:rPr>
          <w:rFonts w:ascii="Arial" w:cs="Arial" w:eastAsia="Arial" w:hAnsi="Arial"/>
          <w:sz w:val="16"/>
          <w:szCs w:val="16"/>
          <w:u w:val="single" w:color="auto"/>
          <w:color w:val="auto"/>
        </w:rPr>
        <w:t>Schedule 5.08(e)</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jc w:val="both"/>
        <w:ind w:left="-540" w:firstLine="645"/>
        <w:spacing w:after="0" w:line="279" w:lineRule="auto"/>
        <w:tabs>
          <w:tab w:leader="none" w:pos="1033"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acquire or enter into any agreement (other than purchases of equipment or inventory from any Person in the ordinary course of business) requiring the acquisition of all, or substantially all, of the assets or stock or other equity interests of any Person provided such acquisition (whether by acquisition, merger or otherwise) is to be consummated by (i) the Borrower or (ii) a Domestic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that such Domestic Subsidiary is or becomes a Loan Party provided each of the following conditions precedent has been satisfied:</w:t>
      </w:r>
    </w:p>
    <w:p>
      <w:pPr>
        <w:spacing w:after="0" w:line="171" w:lineRule="exact"/>
        <w:rPr>
          <w:rFonts w:ascii="Arial" w:cs="Arial" w:eastAsia="Arial" w:hAnsi="Arial"/>
          <w:sz w:val="17"/>
          <w:szCs w:val="17"/>
          <w:color w:val="auto"/>
        </w:rPr>
      </w:pPr>
    </w:p>
    <w:p>
      <w:pPr>
        <w:jc w:val="both"/>
        <w:ind w:left="-540" w:firstLine="1293"/>
        <w:spacing w:after="0" w:line="255" w:lineRule="auto"/>
        <w:tabs>
          <w:tab w:leader="none" w:pos="106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(1) The purchase price paid by the Borrower and/or its Subsidiaries in connection with Permitted Acquisitions consummated under this </w:t>
      </w:r>
      <w:r>
        <w:rPr>
          <w:rFonts w:ascii="Arial" w:cs="Arial" w:eastAsia="Arial" w:hAnsi="Arial"/>
          <w:sz w:val="18"/>
          <w:szCs w:val="18"/>
          <w:u w:val="single" w:color="auto"/>
          <w:color w:val="auto"/>
        </w:rPr>
        <w:t>Section 7.03(g)(A)</w:t>
      </w:r>
      <w:r>
        <w:rPr>
          <w:rFonts w:ascii="Arial" w:cs="Arial" w:eastAsia="Arial" w:hAnsi="Arial"/>
          <w:sz w:val="18"/>
          <w:szCs w:val="18"/>
          <w:color w:val="auto"/>
        </w:rPr>
        <w:t xml:space="preserve"> is payable (i) solely in shares of capital stock of the Borrower in an amount not to exceed $10,000,000 in connection with any single Permitted Acquisition (such capital stock valuation shall be the closing price of the Borrower’s common stock on the NASDAQ National Market on the date such transaction is approved by the Borrower’s board of directors), (ii) solely in cash, (iii) solely by issuance of one or more promissory notes or (iv) some combination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except in the case of clause (i) above, the amount of cash consideration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promissory notes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shares of capital stock of the Borrower does not exceed $6,000,000 in connection with any single Permitted Acquisition;</w:t>
      </w:r>
    </w:p>
    <w:p>
      <w:pPr>
        <w:spacing w:after="0" w:line="189" w:lineRule="exact"/>
        <w:rPr>
          <w:rFonts w:ascii="Arial" w:cs="Arial" w:eastAsia="Arial" w:hAnsi="Arial"/>
          <w:sz w:val="18"/>
          <w:szCs w:val="18"/>
          <w:color w:val="auto"/>
        </w:rPr>
      </w:pPr>
    </w:p>
    <w:p>
      <w:pPr>
        <w:jc w:val="both"/>
        <w:ind w:left="-540" w:firstLine="2038"/>
        <w:spacing w:after="0" w:line="259" w:lineRule="auto"/>
        <w:tabs>
          <w:tab w:leader="none" w:pos="1805" w:val="left"/>
        </w:tabs>
        <w:numPr>
          <w:ilvl w:val="2"/>
          <w:numId w:val="141"/>
        </w:numPr>
        <w:rPr>
          <w:rFonts w:ascii="Arial" w:cs="Arial" w:eastAsia="Arial" w:hAnsi="Arial"/>
          <w:sz w:val="18"/>
          <w:szCs w:val="18"/>
          <w:color w:val="auto"/>
        </w:rPr>
      </w:pPr>
      <w:r>
        <w:rPr>
          <w:rFonts w:ascii="Arial" w:cs="Arial" w:eastAsia="Arial" w:hAnsi="Arial"/>
          <w:sz w:val="18"/>
          <w:szCs w:val="18"/>
          <w:color w:val="auto"/>
        </w:rPr>
        <w:t xml:space="preserve">the Borrower notifies the Administrative Agent in writing of all proposed Permitted Acquisitions under this </w:t>
      </w:r>
      <w:r>
        <w:rPr>
          <w:rFonts w:ascii="Arial" w:cs="Arial" w:eastAsia="Arial" w:hAnsi="Arial"/>
          <w:sz w:val="18"/>
          <w:szCs w:val="18"/>
          <w:u w:val="single" w:color="auto"/>
          <w:color w:val="auto"/>
        </w:rPr>
        <w:t>Section 7.03(g)(A)</w:t>
      </w:r>
      <w:r>
        <w:rPr>
          <w:rFonts w:ascii="Arial" w:cs="Arial" w:eastAsia="Arial" w:hAnsi="Arial"/>
          <w:sz w:val="18"/>
          <w:szCs w:val="18"/>
          <w:color w:val="auto"/>
        </w:rPr>
        <w:t xml:space="preserve"> no less than thirty (30) days prior to the anticipated closing date; and (3) the Borrower notifies the Administrative Agent as soon as practicable following any material changes in the business terms or projected impact of any Permitted Acquisition which has previously been disclosed to the Administrative Agent.</w:t>
      </w:r>
    </w:p>
    <w:p>
      <w:pPr>
        <w:spacing w:after="0" w:line="186" w:lineRule="exact"/>
        <w:rPr>
          <w:rFonts w:ascii="Arial" w:cs="Arial" w:eastAsia="Arial" w:hAnsi="Arial"/>
          <w:sz w:val="18"/>
          <w:szCs w:val="18"/>
          <w:color w:val="auto"/>
        </w:rPr>
      </w:pPr>
    </w:p>
    <w:p>
      <w:pPr>
        <w:jc w:val="both"/>
        <w:ind w:left="-540" w:firstLine="1293"/>
        <w:spacing w:after="0" w:line="279" w:lineRule="auto"/>
        <w:tabs>
          <w:tab w:leader="none" w:pos="1462" w:val="left"/>
        </w:tabs>
        <w:numPr>
          <w:ilvl w:val="1"/>
          <w:numId w:val="141"/>
        </w:numPr>
        <w:rPr>
          <w:rFonts w:ascii="Arial" w:cs="Arial" w:eastAsia="Arial" w:hAnsi="Arial"/>
          <w:sz w:val="17"/>
          <w:szCs w:val="17"/>
          <w:color w:val="auto"/>
        </w:rPr>
      </w:pPr>
      <w:r>
        <w:rPr>
          <w:rFonts w:ascii="Arial" w:cs="Arial" w:eastAsia="Arial" w:hAnsi="Arial"/>
          <w:sz w:val="17"/>
          <w:szCs w:val="17"/>
          <w:color w:val="auto"/>
        </w:rPr>
        <w:t xml:space="preserve">Except in connection with Permitted Acquisitions consummated in accordance with </w:t>
      </w:r>
      <w:r>
        <w:rPr>
          <w:rFonts w:ascii="Arial" w:cs="Arial" w:eastAsia="Arial" w:hAnsi="Arial"/>
          <w:sz w:val="17"/>
          <w:szCs w:val="17"/>
          <w:u w:val="single" w:color="auto"/>
          <w:color w:val="auto"/>
        </w:rPr>
        <w:t>Section 7.03(g)(A)</w:t>
      </w:r>
      <w:r>
        <w:rPr>
          <w:rFonts w:ascii="Arial" w:cs="Arial" w:eastAsia="Arial" w:hAnsi="Arial"/>
          <w:sz w:val="17"/>
          <w:szCs w:val="17"/>
          <w:color w:val="auto"/>
        </w:rPr>
        <w:t>, the Borrower and/or its Subsidiaries will only enter into agreements to acquire, and shall only be permitted to acquire, all or substantially all of the assets or stock or other equity interests of any Person (whether by acquisition, merger or otherwise) with the prior written consent of the Required Lenders to be provided in their reasonable discretion and subject to satisfaction of each of the following conditions:</w:t>
      </w:r>
    </w:p>
    <w:p>
      <w:pPr>
        <w:spacing w:after="0" w:line="38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25" w:name="page126"/>
    <w:bookmarkEnd w:id="125"/>
    <w:p>
      <w:pPr>
        <w:ind w:left="100" w:firstLine="653"/>
        <w:spacing w:after="0" w:line="277" w:lineRule="auto"/>
        <w:tabs>
          <w:tab w:leader="none" w:pos="173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Lenders shall have received written notice of such acquisition and the basic terms thereof, as soon as reasonably practicable, but in any event not less than thirty (30) days prior to the anticipated consummation of the acquisition;</w:t>
      </w:r>
    </w:p>
    <w:p>
      <w:pPr>
        <w:spacing w:after="0" w:line="170" w:lineRule="exact"/>
        <w:rPr>
          <w:rFonts w:ascii="Arial" w:cs="Arial" w:eastAsia="Arial" w:hAnsi="Arial"/>
          <w:sz w:val="18"/>
          <w:szCs w:val="18"/>
          <w:color w:val="auto"/>
        </w:rPr>
      </w:pPr>
    </w:p>
    <w:p>
      <w:pPr>
        <w:jc w:val="both"/>
        <w:ind w:left="100" w:firstLine="653"/>
        <w:spacing w:after="0" w:line="264" w:lineRule="auto"/>
        <w:tabs>
          <w:tab w:leader="none" w:pos="1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assets to be acquired are employed or, if such acquisition is structured as purchase of stock or other equity interests, the Person so acquired conducts its business in an industry which is the same as that of the Borrower and the Required Lenders are satisfied as to the foregoing;</w:t>
      </w:r>
    </w:p>
    <w:p>
      <w:pPr>
        <w:spacing w:after="0" w:line="181" w:lineRule="exact"/>
        <w:rPr>
          <w:rFonts w:ascii="Arial" w:cs="Arial" w:eastAsia="Arial" w:hAnsi="Arial"/>
          <w:sz w:val="18"/>
          <w:szCs w:val="18"/>
          <w:color w:val="auto"/>
        </w:rPr>
      </w:pPr>
    </w:p>
    <w:p>
      <w:pPr>
        <w:ind w:left="100" w:firstLine="653"/>
        <w:spacing w:after="0" w:line="277" w:lineRule="auto"/>
        <w:tabs>
          <w:tab w:leader="none" w:pos="171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At the time of consummation of such acquisition, no Default and no Event of Default exists, or would be caused by such consummation and the Lenders are satisfied as to the foregoing;</w:t>
      </w:r>
    </w:p>
    <w:p>
      <w:pPr>
        <w:spacing w:after="0" w:line="170" w:lineRule="exact"/>
        <w:rPr>
          <w:rFonts w:ascii="Arial" w:cs="Arial" w:eastAsia="Arial" w:hAnsi="Arial"/>
          <w:sz w:val="18"/>
          <w:szCs w:val="18"/>
          <w:color w:val="auto"/>
        </w:rPr>
      </w:pPr>
    </w:p>
    <w:p>
      <w:pPr>
        <w:jc w:val="both"/>
        <w:ind w:left="100" w:firstLine="653"/>
        <w:spacing w:after="0" w:line="279" w:lineRule="auto"/>
        <w:tabs>
          <w:tab w:leader="none" w:pos="1593"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At least five (5) Business Days prior to the consummation of any such acquisition, the Borrower shall have delivered to the Lenders a certificate, signed by the Chief Executive Officer or Chief Financial Officer of the Borrower, certifying that the Borrower has conducted or caused to be conducted all due diligence deemed reasonably necessary for the proposed acquisition, and that the results of such due diligence are deemed satisfactory by the officer of the Borrower executing such certificate;</w:t>
      </w:r>
    </w:p>
    <w:p>
      <w:pPr>
        <w:spacing w:after="0" w:line="171" w:lineRule="exact"/>
        <w:rPr>
          <w:rFonts w:ascii="Arial" w:cs="Arial" w:eastAsia="Arial" w:hAnsi="Arial"/>
          <w:sz w:val="17"/>
          <w:szCs w:val="17"/>
          <w:color w:val="auto"/>
        </w:rPr>
      </w:pPr>
    </w:p>
    <w:p>
      <w:pPr>
        <w:ind w:left="100" w:firstLine="653"/>
        <w:spacing w:after="0" w:line="277" w:lineRule="auto"/>
        <w:tabs>
          <w:tab w:leader="none" w:pos="179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acquisition is not hostile and has been approved by the governing body of the Person being acquired or of the Person whose assets are being acquired;</w:t>
      </w:r>
    </w:p>
    <w:p>
      <w:pPr>
        <w:spacing w:after="0" w:line="170" w:lineRule="exact"/>
        <w:rPr>
          <w:rFonts w:ascii="Arial" w:cs="Arial" w:eastAsia="Arial" w:hAnsi="Arial"/>
          <w:sz w:val="18"/>
          <w:szCs w:val="18"/>
          <w:color w:val="auto"/>
        </w:rPr>
      </w:pPr>
    </w:p>
    <w:p>
      <w:pPr>
        <w:jc w:val="both"/>
        <w:ind w:left="100" w:firstLine="653"/>
        <w:spacing w:after="0" w:line="253" w:lineRule="auto"/>
        <w:tabs>
          <w:tab w:leader="none" w:pos="1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 less than thirty (30) days prior to the anticipated consummation of the acquisition, the Borrower shall deliver to the Lenders, among such other financial information and reports as may be required by the Lenders, revised financial projections, income statements and balance sheets setting forth the effect of the acquisition and demonstrating to the satisfaction of the Required Lenders (in their sole discretion) that the Borrower will, on a going forward basis, be in compliance with all covenants (including the financial covenants contained herein) set forth in this Agreement, and further demonstrating that the proposed acquisition will, prior to the end of the second fiscal quarter of the Borrower immediately succeeding the fiscal quarter during which any such acquisition is consummated, increase the Borrower’s Adjusted EBITDA, after giving effect to all additional interest and Indebtedness related to such acquisition (including any Indebtedness incurred under this Agreement), as well as the relevant income statement effects deemed applicable by the Required Lenders and all adjustments to historical performance approved by the Required Lenders, all in the Required Lenders’ sole discretion; and</w:t>
      </w:r>
    </w:p>
    <w:p>
      <w:pPr>
        <w:spacing w:after="0" w:line="194" w:lineRule="exact"/>
        <w:rPr>
          <w:rFonts w:ascii="Arial" w:cs="Arial" w:eastAsia="Arial" w:hAnsi="Arial"/>
          <w:sz w:val="18"/>
          <w:szCs w:val="18"/>
          <w:color w:val="auto"/>
        </w:rPr>
      </w:pPr>
    </w:p>
    <w:p>
      <w:pPr>
        <w:jc w:val="both"/>
        <w:ind w:left="100" w:firstLine="653"/>
        <w:spacing w:after="0" w:line="276" w:lineRule="auto"/>
        <w:tabs>
          <w:tab w:leader="none" w:pos="1607"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The Administrative Agent (at the direction of the Required Lenders) shall not have issued notice to the Borrower that, in the Required Lenders’ reasonable discretion, it or they have determined that a proposed acquisition is not a Permitted Acquisition, any such notice to be delivered to the Borrower within 15 days of the last to occur of (x) receipt of written notice from the Borrower required by paragraph (a) of this </w:t>
      </w:r>
      <w:r>
        <w:rPr>
          <w:rFonts w:ascii="Arial" w:cs="Arial" w:eastAsia="Arial" w:hAnsi="Arial"/>
          <w:sz w:val="17"/>
          <w:szCs w:val="17"/>
          <w:u w:val="single" w:color="auto"/>
          <w:color w:val="auto"/>
        </w:rPr>
        <w:t>Section 7.03(g)(B)</w:t>
      </w:r>
      <w:r>
        <w:rPr>
          <w:rFonts w:ascii="Arial" w:cs="Arial" w:eastAsia="Arial" w:hAnsi="Arial"/>
          <w:sz w:val="17"/>
          <w:szCs w:val="17"/>
          <w:color w:val="auto"/>
        </w:rPr>
        <w:t xml:space="preserve"> and such notice to set forth, in reasonable detail, the basic for such determination by the Lenders and (y) the last of the materials required to be delivered under </w:t>
      </w:r>
      <w:r>
        <w:rPr>
          <w:rFonts w:ascii="Arial" w:cs="Arial" w:eastAsia="Arial" w:hAnsi="Arial"/>
          <w:sz w:val="17"/>
          <w:szCs w:val="17"/>
          <w:u w:val="single" w:color="auto"/>
          <w:color w:val="auto"/>
        </w:rPr>
        <w:t>Section 7.03(g)(B)</w:t>
      </w:r>
      <w:r>
        <w:rPr>
          <w:rFonts w:ascii="Arial" w:cs="Arial" w:eastAsia="Arial" w:hAnsi="Arial"/>
          <w:sz w:val="17"/>
          <w:szCs w:val="17"/>
          <w:color w:val="auto"/>
        </w:rPr>
        <w:t>.</w:t>
      </w:r>
    </w:p>
    <w:p>
      <w:pPr>
        <w:spacing w:after="0" w:line="38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26" w:name="page127"/>
    <w:bookmarkEnd w:id="126"/>
    <w:p>
      <w:pPr>
        <w:ind w:firstLine="648"/>
        <w:spacing w:after="0" w:line="277" w:lineRule="auto"/>
        <w:rPr>
          <w:sz w:val="20"/>
          <w:szCs w:val="20"/>
          <w:color w:val="auto"/>
        </w:rPr>
      </w:pPr>
      <w:r>
        <w:rPr>
          <w:rFonts w:ascii="Arial" w:cs="Arial" w:eastAsia="Arial" w:hAnsi="Arial"/>
          <w:sz w:val="18"/>
          <w:szCs w:val="18"/>
          <w:color w:val="auto"/>
        </w:rPr>
        <w:t xml:space="preserve">Each acquisition consummated in accordance with the provisions of </w:t>
      </w:r>
      <w:r>
        <w:rPr>
          <w:rFonts w:ascii="Arial" w:cs="Arial" w:eastAsia="Arial" w:hAnsi="Arial"/>
          <w:sz w:val="18"/>
          <w:szCs w:val="18"/>
          <w:u w:val="single" w:color="auto"/>
          <w:color w:val="auto"/>
        </w:rPr>
        <w:t>Section 7.03(g)(A)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7.03(g)(B)</w:t>
      </w:r>
      <w:r>
        <w:rPr>
          <w:rFonts w:ascii="Arial" w:cs="Arial" w:eastAsia="Arial" w:hAnsi="Arial"/>
          <w:sz w:val="18"/>
          <w:szCs w:val="18"/>
          <w:color w:val="auto"/>
        </w:rPr>
        <w:t xml:space="preserve"> shall be referred to as a “</w:t>
      </w:r>
      <w:r>
        <w:rPr>
          <w:rFonts w:ascii="Arial" w:cs="Arial" w:eastAsia="Arial" w:hAnsi="Arial"/>
          <w:sz w:val="18"/>
          <w:szCs w:val="18"/>
          <w:u w:val="single" w:color="auto"/>
          <w:color w:val="auto"/>
        </w:rPr>
        <w:t>Permitted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Acquisition</w:t>
      </w:r>
      <w:r>
        <w:rPr>
          <w:rFonts w:ascii="Arial" w:cs="Arial" w:eastAsia="Arial" w:hAnsi="Arial"/>
          <w:sz w:val="18"/>
          <w:szCs w:val="18"/>
          <w:color w:val="auto"/>
        </w:rPr>
        <w:t>”.</w:t>
      </w:r>
    </w:p>
    <w:p>
      <w:pPr>
        <w:spacing w:after="0" w:line="170" w:lineRule="exact"/>
        <w:rPr>
          <w:sz w:val="20"/>
          <w:szCs w:val="20"/>
          <w:color w:val="auto"/>
        </w:rPr>
      </w:pPr>
    </w:p>
    <w:p>
      <w:pPr>
        <w:ind w:left="2180" w:hanging="875"/>
        <w:spacing w:after="0"/>
        <w:tabs>
          <w:tab w:leader="none" w:pos="21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other Investments not to exceed $500,000 in the aggregate in any fiscal year;</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233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(1) Investments in Loan Parties in the form of capital contributions, dividends or intercompany loans, and (2) Investments in the form of capital contributions, dividends or intercompany loans in Subsidiaries that are not Loan Parties up to an aggregate amount outstanding at any time not to exceed $2,500,000, so long as the same are reasonably advisable or necessary;</w:t>
      </w:r>
    </w:p>
    <w:p>
      <w:pPr>
        <w:spacing w:after="0" w:line="181" w:lineRule="exact"/>
        <w:rPr>
          <w:rFonts w:ascii="Arial" w:cs="Arial" w:eastAsia="Arial" w:hAnsi="Arial"/>
          <w:sz w:val="18"/>
          <w:szCs w:val="18"/>
          <w:color w:val="auto"/>
        </w:rPr>
      </w:pPr>
    </w:p>
    <w:p>
      <w:pPr>
        <w:ind w:left="2240" w:hanging="935"/>
        <w:spacing w:after="0"/>
        <w:tabs>
          <w:tab w:leader="none" w:pos="22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Indemnification agreements in connection with contractual arrangements entered into in the ordinary course of business.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181" w:lineRule="exact"/>
        <w:rPr>
          <w:sz w:val="20"/>
          <w:szCs w:val="20"/>
          <w:color w:val="auto"/>
        </w:rPr>
      </w:pPr>
    </w:p>
    <w:p>
      <w:pPr>
        <w:jc w:val="both"/>
        <w:ind w:left="660" w:firstLine="645"/>
        <w:spacing w:after="0" w:line="264" w:lineRule="auto"/>
        <w:tabs>
          <w:tab w:leader="none" w:pos="222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any Subsidiary may merge with (i)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the continuing or surviving Person, or (ii) any one or more other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any Loan Party is merging with another Subsidiary, such Loan Party shall be the continuing or surviving Person;</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22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Loan Party may Dispose of all or substantially all of its assets (upon voluntary liquidation or otherwise) to the Borrower or to another Loan Party;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22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Subsidiary that is not a Loan Party may dispose of all or substantially all its assets (including any Disposition that is in the nature of a liquidation) to (i) another Subsidiary that is not a Loan Party or (ii) to a Loan Party.</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5"/>
          <w:szCs w:val="15"/>
          <w:u w:val="single" w:color="auto"/>
          <w:color w:val="auto"/>
        </w:rPr>
        <w:t>Sale of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Sell, lease or otherwise dispose of any of its properties or assets,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for (a) sales, leases or other dispositions in the ordinary course of business,</w:t>
      </w:r>
    </w:p>
    <w:p>
      <w:pPr>
        <w:spacing w:after="0" w:line="46" w:lineRule="exact"/>
        <w:rPr>
          <w:sz w:val="20"/>
          <w:szCs w:val="20"/>
          <w:color w:val="auto"/>
        </w:rPr>
      </w:pPr>
    </w:p>
    <w:p>
      <w:pPr>
        <w:jc w:val="both"/>
        <w:ind w:firstLine="8"/>
        <w:spacing w:after="0" w:line="254" w:lineRule="auto"/>
        <w:tabs>
          <w:tab w:leader="none" w:pos="27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sales, leases or other dispositions of obsolete or unusable property or assets (it being understood that customer lists, contracts, inventory and accounts receivable are excluded from this exception), (c) sales, leases or other dispositions of duplicative property or other assets acquired in connection with Permitted Acquisitions, and (d) sales, leases and other dispositions of other property and assets in an aggregate amount not to exceed $2,000,000 per fiscal year for the Borrower and all of its Subsidiaries.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7" w:name="page128"/>
    <w:bookmarkEnd w:id="127"/>
    <w:p>
      <w:pPr>
        <w:ind w:left="660"/>
        <w:spacing w:after="0"/>
        <w:tabs>
          <w:tab w:leader="none" w:pos="1400" w:val="left"/>
        </w:tabs>
        <w:rPr>
          <w:sz w:val="20"/>
          <w:szCs w:val="20"/>
          <w:color w:val="auto"/>
        </w:rPr>
      </w:pPr>
      <w:r>
        <w:rPr>
          <w:rFonts w:ascii="Arial" w:cs="Arial" w:eastAsia="Arial" w:hAnsi="Arial"/>
          <w:sz w:val="18"/>
          <w:szCs w:val="18"/>
          <w:color w:val="auto"/>
        </w:rPr>
        <w:t>7.06</w:t>
      </w:r>
      <w:r>
        <w:rPr>
          <w:sz w:val="20"/>
          <w:szCs w:val="20"/>
          <w:color w:val="auto"/>
        </w:rPr>
        <w:tab/>
      </w:r>
      <w:r>
        <w:rPr>
          <w:rFonts w:ascii="Arial" w:cs="Arial" w:eastAsia="Arial" w:hAnsi="Arial"/>
          <w:sz w:val="16"/>
          <w:szCs w:val="16"/>
          <w:u w:val="single" w:color="auto"/>
          <w:color w:val="auto"/>
        </w:rPr>
        <w:t>Restricted Payments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Declare or make, directly or indirectly, any Restricted Payment, or incur any obligation (contingent or otherwise) to do so, or issue or sell any Equity Interests or accept any capital contributions, except that, so long as no Default or Event of Default shall have occurred and be continuing at the time of any action described below or would result therefrom:</w:t>
      </w:r>
    </w:p>
    <w:p>
      <w:pPr>
        <w:spacing w:after="0" w:line="181" w:lineRule="exact"/>
        <w:rPr>
          <w:sz w:val="20"/>
          <w:szCs w:val="20"/>
          <w:color w:val="auto"/>
        </w:rPr>
      </w:pPr>
    </w:p>
    <w:p>
      <w:pPr>
        <w:jc w:val="both"/>
        <w:ind w:left="660" w:right="20" w:firstLine="645"/>
        <w:spacing w:after="0" w:line="264" w:lineRule="auto"/>
        <w:tabs>
          <w:tab w:leader="none" w:pos="222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Subsidiary may make Restricted Payments to the Borrower, any Subsidiaries of the Borrower that are Guarantors and any other Person that owns a direct Equity Interest in such Subsidiary, ratably according to their respective holdings of the type of Equity Interest in respect of which such Restricted Payment is being made;</w:t>
      </w:r>
    </w:p>
    <w:p>
      <w:pPr>
        <w:spacing w:after="0" w:line="181" w:lineRule="exact"/>
        <w:rPr>
          <w:rFonts w:ascii="Arial" w:cs="Arial" w:eastAsia="Arial" w:hAnsi="Arial"/>
          <w:sz w:val="18"/>
          <w:szCs w:val="18"/>
          <w:color w:val="auto"/>
        </w:rPr>
      </w:pPr>
    </w:p>
    <w:p>
      <w:pPr>
        <w:ind w:left="660" w:firstLine="645"/>
        <w:spacing w:after="0" w:line="277" w:lineRule="auto"/>
        <w:tabs>
          <w:tab w:leader="none" w:pos="250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Borrower and each Subsidiary may declare and make dividend payments or other distributions payable solely in the common stock or other common Equity Interests of such Person; and</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242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except to the extent the Net Cash Proceeds thereof are required to be applied to the prepayment of the Loans pursuant to </w:t>
      </w:r>
      <w:r>
        <w:rPr>
          <w:rFonts w:ascii="Arial" w:cs="Arial" w:eastAsia="Arial" w:hAnsi="Arial"/>
          <w:sz w:val="18"/>
          <w:szCs w:val="18"/>
          <w:u w:val="single" w:color="auto"/>
          <w:color w:val="auto"/>
        </w:rPr>
        <w:t>Section 2.05(b)(iii)</w:t>
      </w:r>
      <w:r>
        <w:rPr>
          <w:rFonts w:ascii="Arial" w:cs="Arial" w:eastAsia="Arial" w:hAnsi="Arial"/>
          <w:sz w:val="18"/>
          <w:szCs w:val="18"/>
          <w:color w:val="auto"/>
        </w:rPr>
        <w:t>, the Borrower and each Subsidiary may purchase, redeem or otherwise acquire its common Equity Interests with the proceeds received from the substantially concurrent issue of new common Equity Interests.</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7.07</w:t>
      </w:r>
      <w:r>
        <w:rPr>
          <w:sz w:val="20"/>
          <w:szCs w:val="20"/>
          <w:color w:val="auto"/>
        </w:rPr>
        <w:tab/>
      </w:r>
      <w:r>
        <w:rPr>
          <w:rFonts w:ascii="Arial" w:cs="Arial" w:eastAsia="Arial" w:hAnsi="Arial"/>
          <w:sz w:val="16"/>
          <w:szCs w:val="16"/>
          <w:u w:val="single" w:color="auto"/>
          <w:color w:val="auto"/>
        </w:rPr>
        <w:t>Change in Nature of Business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Engage in any material line of business substantially different from those lines of business conducted by the Borrower and its Subsidiaries on the date hereof or any business substantially related or incidental thereto.</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7.08</w:t>
      </w:r>
      <w:r>
        <w:rPr>
          <w:sz w:val="20"/>
          <w:szCs w:val="20"/>
          <w:color w:val="auto"/>
        </w:rPr>
        <w:tab/>
      </w:r>
      <w:r>
        <w:rPr>
          <w:rFonts w:ascii="Arial" w:cs="Arial" w:eastAsia="Arial" w:hAnsi="Arial"/>
          <w:sz w:val="16"/>
          <w:szCs w:val="16"/>
          <w:u w:val="single" w:color="auto"/>
          <w:color w:val="auto"/>
        </w:rPr>
        <w:t>Transactions with Affiliates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Enter into any transaction of any kind with any Affiliate of the Borrower, whether or not in the ordinary course of business, other than on fair and reasonable terms substantially as favorable to the Borrower or such Subsidiary as would be obtainable by the Borrower or such Subsidiary at the time in a comparable arm’s length transaction with a Person other than an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restriction shall not apply to transactions between or among the Loan Parties.</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7.09</w:t>
      </w:r>
      <w:r>
        <w:rPr>
          <w:sz w:val="20"/>
          <w:szCs w:val="20"/>
          <w:color w:val="auto"/>
        </w:rPr>
        <w:tab/>
      </w:r>
      <w:r>
        <w:rPr>
          <w:rFonts w:ascii="Arial" w:cs="Arial" w:eastAsia="Arial" w:hAnsi="Arial"/>
          <w:sz w:val="16"/>
          <w:szCs w:val="16"/>
          <w:u w:val="single" w:color="auto"/>
          <w:color w:val="auto"/>
        </w:rPr>
        <w:t>Burdensome Agreements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Enter into or permit to exist any Contractual Obligation (other than this Agreement or any other Loan Document) that (a) limits the ability (i) of any Subsidiary to make Restricted Payments to the Borrower or any Guarantor or to otherwise transfer property to or invest in the Borrower or any Guarantor, except for any agreement in effect (A) on the date hereof and set forth on </w:t>
      </w:r>
      <w:r>
        <w:rPr>
          <w:rFonts w:ascii="Arial" w:cs="Arial" w:eastAsia="Arial" w:hAnsi="Arial"/>
          <w:sz w:val="16"/>
          <w:szCs w:val="16"/>
          <w:u w:val="single" w:color="auto"/>
          <w:color w:val="auto"/>
        </w:rPr>
        <w:t>Schedule 7.09</w:t>
      </w:r>
      <w:r>
        <w:rPr>
          <w:rFonts w:ascii="Arial" w:cs="Arial" w:eastAsia="Arial" w:hAnsi="Arial"/>
          <w:sz w:val="16"/>
          <w:szCs w:val="16"/>
          <w:color w:val="auto"/>
        </w:rPr>
        <w:t xml:space="preserve"> or (B) at the time any Subsidiary becomes a Subsidiary of the Borrower, so long as such agreement was not entered into solely in contemplation of such Person becoming a Subsidiary of the Borrower, (ii) of any Subsidiary to Guarantee the Indebtedness of the Borrower or (iii) of the Borrower or any Subsidiary to create, incur, assume or suffer to exist Liens on property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clause (iii) shall not prohibit any negative pledge incurred or provided in favor of any holder of Indebtedness permitted under </w:t>
      </w:r>
      <w:r>
        <w:rPr>
          <w:rFonts w:ascii="Arial" w:cs="Arial" w:eastAsia="Arial" w:hAnsi="Arial"/>
          <w:sz w:val="16"/>
          <w:szCs w:val="16"/>
          <w:u w:val="single" w:color="auto"/>
          <w:color w:val="auto"/>
        </w:rPr>
        <w:t>Section 7.02(i)</w:t>
      </w:r>
      <w:r>
        <w:rPr>
          <w:rFonts w:ascii="Arial" w:cs="Arial" w:eastAsia="Arial" w:hAnsi="Arial"/>
          <w:sz w:val="16"/>
          <w:szCs w:val="16"/>
          <w:color w:val="auto"/>
        </w:rPr>
        <w:t xml:space="preserve"> solely to the extent any such negative pledge relates to the property financed by or the subject of such Indebtedness; or (b) requires the grant of a Lien to secure an obligation of such Person if a Lien is granted to secure another obligation of such Person.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8" w:name="page129"/>
    <w:bookmarkEnd w:id="128"/>
    <w:p>
      <w:pPr>
        <w:ind w:left="660"/>
        <w:spacing w:after="0"/>
        <w:tabs>
          <w:tab w:leader="none" w:pos="140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5"/>
          <w:szCs w:val="15"/>
          <w:u w:val="single" w:color="auto"/>
          <w:color w:val="auto"/>
        </w:rPr>
        <w:t>Use of Proceeds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u w:val="single" w:color="auto"/>
          <w:color w:val="auto"/>
        </w:rPr>
        <w:t>Financial Covenants</w:t>
      </w:r>
    </w:p>
    <w:p>
      <w:pPr>
        <w:spacing w:after="0" w:line="225" w:lineRule="exact"/>
        <w:rPr>
          <w:sz w:val="20"/>
          <w:szCs w:val="20"/>
          <w:color w:val="auto"/>
        </w:rPr>
      </w:pPr>
    </w:p>
    <w:p>
      <w:pPr>
        <w:jc w:val="both"/>
        <w:ind w:left="660" w:firstLine="645"/>
        <w:spacing w:after="0" w:line="264" w:lineRule="auto"/>
        <w:tabs>
          <w:tab w:leader="none" w:pos="2336"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Maximum Leverage Ratio</w:t>
      </w:r>
      <w:r>
        <w:rPr>
          <w:rFonts w:ascii="Arial" w:cs="Arial" w:eastAsia="Arial" w:hAnsi="Arial"/>
          <w:sz w:val="18"/>
          <w:szCs w:val="18"/>
          <w:color w:val="auto"/>
        </w:rPr>
        <w:t>. As of the last day of any fiscal quarter, the ratio of (i) Total Funded Debt of the Borrower and its Subsidiaries as of the last day of such fiscal quarter, to (ii) the Borrower’s and its Subsidiaries’ consolidated Adjusted EBITDA for the period of four consecutive fiscal quarters ending on the last day of such fiscal quarter to be more than 2.50:1.00.</w:t>
      </w:r>
    </w:p>
    <w:p>
      <w:pPr>
        <w:spacing w:after="0" w:line="181" w:lineRule="exact"/>
        <w:rPr>
          <w:rFonts w:ascii="Arial" w:cs="Arial" w:eastAsia="Arial" w:hAnsi="Arial"/>
          <w:sz w:val="18"/>
          <w:szCs w:val="18"/>
          <w:color w:val="auto"/>
        </w:rPr>
      </w:pPr>
    </w:p>
    <w:p>
      <w:pPr>
        <w:jc w:val="both"/>
        <w:ind w:left="660" w:firstLine="645"/>
        <w:spacing w:after="0" w:line="255" w:lineRule="auto"/>
        <w:tabs>
          <w:tab w:leader="none" w:pos="222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Minimum Fixed Charge Coverage Ratio</w:t>
      </w:r>
      <w:r>
        <w:rPr>
          <w:rFonts w:ascii="Arial" w:cs="Arial" w:eastAsia="Arial" w:hAnsi="Arial"/>
          <w:sz w:val="18"/>
          <w:szCs w:val="18"/>
          <w:color w:val="auto"/>
        </w:rPr>
        <w:t>. As of the last day of any fiscal quarter, commencing with the fiscal quarter ending on March 31, 2017, and the last day of each fiscal quarter thereafter, the ratio of (i) consolidated Adjusted EBITDA of the Borrower and its Subsidiaries for the four-quarter period ending on the last day of such fiscal quarter, minus, (x) aggregate cash capital expenditures, minus (y) cash taxes paid, each of (x) and (y) for the four-quarter period ending on the last day such fiscal quarter, to (ii) the current portion of Funded Debt other than the Total Revolving Credit Outstandings, as of the last day of such fiscal quarter, plus (without duplication) Interest Expense during such trailing four (4) fiscal quarters, to be less than 1.25:1.00.</w:t>
      </w:r>
    </w:p>
    <w:p>
      <w:pPr>
        <w:spacing w:after="0" w:line="193" w:lineRule="exact"/>
        <w:rPr>
          <w:rFonts w:ascii="Arial" w:cs="Arial" w:eastAsia="Arial" w:hAnsi="Arial"/>
          <w:sz w:val="18"/>
          <w:szCs w:val="18"/>
          <w:color w:val="auto"/>
        </w:rPr>
      </w:pPr>
    </w:p>
    <w:p>
      <w:pPr>
        <w:ind w:left="2220" w:hanging="915"/>
        <w:spacing w:after="0"/>
        <w:tabs>
          <w:tab w:leader="none" w:pos="222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Minimum Working Capital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653"/>
        <w:spacing w:after="0" w:line="264" w:lineRule="auto"/>
        <w:tabs>
          <w:tab w:leader="none" w:pos="256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As of the last day of any fiscal quarter, permit their Working Capital to be less than the aggregate outstanding principal balance of the sum of (i) the aggregate outstanding principal amount of the Term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outstanding amount of the Revolving Credit Loans;</w:t>
      </w:r>
    </w:p>
    <w:p>
      <w:pPr>
        <w:spacing w:after="0" w:line="181" w:lineRule="exact"/>
        <w:rPr>
          <w:rFonts w:ascii="Arial" w:cs="Arial" w:eastAsia="Arial" w:hAnsi="Arial"/>
          <w:sz w:val="18"/>
          <w:szCs w:val="18"/>
          <w:color w:val="auto"/>
        </w:rPr>
      </w:pPr>
    </w:p>
    <w:p>
      <w:pPr>
        <w:jc w:val="both"/>
        <w:ind w:left="1300" w:firstLine="653"/>
        <w:spacing w:after="0" w:line="342" w:lineRule="auto"/>
        <w:tabs>
          <w:tab w:leader="none" w:pos="255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For any Subsidiary whose Eligible Receivables and Eligible Inventory exceed $1,000,000 in the calculation of minimum Working Capital pursuant to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hereof, the Administrative Agent shall have received the following with respect to such Subsidiary:</w:t>
      </w:r>
    </w:p>
    <w:p>
      <w:pPr>
        <w:spacing w:after="0" w:line="123" w:lineRule="exact"/>
        <w:rPr>
          <w:rFonts w:ascii="Arial" w:cs="Arial" w:eastAsia="Arial" w:hAnsi="Arial"/>
          <w:sz w:val="16"/>
          <w:szCs w:val="16"/>
          <w:color w:val="auto"/>
        </w:rPr>
      </w:pPr>
    </w:p>
    <w:p>
      <w:pPr>
        <w:ind w:left="1960" w:right="20" w:firstLine="641"/>
        <w:spacing w:after="0" w:line="277" w:lineRule="auto"/>
        <w:tabs>
          <w:tab w:leader="none" w:pos="3128" w:val="left"/>
        </w:tabs>
        <w:numPr>
          <w:ilvl w:val="2"/>
          <w:numId w:val="147"/>
        </w:numPr>
        <w:rPr>
          <w:rFonts w:ascii="Arial" w:cs="Arial" w:eastAsia="Arial" w:hAnsi="Arial"/>
          <w:sz w:val="18"/>
          <w:szCs w:val="18"/>
          <w:color w:val="auto"/>
        </w:rPr>
      </w:pPr>
      <w:r>
        <w:rPr>
          <w:rFonts w:ascii="Arial" w:cs="Arial" w:eastAsia="Arial" w:hAnsi="Arial"/>
          <w:sz w:val="18"/>
          <w:szCs w:val="18"/>
          <w:color w:val="auto"/>
        </w:rPr>
        <w:t>satisfactory lien, tax and judgment searches confirming the absence of any liens, claims, charges or encumbrances of any nature on any Accounts of such Subsidiary;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9" w:name="page130"/>
    <w:bookmarkEnd w:id="129"/>
    <w:p>
      <w:pPr>
        <w:jc w:val="both"/>
        <w:ind w:left="1960" w:firstLine="641"/>
        <w:spacing w:after="0" w:line="264" w:lineRule="auto"/>
        <w:tabs>
          <w:tab w:leader="none" w:pos="333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certified copies of the charter documents and by-laws of each such Subsidiary, together with certificates of appropriate governmental authorities as to the corporate good standing of such Subsidiaries (to the extent such documents and certificates are available in the applicable jurisdiction).</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5"/>
          <w:szCs w:val="15"/>
          <w:u w:val="single" w:color="auto"/>
          <w:color w:val="auto"/>
        </w:rPr>
        <w:t>Reserved</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u w:val="single" w:color="auto"/>
          <w:color w:val="auto"/>
        </w:rPr>
        <w:t>Amendments of Organization Documents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Amend any of its Organization Documents in any material respect in a manner that is adverse to the rights or remedies of the Administrative Agent or the Lenders, without the prior written consent of the Administrative Agent (not to be unreasonably withheld).</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6"/>
          <w:szCs w:val="16"/>
          <w:u w:val="single" w:color="auto"/>
          <w:color w:val="auto"/>
        </w:rPr>
        <w:t>Accounting Changes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Make any change in (a) accounting policies or reporting practices, except as required by GAAP, or (b) fiscal year.</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5"/>
          <w:szCs w:val="15"/>
          <w:u w:val="single" w:color="auto"/>
          <w:color w:val="auto"/>
        </w:rPr>
        <w:t>Prepayments, Etc. of Indebtedness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Prepay, redeem, purchase, defease or otherwise satisfy prior to the scheduled maturity thereof in any manner, or make any payment in violation of any subordination terms of, any Indebtedness, except (a) the prepayment of the Credit Extensions in accordance with the terms of this Agreement and</w:t>
      </w:r>
    </w:p>
    <w:p>
      <w:pPr>
        <w:ind w:firstLine="8"/>
        <w:spacing w:after="0" w:line="261" w:lineRule="auto"/>
        <w:tabs>
          <w:tab w:leader="none" w:pos="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regularly scheduled or required repayments or redemptions of Indebtedness set forth in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and refinancings and refundings of such Indebtedness in compliance with </w:t>
      </w:r>
      <w:r>
        <w:rPr>
          <w:rFonts w:ascii="Arial" w:cs="Arial" w:eastAsia="Arial" w:hAnsi="Arial"/>
          <w:sz w:val="18"/>
          <w:szCs w:val="18"/>
          <w:u w:val="single" w:color="auto"/>
          <w:color w:val="auto"/>
        </w:rPr>
        <w:t>Section 7.02(g)</w:t>
      </w:r>
      <w:r>
        <w:rPr>
          <w:rFonts w:ascii="Arial" w:cs="Arial" w:eastAsia="Arial" w:hAnsi="Arial"/>
          <w:sz w:val="18"/>
          <w:szCs w:val="18"/>
          <w:color w:val="auto"/>
        </w:rPr>
        <w:t>.</w:t>
      </w:r>
    </w:p>
    <w:p>
      <w:pPr>
        <w:spacing w:after="0" w:line="18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5"/>
          <w:szCs w:val="15"/>
          <w:u w:val="single" w:color="auto"/>
          <w:color w:val="auto"/>
        </w:rPr>
        <w:t>Sanctions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Directly or indirectly, use the proceeds of any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L/C Issuer, or otherwise) of Sanctions.</w:t>
      </w:r>
    </w:p>
    <w:p>
      <w:pPr>
        <w:spacing w:after="0" w:line="15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7"/>
          <w:szCs w:val="17"/>
          <w:u w:val="single" w:color="auto"/>
          <w:color w:val="auto"/>
        </w:rPr>
        <w:t>Anti-Corruption Laws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Directly or indirectly use the proceeds of any Credit Extension for any purpose which would breach the United States Foreign Corrupt Practices Act of 1977, the UK Bribery Act 2010, and other similar anti-corruption legislation in other jurisdictions.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0" w:name="page131"/>
    <w:bookmarkEnd w:id="130"/>
    <w:p>
      <w:pPr>
        <w:jc w:val="center"/>
        <w:ind w:right="636"/>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636"/>
        <w:spacing w:after="0"/>
        <w:rPr>
          <w:sz w:val="20"/>
          <w:szCs w:val="20"/>
          <w:color w:val="auto"/>
        </w:rPr>
      </w:pPr>
      <w:r>
        <w:rPr>
          <w:rFonts w:ascii="Arial" w:cs="Arial" w:eastAsia="Arial" w:hAnsi="Arial"/>
          <w:sz w:val="18"/>
          <w:szCs w:val="18"/>
          <w:color w:val="auto"/>
        </w:rPr>
        <w:t>EVENTS OF DEFAULT AND REMEDIES</w:t>
      </w:r>
    </w:p>
    <w:p>
      <w:pPr>
        <w:spacing w:after="0" w:line="211" w:lineRule="exact"/>
        <w:rPr>
          <w:sz w:val="20"/>
          <w:szCs w:val="20"/>
          <w:color w:val="auto"/>
        </w:rPr>
      </w:pPr>
    </w:p>
    <w:p>
      <w:pPr>
        <w:ind w:left="4"/>
        <w:spacing w:after="0"/>
        <w:tabs>
          <w:tab w:leader="none" w:pos="743"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u w:val="single" w:color="auto"/>
          <w:color w:val="auto"/>
        </w:rPr>
        <w:t>Events of Default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Any of the following shall constitute an Event of Default:</w:t>
      </w:r>
    </w:p>
    <w:p>
      <w:pPr>
        <w:spacing w:after="0" w:line="225" w:lineRule="exact"/>
        <w:rPr>
          <w:sz w:val="20"/>
          <w:szCs w:val="20"/>
          <w:color w:val="auto"/>
        </w:rPr>
      </w:pPr>
    </w:p>
    <w:p>
      <w:pPr>
        <w:jc w:val="both"/>
        <w:ind w:left="4" w:firstLine="645"/>
        <w:spacing w:after="0" w:line="259" w:lineRule="auto"/>
        <w:tabs>
          <w:tab w:leader="none" w:pos="1662"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The Borrower or any other Loan Party fails to (i) pay when and as required to be paid herein, any amount of principal of any Loan or any L/C Obligation or deposit any funds as Cash Collateral in respect of L/C Obligations, or (ii) pay within three days after the same becomes due, any interest on any Loan or on any L/C Obligation, or any fee due hereunder, or (iii) pay within five days after the same becomes due, any other amount payable hereunder or under any other Loan Document; or</w:t>
      </w:r>
    </w:p>
    <w:p>
      <w:pPr>
        <w:spacing w:after="0" w:line="186" w:lineRule="exact"/>
        <w:rPr>
          <w:rFonts w:ascii="Arial" w:cs="Arial" w:eastAsia="Arial" w:hAnsi="Arial"/>
          <w:sz w:val="18"/>
          <w:szCs w:val="18"/>
          <w:color w:val="auto"/>
        </w:rPr>
      </w:pPr>
    </w:p>
    <w:p>
      <w:pPr>
        <w:jc w:val="both"/>
        <w:ind w:left="4" w:firstLine="645"/>
        <w:spacing w:after="0" w:line="259" w:lineRule="auto"/>
        <w:tabs>
          <w:tab w:leader="none" w:pos="1609"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xml:space="preserve">. (i) The Borrower fails to perform or observe any term, covenant or agreement contained in any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w:t>
      </w:r>
      <w:r>
        <w:rPr>
          <w:rFonts w:ascii="Arial" w:cs="Arial" w:eastAsia="Arial" w:hAnsi="Arial"/>
          <w:sz w:val="18"/>
          <w:szCs w:val="18"/>
          <w:u w:val="single" w:color="auto"/>
          <w:color w:val="auto"/>
        </w:rPr>
        <w:t>6.05</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w:t>
      </w:r>
      <w:r>
        <w:rPr>
          <w:rFonts w:ascii="Arial" w:cs="Arial" w:eastAsia="Arial" w:hAnsi="Arial"/>
          <w:sz w:val="18"/>
          <w:szCs w:val="18"/>
          <w:u w:val="single" w:color="auto"/>
          <w:color w:val="auto"/>
        </w:rPr>
        <w:t>6.14</w:t>
      </w:r>
      <w:r>
        <w:rPr>
          <w:rFonts w:ascii="Arial" w:cs="Arial" w:eastAsia="Arial" w:hAnsi="Arial"/>
          <w:sz w:val="18"/>
          <w:szCs w:val="18"/>
          <w:color w:val="auto"/>
        </w:rPr>
        <w:t xml:space="preserve">, </w:t>
      </w:r>
      <w:r>
        <w:rPr>
          <w:rFonts w:ascii="Arial" w:cs="Arial" w:eastAsia="Arial" w:hAnsi="Arial"/>
          <w:sz w:val="18"/>
          <w:szCs w:val="18"/>
          <w:u w:val="single" w:color="auto"/>
          <w:color w:val="auto"/>
        </w:rPr>
        <w:t>6.17</w:t>
      </w:r>
      <w:r>
        <w:rPr>
          <w:rFonts w:ascii="Arial" w:cs="Arial" w:eastAsia="Arial" w:hAnsi="Arial"/>
          <w:sz w:val="18"/>
          <w:szCs w:val="18"/>
          <w:color w:val="auto"/>
        </w:rPr>
        <w:t xml:space="preserve">, </w:t>
      </w:r>
      <w:r>
        <w:rPr>
          <w:rFonts w:ascii="Arial" w:cs="Arial" w:eastAsia="Arial" w:hAnsi="Arial"/>
          <w:sz w:val="18"/>
          <w:szCs w:val="18"/>
          <w:u w:val="single" w:color="auto"/>
          <w:color w:val="auto"/>
        </w:rPr>
        <w:t>6.18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(ii) any of the Guarantors fails to perform or observe any term, covenant or agreement contained in the Guaranty or (iii) any of the Loan Parties fails to perform or observe any term, covenant or agreement contained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the Security Agreement; or</w:t>
      </w:r>
    </w:p>
    <w:p>
      <w:pPr>
        <w:spacing w:after="0" w:line="186" w:lineRule="exact"/>
        <w:rPr>
          <w:rFonts w:ascii="Arial" w:cs="Arial" w:eastAsia="Arial" w:hAnsi="Arial"/>
          <w:sz w:val="18"/>
          <w:szCs w:val="18"/>
          <w:color w:val="auto"/>
        </w:rPr>
      </w:pPr>
    </w:p>
    <w:p>
      <w:pPr>
        <w:ind w:left="1524" w:hanging="875"/>
        <w:spacing w:after="0"/>
        <w:tabs>
          <w:tab w:leader="none" w:pos="1524" w:val="left"/>
        </w:tabs>
        <w:numPr>
          <w:ilvl w:val="1"/>
          <w:numId w:val="150"/>
        </w:numPr>
        <w:rPr>
          <w:rFonts w:ascii="Arial" w:cs="Arial" w:eastAsia="Arial" w:hAnsi="Arial"/>
          <w:sz w:val="16"/>
          <w:szCs w:val="16"/>
          <w:color w:val="auto"/>
        </w:rPr>
      </w:pPr>
      <w:r>
        <w:rPr>
          <w:rFonts w:ascii="Arial" w:cs="Arial" w:eastAsia="Arial" w:hAnsi="Arial"/>
          <w:sz w:val="16"/>
          <w:szCs w:val="16"/>
          <w:u w:val="single" w:color="auto"/>
          <w:color w:val="auto"/>
        </w:rPr>
        <w:t>Other Defaults</w:t>
      </w:r>
      <w:r>
        <w:rPr>
          <w:rFonts w:ascii="Arial" w:cs="Arial" w:eastAsia="Arial" w:hAnsi="Arial"/>
          <w:sz w:val="16"/>
          <w:szCs w:val="16"/>
          <w:color w:val="auto"/>
        </w:rPr>
        <w:t xml:space="preserve">. Any Loan Party fails to perform or observe any other covenant or agreement (not specified in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or</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151"/>
        </w:numPr>
        <w:rPr>
          <w:rFonts w:ascii="Arial" w:cs="Arial" w:eastAsia="Arial" w:hAnsi="Arial"/>
          <w:sz w:val="18"/>
          <w:szCs w:val="18"/>
          <w:u w:val="single" w:color="auto"/>
          <w:color w:val="auto"/>
        </w:rPr>
      </w:pPr>
      <w:r>
        <w:rPr>
          <w:rFonts w:ascii="Arial" w:cs="Arial" w:eastAsia="Arial" w:hAnsi="Arial"/>
          <w:sz w:val="18"/>
          <w:szCs w:val="18"/>
          <w:color w:val="auto"/>
        </w:rPr>
        <w:t>above) contained in any Loan Document on its part to be performed or observed and such failure continues for 30 days; or</w:t>
      </w:r>
    </w:p>
    <w:p>
      <w:pPr>
        <w:spacing w:after="0" w:line="210" w:lineRule="exact"/>
        <w:rPr>
          <w:rFonts w:ascii="Arial" w:cs="Arial" w:eastAsia="Arial" w:hAnsi="Arial"/>
          <w:sz w:val="18"/>
          <w:szCs w:val="18"/>
          <w:u w:val="single" w:color="auto"/>
          <w:color w:val="auto"/>
        </w:rPr>
      </w:pPr>
    </w:p>
    <w:p>
      <w:pPr>
        <w:jc w:val="both"/>
        <w:ind w:left="4" w:firstLine="645"/>
        <w:spacing w:after="0" w:line="264" w:lineRule="auto"/>
        <w:tabs>
          <w:tab w:leader="none" w:pos="1582"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when made or deemed made; or</w:t>
      </w:r>
    </w:p>
    <w:p>
      <w:pPr>
        <w:spacing w:after="0" w:line="181" w:lineRule="exact"/>
        <w:rPr>
          <w:rFonts w:ascii="Arial" w:cs="Arial" w:eastAsia="Arial" w:hAnsi="Arial"/>
          <w:sz w:val="18"/>
          <w:szCs w:val="18"/>
          <w:color w:val="auto"/>
        </w:rPr>
      </w:pPr>
    </w:p>
    <w:p>
      <w:pPr>
        <w:jc w:val="both"/>
        <w:ind w:left="4" w:firstLine="645"/>
        <w:spacing w:after="0" w:line="286" w:lineRule="auto"/>
        <w:tabs>
          <w:tab w:leader="none" w:pos="1585"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Any Loan Party or any Subsidiary thereof (A) fails to make any payment when due after giving effect to any applicable grace period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after giving effect to any applicable grace period,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such Loan Party or such Subsidiary as a result thereof is greater than the Threshold Amount; or</w:t>
      </w:r>
    </w:p>
    <w:p>
      <w:pPr>
        <w:spacing w:after="0" w:line="385"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431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31" w:name="page132"/>
    <w:bookmarkEnd w:id="131"/>
    <w:p>
      <w:pPr>
        <w:jc w:val="both"/>
        <w:ind w:left="-540" w:firstLine="645"/>
        <w:spacing w:after="0" w:line="272" w:lineRule="auto"/>
        <w:tabs>
          <w:tab w:leader="none" w:pos="1341"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Insolvency Proceedings, Etc</w:t>
      </w:r>
      <w:r>
        <w:rPr>
          <w:rFonts w:ascii="Arial" w:cs="Arial" w:eastAsia="Arial" w:hAnsi="Arial"/>
          <w:sz w:val="17"/>
          <w:szCs w:val="17"/>
          <w:color w:val="auto"/>
        </w:rPr>
        <w:t>. Any Loan Party or any Subsidiary thereof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77" w:lineRule="exact"/>
        <w:rPr>
          <w:rFonts w:ascii="Arial" w:cs="Arial" w:eastAsia="Arial" w:hAnsi="Arial"/>
          <w:sz w:val="17"/>
          <w:szCs w:val="17"/>
          <w:color w:val="auto"/>
        </w:rPr>
      </w:pPr>
    </w:p>
    <w:p>
      <w:pPr>
        <w:jc w:val="both"/>
        <w:ind w:left="-540" w:right="20" w:firstLine="645"/>
        <w:spacing w:after="0" w:line="259" w:lineRule="auto"/>
        <w:tabs>
          <w:tab w:leader="none" w:pos="1209"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Any Loan Party or any Subsidiary thereof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186" w:lineRule="exact"/>
        <w:rPr>
          <w:rFonts w:ascii="Arial" w:cs="Arial" w:eastAsia="Arial" w:hAnsi="Arial"/>
          <w:sz w:val="18"/>
          <w:szCs w:val="18"/>
          <w:color w:val="auto"/>
        </w:rPr>
      </w:pPr>
    </w:p>
    <w:p>
      <w:pPr>
        <w:jc w:val="both"/>
        <w:ind w:left="-540" w:firstLine="645"/>
        <w:spacing w:after="0" w:line="302" w:lineRule="auto"/>
        <w:tabs>
          <w:tab w:leader="none" w:pos="1191"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Judgments</w:t>
      </w:r>
      <w:r>
        <w:rPr>
          <w:rFonts w:ascii="Arial" w:cs="Arial" w:eastAsia="Arial" w:hAnsi="Arial"/>
          <w:sz w:val="16"/>
          <w:szCs w:val="16"/>
          <w:color w:val="auto"/>
        </w:rPr>
        <w:t>. There is entered against any Loan Party or any Subsidiary thereof (i) one or more final judgments or orders that have, or could reasonably be expected to have, individually or in the aggregate, a Material Adverse Effect and, in either case, (A) enforcement proceedings are commenced by any creditor upon such judgment or order, or (B) there is a period of 60 consecutive days during which a stay of enforcement of such judgment, by reason of a pending appeal or otherwise, is not in effect or such judgment has not been discharged; or</w:t>
      </w:r>
    </w:p>
    <w:p>
      <w:pPr>
        <w:spacing w:after="0" w:line="154" w:lineRule="exact"/>
        <w:rPr>
          <w:rFonts w:ascii="Arial" w:cs="Arial" w:eastAsia="Arial" w:hAnsi="Arial"/>
          <w:sz w:val="16"/>
          <w:szCs w:val="16"/>
          <w:color w:val="auto"/>
        </w:rPr>
      </w:pPr>
    </w:p>
    <w:p>
      <w:pPr>
        <w:jc w:val="both"/>
        <w:ind w:left="-540" w:firstLine="645"/>
        <w:spacing w:after="0" w:line="257" w:lineRule="auto"/>
        <w:tabs>
          <w:tab w:leader="none" w:pos="1354"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could reasonably be expected to result in liability of the Borrower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32" w:name="page133"/>
    <w:bookmarkEnd w:id="132"/>
    <w:p>
      <w:pPr>
        <w:jc w:val="both"/>
        <w:ind w:left="660" w:firstLine="645"/>
        <w:spacing w:after="0" w:line="257" w:lineRule="auto"/>
        <w:tabs>
          <w:tab w:leader="none" w:pos="2248"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provision of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w:t>
      </w:r>
    </w:p>
    <w:p>
      <w:pPr>
        <w:spacing w:after="0" w:line="188" w:lineRule="exact"/>
        <w:rPr>
          <w:rFonts w:ascii="Arial" w:cs="Arial" w:eastAsia="Arial" w:hAnsi="Arial"/>
          <w:sz w:val="18"/>
          <w:szCs w:val="18"/>
          <w:color w:val="auto"/>
        </w:rPr>
      </w:pPr>
    </w:p>
    <w:p>
      <w:pPr>
        <w:ind w:left="2280" w:hanging="975"/>
        <w:spacing w:after="0"/>
        <w:tabs>
          <w:tab w:leader="none" w:pos="22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2252"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Any Collateral Document after delivery thereof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shall for any reason (other than pursuant to the terms thereof) cease to create a valid and perfected first priority Lien (subject to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on the Collateral purported to be covered thereby, other than if such failure of perfection is due to the Administrative Agent’s failure to file properly or properly file any applicable continuations; or</w:t>
      </w:r>
    </w:p>
    <w:p>
      <w:pPr>
        <w:spacing w:after="0" w:line="186" w:lineRule="exact"/>
        <w:rPr>
          <w:rFonts w:ascii="Arial" w:cs="Arial" w:eastAsia="Arial" w:hAnsi="Arial"/>
          <w:sz w:val="18"/>
          <w:szCs w:val="18"/>
          <w:color w:val="auto"/>
        </w:rPr>
      </w:pPr>
    </w:p>
    <w:p>
      <w:pPr>
        <w:ind w:left="660" w:right="20" w:firstLine="645"/>
        <w:spacing w:after="0" w:line="277" w:lineRule="auto"/>
        <w:tabs>
          <w:tab w:leader="none" w:pos="243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Borrower is enjoined, restrained, or in any material way prevented by the order of any Governmental Authority from conducting all, or any material part of, its business and such order is not stayed or revoked within five (5) days.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If any Event of Default occurs and is continuing, the Administrative Agent shall, at the request of, or may, with the consent of, the Required Lenders, take any or all of the following actions:</w:t>
      </w:r>
    </w:p>
    <w:p>
      <w:pPr>
        <w:spacing w:after="0" w:line="170" w:lineRule="exact"/>
        <w:rPr>
          <w:sz w:val="20"/>
          <w:szCs w:val="20"/>
          <w:color w:val="auto"/>
        </w:rPr>
      </w:pPr>
    </w:p>
    <w:p>
      <w:pPr>
        <w:ind w:left="660" w:firstLine="645"/>
        <w:spacing w:after="0" w:line="277" w:lineRule="auto"/>
        <w:tabs>
          <w:tab w:leader="none" w:pos="226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the L/C Issuer to make L/C Credit Extensions to be terminated, whereupon such commitments and obligation shall be terminated;</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234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81" w:lineRule="exact"/>
        <w:rPr>
          <w:rFonts w:ascii="Arial" w:cs="Arial" w:eastAsia="Arial" w:hAnsi="Arial"/>
          <w:sz w:val="18"/>
          <w:szCs w:val="18"/>
          <w:color w:val="auto"/>
        </w:rPr>
      </w:pPr>
    </w:p>
    <w:p>
      <w:pPr>
        <w:ind w:left="2220" w:hanging="915"/>
        <w:spacing w:after="0"/>
        <w:tabs>
          <w:tab w:leader="none" w:pos="22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require that the Borrower Cash Collateralize the L/C Obligations (in an amount equal to the then Outstanding Amount thereof);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firstLine="645"/>
        <w:spacing w:after="0" w:line="277" w:lineRule="auto"/>
        <w:tabs>
          <w:tab w:leader="none" w:pos="219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exercise on behalf of itself, the Lenders and the L/C Issuer all rights and remedies available to it, the Lenders and the L/C Issuer under the Loan Documents;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occurrence of an actual or deemed entry of an order for relief with respect to the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3" w:name="page134"/>
    <w:bookmarkEnd w:id="133"/>
    <w:p>
      <w:pPr>
        <w:jc w:val="both"/>
        <w:ind w:firstLine="648"/>
        <w:spacing w:after="0" w:line="264" w:lineRule="auto"/>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Application of Funds</w:t>
      </w:r>
      <w:r>
        <w:rPr>
          <w:rFonts w:ascii="Arial" w:cs="Arial" w:eastAsia="Arial" w:hAnsi="Arial"/>
          <w:sz w:val="18"/>
          <w:szCs w:val="18"/>
          <w:color w:val="auto"/>
        </w:rPr>
        <w:t xml:space="preserve">. After the exercise of remedies provided for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any amounts received on account of the Obligations shall be applied by the Administrative Agent in the following order:</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 payable to the Administrative Agent in its capacity as such;</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arising under the Loan Documents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L/C Borrowings and Obligations then owing under Secured Hedge Agreements and Secured Cash Management Agreements, ratably among the Lenders, the L/C Issuer, the Hedge Banks and the Cash Management Banks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the Administrative Agent for the account of the L/C Issuer, to Cash Collateralize that portion of L/C Obligations comprised of the aggregate undrawn amount of Letters of Credit;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the balance, if any, after all of the Obligations have been indefeasibly paid in full, to the Borrower or as otherwise required by Law.</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amounts used to Cash Collateralize the aggregate undrawn amount of Letters of Credit pursuant to clause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the Credit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hereof for itself and its Affiliates as if a “Lender” party hereto.</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9.01 </w:t>
      </w:r>
      <w:r>
        <w:rPr>
          <w:rFonts w:ascii="Arial" w:cs="Arial" w:eastAsia="Arial" w:hAnsi="Arial"/>
          <w:sz w:val="17"/>
          <w:szCs w:val="17"/>
          <w:u w:val="single" w:color="auto"/>
          <w:color w:val="auto"/>
        </w:rPr>
        <w:t>Appointment and Authority</w:t>
      </w:r>
      <w:r>
        <w:rPr>
          <w:rFonts w:ascii="Arial" w:cs="Arial" w:eastAsia="Arial" w:hAnsi="Arial"/>
          <w:sz w:val="17"/>
          <w:szCs w:val="17"/>
          <w:color w:val="auto"/>
        </w:rPr>
        <w:t>. (a) Each of the Lenders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neither the Borrower nor any other Loan Party shall have rights as a third party beneficiary of any of such provisions.</w:t>
      </w:r>
    </w:p>
    <w:p>
      <w:pPr>
        <w:spacing w:after="0" w:line="173" w:lineRule="exact"/>
        <w:rPr>
          <w:sz w:val="20"/>
          <w:szCs w:val="20"/>
          <w:color w:val="auto"/>
        </w:rPr>
      </w:pPr>
    </w:p>
    <w:p>
      <w:pPr>
        <w:jc w:val="both"/>
        <w:ind w:left="660" w:firstLine="645"/>
        <w:spacing w:after="0" w:line="289" w:lineRule="auto"/>
        <w:tabs>
          <w:tab w:leader="none" w:pos="219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Administrative Agent shall also act as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xml:space="preserve">” under the Loan Documents, and each of the Lenders (including in its capacities as a potential Hedge Bank and a potential Cash Management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11.04(c)</w:t>
      </w:r>
      <w:r>
        <w:rPr>
          <w:rFonts w:ascii="Arial" w:cs="Arial" w:eastAsia="Arial" w:hAnsi="Arial"/>
          <w:sz w:val="16"/>
          <w:szCs w:val="16"/>
          <w:color w:val="auto"/>
        </w:rPr>
        <w:t>, as though such co-agents, sub-agents and attorneys-in-fact were the “collateral agent” under the Loan Documents) as if set forth in full herein with respect thereto.</w:t>
      </w:r>
    </w:p>
    <w:p>
      <w:pPr>
        <w:spacing w:after="0" w:line="166" w:lineRule="exact"/>
        <w:rPr>
          <w:rFonts w:ascii="Arial" w:cs="Arial" w:eastAsia="Arial" w:hAnsi="Arial"/>
          <w:sz w:val="16"/>
          <w:szCs w:val="16"/>
          <w:color w:val="auto"/>
        </w:rPr>
      </w:pPr>
    </w:p>
    <w:p>
      <w:pPr>
        <w:jc w:val="both"/>
        <w:ind w:left="660" w:firstLine="645"/>
        <w:spacing w:after="0" w:line="259" w:lineRule="auto"/>
        <w:tabs>
          <w:tab w:leader="none" w:pos="229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It is understood and agreed that the use of the term “agent”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Rights as a Lender</w:t>
      </w:r>
      <w:r>
        <w:rPr>
          <w:rFonts w:ascii="Arial" w:cs="Arial" w:eastAsia="Arial" w:hAnsi="Arial"/>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5" w:name="page136"/>
    <w:bookmarkEnd w:id="135"/>
    <w:p>
      <w:pPr>
        <w:ind w:firstLine="648"/>
        <w:spacing w:after="0" w:line="277" w:lineRule="auto"/>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The Administrative Agent shall not have any duties or obligations except those expressly set forth herein and in the other Loan Documents. Without limiting the generality of the foregoing, the Administrative Agent:</w:t>
      </w:r>
    </w:p>
    <w:p>
      <w:pPr>
        <w:spacing w:after="0" w:line="170" w:lineRule="exact"/>
        <w:rPr>
          <w:sz w:val="20"/>
          <w:szCs w:val="20"/>
          <w:color w:val="auto"/>
        </w:rPr>
      </w:pPr>
    </w:p>
    <w:p>
      <w:pPr>
        <w:ind w:left="2220" w:hanging="915"/>
        <w:spacing w:after="0"/>
        <w:tabs>
          <w:tab w:leader="none" w:pos="222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shall not be subject to any fiduciary or other implied duties, regardless of whether a Default has occurred and is continuing;</w:t>
      </w:r>
    </w:p>
    <w:p>
      <w:pPr>
        <w:spacing w:after="0" w:line="248" w:lineRule="exact"/>
        <w:rPr>
          <w:rFonts w:ascii="Arial" w:cs="Arial" w:eastAsia="Arial" w:hAnsi="Arial"/>
          <w:sz w:val="16"/>
          <w:szCs w:val="16"/>
          <w:color w:val="auto"/>
        </w:rPr>
      </w:pPr>
    </w:p>
    <w:p>
      <w:pPr>
        <w:jc w:val="both"/>
        <w:ind w:left="660" w:firstLine="645"/>
        <w:spacing w:after="0" w:line="276" w:lineRule="auto"/>
        <w:tabs>
          <w:tab w:leader="none" w:pos="2314"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72" w:lineRule="exact"/>
        <w:rPr>
          <w:rFonts w:ascii="Arial" w:cs="Arial" w:eastAsia="Arial" w:hAnsi="Arial"/>
          <w:sz w:val="17"/>
          <w:szCs w:val="17"/>
          <w:color w:val="auto"/>
        </w:rPr>
      </w:pPr>
    </w:p>
    <w:p>
      <w:pPr>
        <w:jc w:val="both"/>
        <w:ind w:left="660" w:firstLine="645"/>
        <w:spacing w:after="0" w:line="264" w:lineRule="auto"/>
        <w:tabs>
          <w:tab w:leader="none" w:pos="237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1" w:lineRule="exact"/>
        <w:rPr>
          <w:rFonts w:ascii="Arial" w:cs="Arial" w:eastAsia="Arial" w:hAnsi="Arial"/>
          <w:sz w:val="18"/>
          <w:szCs w:val="18"/>
          <w:color w:val="auto"/>
        </w:rPr>
      </w:pPr>
    </w:p>
    <w:p>
      <w:pPr>
        <w:jc w:val="both"/>
        <w:ind w:left="660" w:firstLine="645"/>
        <w:spacing w:after="0" w:line="257" w:lineRule="auto"/>
        <w:tabs>
          <w:tab w:leader="none" w:pos="22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w:t>
      </w:r>
      <w:r>
        <w:rPr>
          <w:rFonts w:ascii="Arial" w:cs="Arial" w:eastAsia="Arial" w:hAnsi="Arial"/>
          <w:sz w:val="18"/>
          <w:szCs w:val="18"/>
          <w:color w:val="auto"/>
        </w:rPr>
        <w:t>) or (ii) in the absence of its own gross negligence or willful misconduct. The Administrative Agent shall be deemed not to have knowledge of any Default unless and until notice describing such Default is given to the Administrative Agent by the Borrower, a Lender or the L/C Issuer.</w:t>
      </w:r>
    </w:p>
    <w:p>
      <w:pPr>
        <w:spacing w:after="0" w:line="188" w:lineRule="exact"/>
        <w:rPr>
          <w:rFonts w:ascii="Arial" w:cs="Arial" w:eastAsia="Arial" w:hAnsi="Arial"/>
          <w:sz w:val="18"/>
          <w:szCs w:val="18"/>
          <w:color w:val="auto"/>
        </w:rPr>
      </w:pPr>
    </w:p>
    <w:p>
      <w:pPr>
        <w:jc w:val="both"/>
        <w:ind w:left="660" w:firstLine="645"/>
        <w:spacing w:after="0" w:line="254" w:lineRule="auto"/>
        <w:tabs>
          <w:tab w:leader="none" w:pos="228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herein, other than to confirm receipt of items expressly required to be delivered to the Administrative Agent.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6" w:name="page137"/>
    <w:bookmarkEnd w:id="136"/>
    <w:p>
      <w:pPr>
        <w:jc w:val="both"/>
        <w:ind w:firstLine="648"/>
        <w:spacing w:after="0" w:line="270" w:lineRule="auto"/>
        <w:rPr>
          <w:sz w:val="20"/>
          <w:szCs w:val="20"/>
          <w:color w:val="auto"/>
        </w:rPr>
      </w:pPr>
      <w:r>
        <w:rPr>
          <w:rFonts w:ascii="Arial" w:cs="Arial" w:eastAsia="Arial" w:hAnsi="Arial"/>
          <w:sz w:val="17"/>
          <w:szCs w:val="17"/>
          <w:color w:val="auto"/>
        </w:rPr>
        <w:t xml:space="preserve">9.04 </w:t>
      </w:r>
      <w:r>
        <w:rPr>
          <w:rFonts w:ascii="Arial" w:cs="Arial" w:eastAsia="Arial" w:hAnsi="Arial"/>
          <w:sz w:val="17"/>
          <w:szCs w:val="17"/>
          <w:u w:val="single" w:color="auto"/>
          <w:color w:val="auto"/>
        </w:rPr>
        <w:t>Reliance by Administrative Agent</w:t>
      </w:r>
      <w:r>
        <w:rPr>
          <w:rFonts w:ascii="Arial" w:cs="Arial" w:eastAsia="Arial" w:hAnsi="Arial"/>
          <w:sz w:val="17"/>
          <w:szCs w:val="17"/>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9.05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5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9.06 </w:t>
      </w:r>
      <w:r>
        <w:rPr>
          <w:rFonts w:ascii="Arial" w:cs="Arial" w:eastAsia="Arial" w:hAnsi="Arial"/>
          <w:sz w:val="16"/>
          <w:szCs w:val="16"/>
          <w:u w:val="single" w:color="auto"/>
          <w:color w:val="auto"/>
        </w:rPr>
        <w:t>Resignation of Administrative Agent</w:t>
      </w:r>
      <w:r>
        <w:rPr>
          <w:rFonts w:ascii="Arial" w:cs="Arial" w:eastAsia="Arial" w:hAnsi="Arial"/>
          <w:sz w:val="16"/>
          <w:szCs w:val="16"/>
          <w:color w:val="auto"/>
        </w:rPr>
        <w:t xml:space="preserve">. 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 appoint a successor Administrative Agent 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and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7" w:name="page138"/>
    <w:bookmarkEnd w:id="137"/>
    <w:p>
      <w:pPr>
        <w:jc w:val="both"/>
        <w:ind w:firstLine="648"/>
        <w:spacing w:after="0" w:line="255" w:lineRule="auto"/>
        <w:rPr>
          <w:sz w:val="20"/>
          <w:szCs w:val="20"/>
          <w:color w:val="auto"/>
        </w:rPr>
      </w:pPr>
      <w:r>
        <w:rPr>
          <w:rFonts w:ascii="Arial" w:cs="Arial" w:eastAsia="Arial" w:hAnsi="Arial"/>
          <w:sz w:val="18"/>
          <w:szCs w:val="18"/>
          <w:color w:val="auto"/>
        </w:rPr>
        <w:t>Any resignation by Bank of America as Administrative Agent pursuant to this Section shall also constitute its resignation as L/C Issuer. Upon the acceptance of a successor’s appointment as Administrative Agent hereunder, (i) such successor shall succeed to and become vested with all of the rights, powers, privileges and duties of the retiring L/C Issuer, (ii) the retiring L/C Issuer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9.07 </w:t>
      </w:r>
      <w:r>
        <w:rPr>
          <w:rFonts w:ascii="Arial" w:cs="Arial" w:eastAsia="Arial" w:hAnsi="Arial"/>
          <w:sz w:val="17"/>
          <w:szCs w:val="17"/>
          <w:u w:val="single" w:color="auto"/>
          <w:color w:val="auto"/>
        </w:rPr>
        <w:t>Non-Reliance on Administrative Agent and Other Lenders</w:t>
      </w:r>
      <w:r>
        <w:rPr>
          <w:rFonts w:ascii="Arial" w:cs="Arial" w:eastAsia="Arial" w:hAnsi="Arial"/>
          <w:sz w:val="17"/>
          <w:szCs w:val="17"/>
          <w:color w:val="auto"/>
        </w:rPr>
        <w:t>. 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9.08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 Anything herein to the contrary notwithstanding, none of the Bookrunners listed on the cover page hereof shall have any powers, duties or responsibilities under this Agreement or any of the other Loan Documents, except in its capacity, as applicable, as the Administrative Agent, a Lender or the L/C Issuer hereunder.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8" w:name="page139"/>
    <w:bookmarkEnd w:id="138"/>
    <w:p>
      <w:pPr>
        <w:jc w:val="both"/>
        <w:ind w:left="660" w:firstLine="645"/>
        <w:spacing w:after="0" w:line="255" w:lineRule="auto"/>
        <w:tabs>
          <w:tab w:leader="none" w:pos="240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8"/>
          <w:szCs w:val="18"/>
          <w:u w:val="single" w:color="auto"/>
          <w:color w:val="auto"/>
        </w:rPr>
        <w:t>Sections 2.03(i)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allowed in such judicial proceeding; and</w:t>
      </w:r>
    </w:p>
    <w:p>
      <w:pPr>
        <w:spacing w:after="0" w:line="193" w:lineRule="exact"/>
        <w:rPr>
          <w:rFonts w:ascii="Arial" w:cs="Arial" w:eastAsia="Arial" w:hAnsi="Arial"/>
          <w:sz w:val="18"/>
          <w:szCs w:val="18"/>
          <w:color w:val="auto"/>
        </w:rPr>
      </w:pPr>
    </w:p>
    <w:p>
      <w:pPr>
        <w:ind w:left="2180" w:hanging="875"/>
        <w:spacing w:after="0"/>
        <w:tabs>
          <w:tab w:leader="none" w:pos="21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and any custodian, receiver, assignee, trustee, liquidator, sequestrator or other similar official in any such judicial proceeding is hereby authorized by each Lender and the L/C Issuer to make such payments to the Administrative Agent and, if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6"/>
          <w:szCs w:val="16"/>
          <w:u w:val="single" w:color="auto"/>
          <w:color w:val="auto"/>
        </w:rPr>
        <w:t>Sections 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or in any such proceeding.</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Collateral and Guaranty Matters</w:t>
      </w:r>
      <w:r>
        <w:rPr>
          <w:rFonts w:ascii="Arial" w:cs="Arial" w:eastAsia="Arial" w:hAnsi="Arial"/>
          <w:sz w:val="18"/>
          <w:szCs w:val="18"/>
          <w:color w:val="auto"/>
        </w:rPr>
        <w:t>. Each of the Lenders (including in its capacities as a potential Cash Management Bank and a potential Hedge Bank) and the L/C Issuer irrevocably authorize the Administrative Agent, at its option and in its discretion,</w:t>
      </w:r>
    </w:p>
    <w:p>
      <w:pPr>
        <w:spacing w:after="0" w:line="170" w:lineRule="exact"/>
        <w:rPr>
          <w:sz w:val="20"/>
          <w:szCs w:val="20"/>
          <w:color w:val="auto"/>
        </w:rPr>
      </w:pPr>
    </w:p>
    <w:p>
      <w:pPr>
        <w:jc w:val="both"/>
        <w:ind w:left="660" w:firstLine="645"/>
        <w:spacing w:after="0" w:line="255" w:lineRule="auto"/>
        <w:tabs>
          <w:tab w:leader="none" w:pos="251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to release any Lien on any property granted to or held by the Administrative Agent under any Loan Document (i) upon termination of the Aggregate Commitments and payment in full of all Obligations (other than (A) contingent indemnification obligations and (B) obligations and liabilities under Secured Cash Management Agreements and Secured Hedge Agreements as to which arrangements satisfactory to the applicable Cash Management Bank of Hedge Bank shall have been made) and the expiration or termination of all Letters of Credit (other than Letters of Credit as to which other arrangements satisfactory to the Administrative Agent and the L/C Issuer shall have been made), (ii) that is sold or to be sold as part of or in connection with any sale permitted hereunder or under any other Loan Document, or (iii) if approved, authorized or ratified in writing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60" w:firstLine="645"/>
        <w:spacing w:after="0" w:line="277" w:lineRule="auto"/>
        <w:tabs>
          <w:tab w:leader="none" w:pos="242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release any Guarantor from its obligations under the Guaranty if such Person ceases to be a Subsidiary as a result of a transaction permitted hereunder;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9" w:name="page140"/>
    <w:bookmarkEnd w:id="139"/>
    <w:p>
      <w:pPr>
        <w:ind w:left="660" w:firstLine="645"/>
        <w:spacing w:after="0" w:line="277" w:lineRule="auto"/>
        <w:tabs>
          <w:tab w:leader="none" w:pos="243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 7.01(i)</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9.10</w:t>
      </w:r>
      <w:r>
        <w:rPr>
          <w:rFonts w:ascii="Arial" w:cs="Arial" w:eastAsia="Arial" w:hAnsi="Arial"/>
          <w:sz w:val="17"/>
          <w:szCs w:val="17"/>
          <w:color w:val="auto"/>
        </w:rPr>
        <w:t xml:space="preserve">. In each case as specified in this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Arial" w:cs="Arial" w:eastAsia="Arial" w:hAnsi="Arial"/>
          <w:sz w:val="17"/>
          <w:szCs w:val="17"/>
          <w:u w:val="single" w:color="auto"/>
          <w:color w:val="auto"/>
        </w:rPr>
        <w:t>Section 9.10</w:t>
      </w:r>
      <w:r>
        <w:rPr>
          <w:rFonts w:ascii="Arial" w:cs="Arial" w:eastAsia="Arial" w:hAnsi="Arial"/>
          <w:sz w:val="17"/>
          <w:szCs w:val="17"/>
          <w:color w:val="auto"/>
        </w:rPr>
        <w:t>.</w:t>
      </w:r>
    </w:p>
    <w:p>
      <w:pPr>
        <w:spacing w:after="0" w:line="178"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5"/>
          <w:szCs w:val="15"/>
          <w:u w:val="single" w:color="auto"/>
          <w:color w:val="auto"/>
        </w:rPr>
        <w:t>Secured Cash Management Agreements and Secured Hedge Agreements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No Cash Management Bank or Hedge Bank that obtains the benefits of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19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RESERVED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11.01 </w:t>
      </w:r>
      <w:r>
        <w:rPr>
          <w:rFonts w:ascii="Arial" w:cs="Arial" w:eastAsia="Arial" w:hAnsi="Arial"/>
          <w:sz w:val="17"/>
          <w:szCs w:val="17"/>
          <w:u w:val="single" w:color="auto"/>
          <w:color w:val="auto"/>
        </w:rPr>
        <w:t>Amendments, Etc</w:t>
      </w:r>
      <w:r>
        <w:rPr>
          <w:rFonts w:ascii="Arial" w:cs="Arial" w:eastAsia="Arial" w:hAnsi="Arial"/>
          <w:sz w:val="17"/>
          <w:szCs w:val="17"/>
          <w:color w:val="auto"/>
        </w:rPr>
        <w:t xml:space="preserve">.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amendment, waiver or consent shall:</w:t>
      </w:r>
    </w:p>
    <w:p>
      <w:pPr>
        <w:spacing w:after="0" w:line="171" w:lineRule="exact"/>
        <w:rPr>
          <w:sz w:val="20"/>
          <w:szCs w:val="20"/>
          <w:color w:val="auto"/>
        </w:rPr>
      </w:pPr>
    </w:p>
    <w:p>
      <w:pPr>
        <w:ind w:left="660" w:firstLine="645"/>
        <w:spacing w:after="0" w:line="277" w:lineRule="auto"/>
        <w:tabs>
          <w:tab w:leader="none" w:pos="256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4.01(b)(i)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in the case of the initial Credit Extension, </w:t>
      </w:r>
      <w:r>
        <w:rPr>
          <w:rFonts w:ascii="Arial" w:cs="Arial" w:eastAsia="Arial" w:hAnsi="Arial"/>
          <w:sz w:val="18"/>
          <w:szCs w:val="18"/>
          <w:u w:val="single" w:color="auto"/>
          <w:color w:val="auto"/>
        </w:rPr>
        <w:t>Section 4.02</w:t>
      </w:r>
      <w:r>
        <w:rPr>
          <w:rFonts w:ascii="Arial" w:cs="Arial" w:eastAsia="Arial" w:hAnsi="Arial"/>
          <w:sz w:val="18"/>
          <w:szCs w:val="18"/>
          <w:color w:val="auto"/>
        </w:rPr>
        <w:t>, without the written consent of each Lender;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0" w:name="page141"/>
    <w:bookmarkEnd w:id="140"/>
    <w:p>
      <w:pPr>
        <w:ind w:right="20" w:firstLine="645"/>
        <w:spacing w:after="0" w:line="277" w:lineRule="auto"/>
        <w:tabs>
          <w:tab w:leader="none" w:pos="158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170" w:lineRule="exact"/>
        <w:rPr>
          <w:rFonts w:ascii="Arial" w:cs="Arial" w:eastAsia="Arial" w:hAnsi="Arial"/>
          <w:sz w:val="18"/>
          <w:szCs w:val="18"/>
          <w:color w:val="auto"/>
        </w:rPr>
      </w:pPr>
    </w:p>
    <w:p>
      <w:pPr>
        <w:jc w:val="both"/>
        <w:ind w:firstLine="645"/>
        <w:spacing w:after="0" w:line="259" w:lineRule="auto"/>
        <w:tabs>
          <w:tab w:leader="none" w:pos="20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(i) any payment (excluding mandatory prepayments) of principal, interest, fees or other amounts due to the Lenders (or any of them) hereunder or under such other Loan Document without the written consent of each Lender entitled to such payment or (ii) any scheduled reduction of any Facility hereunder or under any other Loan Document without the written consent of each Appropriate Lender;</w:t>
      </w:r>
    </w:p>
    <w:p>
      <w:pPr>
        <w:spacing w:after="0" w:line="186" w:lineRule="exact"/>
        <w:rPr>
          <w:rFonts w:ascii="Arial" w:cs="Arial" w:eastAsia="Arial" w:hAnsi="Arial"/>
          <w:sz w:val="18"/>
          <w:szCs w:val="18"/>
          <w:color w:val="auto"/>
        </w:rPr>
      </w:pPr>
    </w:p>
    <w:p>
      <w:pPr>
        <w:jc w:val="both"/>
        <w:ind w:firstLine="645"/>
        <w:spacing w:after="0" w:line="254" w:lineRule="auto"/>
        <w:tabs>
          <w:tab w:leader="none" w:pos="162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L/C Borrowing, or (subject to clause (iv)(v) of the second proviso to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any fees or other amounts payable hereunder or under any other Loan Document, or change the manner of computation of any financial ratio (including any change in any applicable defined term) used in determining the Applicable Rate that would result in a reduction of any interest rate on any Loan or any fee payable hereunder without the written consent of each Lender entitled to such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only the consent of the Required Lenders shall be necessary (i) to amend the definition of “Default Rate” or to waive any obligation of the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92" w:lineRule="exact"/>
        <w:rPr>
          <w:rFonts w:ascii="Arial" w:cs="Arial" w:eastAsia="Arial" w:hAnsi="Arial"/>
          <w:sz w:val="18"/>
          <w:szCs w:val="18"/>
          <w:color w:val="auto"/>
        </w:rPr>
      </w:pPr>
    </w:p>
    <w:p>
      <w:pPr>
        <w:jc w:val="both"/>
        <w:ind w:firstLine="645"/>
        <w:spacing w:after="0" w:line="257" w:lineRule="auto"/>
        <w:tabs>
          <w:tab w:leader="none" w:pos="175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change (i)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in a manner that would alter the pro rata sharing of payments required thereby without the written consent of each Lender or (ii) the order of application of any reduction in the Commitments or any prepayment of Loans among the Facilities from the application thereof set forth in the applicable provisions of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2.06(b)</w:t>
      </w:r>
      <w:r>
        <w:rPr>
          <w:rFonts w:ascii="Arial" w:cs="Arial" w:eastAsia="Arial" w:hAnsi="Arial"/>
          <w:sz w:val="18"/>
          <w:szCs w:val="18"/>
          <w:color w:val="auto"/>
        </w:rPr>
        <w:t>, respectively, in any manner that materially and adversely affects the Lenders under a Facility without the written consent of (i) if such Facility is the Term Loan, the Required Term Lenders and (ii) if such Facility is the Revolving Credit Facility, the Required Revolving Lenders;</w:t>
      </w:r>
    </w:p>
    <w:p>
      <w:pPr>
        <w:spacing w:after="0" w:line="188" w:lineRule="exact"/>
        <w:rPr>
          <w:rFonts w:ascii="Arial" w:cs="Arial" w:eastAsia="Arial" w:hAnsi="Arial"/>
          <w:sz w:val="18"/>
          <w:szCs w:val="18"/>
          <w:color w:val="auto"/>
        </w:rPr>
      </w:pPr>
    </w:p>
    <w:p>
      <w:pPr>
        <w:jc w:val="both"/>
        <w:ind w:firstLine="645"/>
        <w:spacing w:after="0" w:line="302" w:lineRule="auto"/>
        <w:tabs>
          <w:tab w:leader="none" w:pos="158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change (i) any provision of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(other than the definitions specified in clause (ii) of this </w:t>
      </w:r>
      <w:r>
        <w:rPr>
          <w:rFonts w:ascii="Arial" w:cs="Arial" w:eastAsia="Arial" w:hAnsi="Arial"/>
          <w:sz w:val="16"/>
          <w:szCs w:val="16"/>
          <w:u w:val="single" w:color="auto"/>
          <w:color w:val="auto"/>
        </w:rPr>
        <w:t>Section 11.01(g)</w:t>
      </w:r>
      <w:r>
        <w:rPr>
          <w:rFonts w:ascii="Arial" w:cs="Arial" w:eastAsia="Arial" w:hAnsi="Arial"/>
          <w:sz w:val="16"/>
          <w:szCs w:val="16"/>
          <w:color w:val="auto"/>
        </w:rPr>
        <w:t>), without the written consent of each Lender or (ii) the definition of “Required Revolving Lenders,” or “Required Term Lenders,” without the written consent of each Lender under the applicable Facility;</w:t>
      </w:r>
    </w:p>
    <w:p>
      <w:pPr>
        <w:spacing w:after="0" w:line="154" w:lineRule="exact"/>
        <w:rPr>
          <w:rFonts w:ascii="Arial" w:cs="Arial" w:eastAsia="Arial" w:hAnsi="Arial"/>
          <w:sz w:val="16"/>
          <w:szCs w:val="16"/>
          <w:color w:val="auto"/>
        </w:rPr>
      </w:pPr>
    </w:p>
    <w:p>
      <w:pPr>
        <w:ind w:left="1540" w:hanging="895"/>
        <w:spacing w:after="0"/>
        <w:tabs>
          <w:tab w:leader="none" w:pos="15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release all or substantially all of the Collateral in any transaction or series of related transactions, without the written consent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each Lender;</w:t>
      </w:r>
    </w:p>
    <w:p>
      <w:pPr>
        <w:spacing w:after="0" w:line="210" w:lineRule="exact"/>
        <w:rPr>
          <w:rFonts w:ascii="Arial" w:cs="Arial" w:eastAsia="Arial" w:hAnsi="Arial"/>
          <w:sz w:val="16"/>
          <w:szCs w:val="16"/>
          <w:color w:val="auto"/>
        </w:rPr>
      </w:pPr>
    </w:p>
    <w:p>
      <w:pPr>
        <w:jc w:val="both"/>
        <w:ind w:firstLine="645"/>
        <w:spacing w:after="0" w:line="264" w:lineRule="auto"/>
        <w:tabs>
          <w:tab w:leader="none" w:pos="158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value of the Guaranty, without the written consent of each Lender, except to the extent the release of any Subsidiary from the Guaranty is permitted pursuant to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which case such release may be made by the Administrative Agent acting alone); or</w:t>
      </w:r>
    </w:p>
    <w:p>
      <w:pPr>
        <w:spacing w:after="0" w:line="3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431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41" w:name="page142"/>
    <w:bookmarkEnd w:id="141"/>
    <w:p>
      <w:pPr>
        <w:jc w:val="both"/>
        <w:ind w:left="660" w:firstLine="645"/>
        <w:spacing w:after="0" w:line="264" w:lineRule="auto"/>
        <w:tabs>
          <w:tab w:leader="none" w:pos="231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a Facility to assign any of its rights or obligations hereunder without the written consent of (i) if such Facility is the Term Loan, the Required Term Lenders and (ii) if such Facility is the Revolving Credit Facility, the Required Revolving Lenders;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amendment, waiver or consent shall, unless in writing and signed by the L/C Issuer in addition to the Lenders required above, affect the rights or duties of the L/C Issuer under this Agreement or any Issuer Document relating to any Letter of Credit issued or to be issued by it and no amendment, waiver or consent shall, unless in writing and signed by the Administrative Agent in addition to the Lenders required above, affect the rights or duties of the Administrative Agent under this Agreement or any other Loan Document may be amended, or rights or privileges thereunder waived, in a writing executed only by the parties thereto. Notwithstanding anything to the contrary herein, no Defaulting Lender shall have any right to approve or disapprove any amendment, waiver or consent hereunder, except that the Commitment of such Lender may not be increased or extended without the consent of such Lender.</w:t>
      </w:r>
    </w:p>
    <w:p>
      <w:pPr>
        <w:spacing w:after="0" w:line="18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u w:val="single" w:color="auto"/>
          <w:color w:val="auto"/>
        </w:rPr>
        <w:t>Notices; Effectiveness; Electronic Communications</w:t>
      </w:r>
    </w:p>
    <w:p>
      <w:pPr>
        <w:spacing w:after="0" w:line="225" w:lineRule="exact"/>
        <w:rPr>
          <w:sz w:val="20"/>
          <w:szCs w:val="20"/>
          <w:color w:val="auto"/>
        </w:rPr>
      </w:pPr>
    </w:p>
    <w:p>
      <w:pPr>
        <w:jc w:val="both"/>
        <w:ind w:left="660" w:firstLine="645"/>
        <w:spacing w:after="0" w:line="279" w:lineRule="auto"/>
        <w:tabs>
          <w:tab w:leader="none" w:pos="2295"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71" w:lineRule="exact"/>
        <w:rPr>
          <w:rFonts w:ascii="Arial" w:cs="Arial" w:eastAsia="Arial" w:hAnsi="Arial"/>
          <w:sz w:val="17"/>
          <w:szCs w:val="17"/>
          <w:color w:val="auto"/>
        </w:rPr>
      </w:pPr>
    </w:p>
    <w:p>
      <w:pPr>
        <w:ind w:left="1300" w:firstLine="653"/>
        <w:spacing w:after="0" w:line="277" w:lineRule="auto"/>
        <w:tabs>
          <w:tab w:leader="none" w:pos="309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if to the Borrower, the Administrative Agent or the L/C Issuer, to the address, telecopier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300" w:firstLine="653"/>
        <w:spacing w:after="0" w:line="277" w:lineRule="auto"/>
        <w:tabs>
          <w:tab w:leader="none" w:pos="291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if to any other Lender, to the address, telecopier number, electronic mail address or telephone number specified in its Administrative Questionnaire.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jc w:val="both"/>
        <w:ind w:left="660" w:firstLine="645"/>
        <w:spacing w:after="0" w:line="255" w:lineRule="auto"/>
        <w:tabs>
          <w:tab w:leader="none" w:pos="2247"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the L/C Issuer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or the L/C Issuer,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2" w:name="page143"/>
    <w:bookmarkEnd w:id="142"/>
    <w:p>
      <w:pPr>
        <w:jc w:val="both"/>
        <w:ind w:firstLine="648"/>
        <w:spacing w:after="0" w:line="293"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65" w:lineRule="exact"/>
        <w:rPr>
          <w:sz w:val="20"/>
          <w:szCs w:val="20"/>
          <w:color w:val="auto"/>
        </w:rPr>
      </w:pPr>
    </w:p>
    <w:p>
      <w:pPr>
        <w:jc w:val="both"/>
        <w:ind w:left="660" w:firstLine="645"/>
        <w:spacing w:after="0" w:line="268" w:lineRule="auto"/>
        <w:tabs>
          <w:tab w:leader="none" w:pos="2282"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the Borrower, any Lender, the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Agent Party have any liability to the Borrower, any Lender, the L/C Issuer or any other Person for indirect, special, incidental, consequential or punitive damages (as opposed to direct or actual damages).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3" w:name="page144"/>
    <w:bookmarkEnd w:id="143"/>
    <w:p>
      <w:pPr>
        <w:jc w:val="both"/>
        <w:ind w:left="660" w:firstLine="645"/>
        <w:spacing w:after="0" w:line="269" w:lineRule="auto"/>
        <w:tabs>
          <w:tab w:leader="none" w:pos="2382" w:val="left"/>
        </w:tabs>
        <w:numPr>
          <w:ilvl w:val="1"/>
          <w:numId w:val="166"/>
        </w:numPr>
        <w:rPr>
          <w:rFonts w:ascii="Arial" w:cs="Arial" w:eastAsia="Arial" w:hAnsi="Arial"/>
          <w:sz w:val="17"/>
          <w:szCs w:val="17"/>
          <w:color w:val="auto"/>
        </w:rPr>
      </w:pPr>
      <w:r>
        <w:rPr>
          <w:rFonts w:ascii="Arial" w:cs="Arial" w:eastAsia="Arial" w:hAnsi="Arial"/>
          <w:sz w:val="17"/>
          <w:szCs w:val="17"/>
          <w:u w:val="single" w:color="auto"/>
          <w:color w:val="auto"/>
        </w:rPr>
        <w:t>Change of Address, Etc</w:t>
      </w:r>
      <w:r>
        <w:rPr>
          <w:rFonts w:ascii="Arial" w:cs="Arial" w:eastAsia="Arial" w:hAnsi="Arial"/>
          <w:sz w:val="17"/>
          <w:szCs w:val="17"/>
          <w:color w:val="auto"/>
        </w:rPr>
        <w:t>. The Borrower, the Administrative Agent and the L/C Issuer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and the L/C Issuer.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82" w:lineRule="exact"/>
        <w:rPr>
          <w:rFonts w:ascii="Arial" w:cs="Arial" w:eastAsia="Arial" w:hAnsi="Arial"/>
          <w:sz w:val="17"/>
          <w:szCs w:val="17"/>
          <w:color w:val="auto"/>
        </w:rPr>
      </w:pPr>
    </w:p>
    <w:p>
      <w:pPr>
        <w:jc w:val="both"/>
        <w:ind w:left="660" w:firstLine="645"/>
        <w:spacing w:after="0" w:line="291" w:lineRule="auto"/>
        <w:tabs>
          <w:tab w:leader="none" w:pos="2255"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L/C Issuer and Lenders</w:t>
      </w:r>
      <w:r>
        <w:rPr>
          <w:rFonts w:ascii="Arial" w:cs="Arial" w:eastAsia="Arial" w:hAnsi="Arial"/>
          <w:sz w:val="16"/>
          <w:szCs w:val="16"/>
          <w:color w:val="auto"/>
        </w:rPr>
        <w:t>. The Administrative Agent, the L/C Issuer and the Lenders shall be entitled to rely and act upon any notices (including telephonic Committed Loan Notices) purportedly given by or on behalf of the Borrower even if</w:t>
      </w:r>
    </w:p>
    <w:p>
      <w:pPr>
        <w:jc w:val="both"/>
        <w:ind w:left="660" w:hanging="4"/>
        <w:spacing w:after="0" w:line="252" w:lineRule="auto"/>
        <w:tabs>
          <w:tab w:leader="none" w:pos="87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the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9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11.03</w:t>
      </w:r>
      <w:r>
        <w:rPr>
          <w:sz w:val="20"/>
          <w:szCs w:val="20"/>
          <w:color w:val="auto"/>
        </w:rPr>
        <w:tab/>
      </w:r>
      <w:r>
        <w:rPr>
          <w:rFonts w:ascii="Arial" w:cs="Arial" w:eastAsia="Arial" w:hAnsi="Arial"/>
          <w:sz w:val="16"/>
          <w:szCs w:val="16"/>
          <w:u w:val="single" w:color="auto"/>
          <w:color w:val="auto"/>
        </w:rPr>
        <w:t>No Waiver; Cumulative Remedies; Enforcement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for the benefit of all the Lenders and the L/C Issuer;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from exercising the rights and remedies that inure to its benefit (solely in its capacity as L/C Issuer) hereunder and under the other Loan Documents, (c) any Lender from exercising setoff rights in accordance with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(ii) in addition to the matters set forth in clauses (b), (c) and (d) of the preceding proviso and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4" w:name="page145"/>
    <w:bookmarkEnd w:id="144"/>
    <w:p>
      <w:pPr>
        <w:spacing w:after="0"/>
        <w:tabs>
          <w:tab w:leader="none" w:pos="640" w:val="left"/>
        </w:tabs>
        <w:rPr>
          <w:sz w:val="20"/>
          <w:szCs w:val="20"/>
          <w:color w:val="auto"/>
        </w:rPr>
      </w:pPr>
      <w:r>
        <w:rPr>
          <w:rFonts w:ascii="Arial" w:cs="Arial" w:eastAsia="Arial" w:hAnsi="Arial"/>
          <w:sz w:val="18"/>
          <w:szCs w:val="18"/>
          <w:color w:val="auto"/>
        </w:rPr>
        <w:t>11.04</w:t>
      </w:r>
      <w:r>
        <w:rPr>
          <w:sz w:val="20"/>
          <w:szCs w:val="20"/>
          <w:color w:val="auto"/>
        </w:rPr>
        <w:tab/>
      </w:r>
      <w:r>
        <w:rPr>
          <w:rFonts w:ascii="Arial" w:cs="Arial" w:eastAsia="Arial" w:hAnsi="Arial"/>
          <w:sz w:val="16"/>
          <w:szCs w:val="16"/>
          <w:u w:val="single" w:color="auto"/>
          <w:color w:val="auto"/>
        </w:rPr>
        <w:t>Expenses; Indemnity; Damage Waiver</w:t>
      </w:r>
    </w:p>
    <w:p>
      <w:pPr>
        <w:spacing w:after="0" w:line="225" w:lineRule="exact"/>
        <w:rPr>
          <w:sz w:val="20"/>
          <w:szCs w:val="20"/>
          <w:color w:val="auto"/>
        </w:rPr>
      </w:pPr>
    </w:p>
    <w:p>
      <w:pPr>
        <w:jc w:val="both"/>
        <w:ind w:firstLine="645"/>
        <w:spacing w:after="0" w:line="253" w:lineRule="auto"/>
        <w:tabs>
          <w:tab w:leader="none" w:pos="169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all out-of-pocket expenses incurred by the Administrative Agent, any Lender or the L/C Issuer (including the fees, charges and disbursements of any counsel for the Administrative Agent, any Lender or the L/C Issuer, in connection with the enforcement or protection of its rights) (A) in connection with this Agreement and the other Loan Documents, including its rights under this Section, or (B) in connection with Loans made or Letters of Credit issued hereunder, including all such out-of-pocket expenses incurred during any workout, restructuring or negotiations in respect of such Loans or Letters of Credit.</w:t>
      </w:r>
    </w:p>
    <w:p>
      <w:pPr>
        <w:spacing w:after="0" w:line="192" w:lineRule="exact"/>
        <w:rPr>
          <w:rFonts w:ascii="Arial" w:cs="Arial" w:eastAsia="Arial" w:hAnsi="Arial"/>
          <w:sz w:val="18"/>
          <w:szCs w:val="18"/>
          <w:color w:val="auto"/>
        </w:rPr>
      </w:pPr>
    </w:p>
    <w:p>
      <w:pPr>
        <w:jc w:val="both"/>
        <w:ind w:firstLine="645"/>
        <w:spacing w:after="0" w:line="267" w:lineRule="auto"/>
        <w:tabs>
          <w:tab w:leader="none" w:pos="1654"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The Borrower shall indemnify the Administrative Agent (and any sub-agent thereof), each Lender and the L/C Issuer,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w:t>
      </w:r>
    </w:p>
    <w:p>
      <w:pPr>
        <w:spacing w:after="0" w:line="200" w:lineRule="exact"/>
        <w:rPr>
          <w:sz w:val="20"/>
          <w:szCs w:val="20"/>
          <w:color w:val="auto"/>
        </w:rPr>
      </w:pPr>
    </w:p>
    <w:p>
      <w:pPr>
        <w:spacing w:after="0" w:line="20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43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45" w:name="page146"/>
    <w:bookmarkEnd w:id="145"/>
    <w:p>
      <w:pPr>
        <w:jc w:val="both"/>
        <w:ind w:left="-540" w:firstLine="645"/>
        <w:spacing w:after="0" w:line="290" w:lineRule="auto"/>
        <w:tabs>
          <w:tab w:leader="none" w:pos="1041"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 for any reason fails to indefeasibly pay any amount required under subsection (a) or (b) of this Section to be paid by it to the Administrative Agent (or any sub-agent thereof), the L/C Issuer or any Related Party of any of the foregoing, each Lender severally agrees to pay to the Administrative Agent (or any such sub-agent), the L/C Issuer or such Related Party, as the case may be, such Lender’s Applicable Percentage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or the L/C Issuer in its capacity as such, or against any Related Party of any of the foregoing acting for the Administrative Agent (or any such sub-agent) or L/C Issuer in connection with such capacity. The obligations of the Lenders under this subsection (c) are subject to the provisions of </w:t>
      </w:r>
      <w:r>
        <w:rPr>
          <w:rFonts w:ascii="Arial" w:cs="Arial" w:eastAsia="Arial" w:hAnsi="Arial"/>
          <w:sz w:val="16"/>
          <w:szCs w:val="16"/>
          <w:u w:val="single" w:color="auto"/>
          <w:color w:val="auto"/>
        </w:rPr>
        <w:t>Section 2.12(d)</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left="-540" w:firstLine="645"/>
        <w:spacing w:after="0" w:line="270" w:lineRule="auto"/>
        <w:tabs>
          <w:tab w:leader="none" w:pos="1047"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To the fullest extent permitted by applicable law and even if advised of the possibility thereof,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39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46" w:name="page147"/>
    <w:bookmarkEnd w:id="146"/>
    <w:p>
      <w:pPr>
        <w:ind w:left="2220" w:hanging="915"/>
        <w:spacing w:after="0"/>
        <w:tabs>
          <w:tab w:leader="none" w:pos="2220"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All amounts due under this Section shall be payable not later than ten Business Days after demand therefor.</w:t>
      </w:r>
    </w:p>
    <w:p>
      <w:pPr>
        <w:spacing w:after="0" w:line="236" w:lineRule="exact"/>
        <w:rPr>
          <w:rFonts w:ascii="Arial" w:cs="Arial" w:eastAsia="Arial" w:hAnsi="Arial"/>
          <w:sz w:val="17"/>
          <w:szCs w:val="17"/>
          <w:color w:val="auto"/>
        </w:rPr>
      </w:pPr>
    </w:p>
    <w:p>
      <w:pPr>
        <w:ind w:left="660" w:right="20" w:firstLine="645"/>
        <w:spacing w:after="0" w:line="342" w:lineRule="auto"/>
        <w:tabs>
          <w:tab w:leader="none" w:pos="2424"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agreements in this Section shall survive the resignation of the Administrative Agent and the L/C Issuer, the replacement of any Lender, the termination of the Aggregate Commitments and the repayment, satisfaction or discharge of all the other Obligations.</w:t>
      </w:r>
    </w:p>
    <w:p>
      <w:pPr>
        <w:spacing w:after="0" w:line="12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11.05</w:t>
      </w:r>
      <w:r>
        <w:rPr>
          <w:sz w:val="20"/>
          <w:szCs w:val="20"/>
          <w:color w:val="auto"/>
        </w:rPr>
        <w:tab/>
      </w:r>
      <w:r>
        <w:rPr>
          <w:rFonts w:ascii="Arial" w:cs="Arial" w:eastAsia="Arial" w:hAnsi="Arial"/>
          <w:sz w:val="15"/>
          <w:szCs w:val="15"/>
          <w:u w:val="single" w:color="auto"/>
          <w:color w:val="auto"/>
        </w:rPr>
        <w:t>Payments Set Aside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To the extent that any payment by or on behalf of the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 and the termination of this Agreement.</w:t>
      </w:r>
    </w:p>
    <w:p>
      <w:pPr>
        <w:spacing w:after="0" w:line="17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11.06</w:t>
      </w:r>
      <w:r>
        <w:rPr>
          <w:sz w:val="20"/>
          <w:szCs w:val="20"/>
          <w:color w:val="auto"/>
        </w:rPr>
        <w:tab/>
      </w:r>
      <w:r>
        <w:rPr>
          <w:rFonts w:ascii="Arial" w:cs="Arial" w:eastAsia="Arial" w:hAnsi="Arial"/>
          <w:sz w:val="15"/>
          <w:szCs w:val="15"/>
          <w:u w:val="single" w:color="auto"/>
          <w:color w:val="auto"/>
        </w:rPr>
        <w:t>Successors and Assigns</w:t>
      </w:r>
    </w:p>
    <w:p>
      <w:pPr>
        <w:spacing w:after="0" w:line="225" w:lineRule="exact"/>
        <w:rPr>
          <w:sz w:val="20"/>
          <w:szCs w:val="20"/>
          <w:color w:val="auto"/>
        </w:rPr>
      </w:pPr>
    </w:p>
    <w:p>
      <w:pPr>
        <w:jc w:val="both"/>
        <w:ind w:left="660" w:firstLine="645"/>
        <w:spacing w:after="0" w:line="270" w:lineRule="auto"/>
        <w:tabs>
          <w:tab w:leader="none" w:pos="2431"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7"/>
          <w:szCs w:val="17"/>
          <w:u w:val="single" w:color="auto"/>
          <w:color w:val="auto"/>
        </w:rPr>
        <w:t>Section 11.06(b)</w:t>
      </w:r>
      <w:r>
        <w:rPr>
          <w:rFonts w:ascii="Arial" w:cs="Arial" w:eastAsia="Arial" w:hAnsi="Arial"/>
          <w:sz w:val="17"/>
          <w:szCs w:val="17"/>
          <w:color w:val="auto"/>
        </w:rPr>
        <w:t xml:space="preserve">, (ii) by way of participation in accordance with the provisions of </w:t>
      </w:r>
      <w:r>
        <w:rPr>
          <w:rFonts w:ascii="Arial" w:cs="Arial" w:eastAsia="Arial" w:hAnsi="Arial"/>
          <w:sz w:val="17"/>
          <w:szCs w:val="17"/>
          <w:u w:val="single" w:color="auto"/>
          <w:color w:val="auto"/>
        </w:rPr>
        <w:t>Section 11.06(d)</w:t>
      </w:r>
      <w:r>
        <w:rPr>
          <w:rFonts w:ascii="Arial" w:cs="Arial" w:eastAsia="Arial" w:hAnsi="Arial"/>
          <w:sz w:val="17"/>
          <w:szCs w:val="17"/>
          <w:color w:val="auto"/>
        </w:rPr>
        <w:t xml:space="preserve">, or (iii) by way of pledge or assignment of a security interest subject to the restrictions of </w:t>
      </w:r>
      <w:r>
        <w:rPr>
          <w:rFonts w:ascii="Arial" w:cs="Arial" w:eastAsia="Arial" w:hAnsi="Arial"/>
          <w:sz w:val="17"/>
          <w:szCs w:val="17"/>
          <w:u w:val="single" w:color="auto"/>
          <w:color w:val="auto"/>
        </w:rPr>
        <w:t>Section 11.06(f)</w:t>
      </w:r>
      <w:r>
        <w:rPr>
          <w:rFonts w:ascii="Arial" w:cs="Arial" w:eastAsia="Arial" w:hAnsi="Arial"/>
          <w:sz w:val="17"/>
          <w:szCs w:val="17"/>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7" w:name="page148"/>
    <w:bookmarkEnd w:id="147"/>
    <w:p>
      <w:pPr>
        <w:jc w:val="both"/>
        <w:ind w:left="-540" w:firstLine="645"/>
        <w:spacing w:after="0" w:line="286" w:lineRule="auto"/>
        <w:tabs>
          <w:tab w:leader="none" w:pos="1263"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Assignments by Lenders</w:t>
      </w:r>
      <w:r>
        <w:rPr>
          <w:rFonts w:ascii="Arial" w:cs="Arial" w:eastAsia="Arial" w:hAnsi="Arial"/>
          <w:sz w:val="17"/>
          <w:szCs w:val="17"/>
          <w:color w:val="auto"/>
        </w:rPr>
        <w:t xml:space="preserve">. Any Lender may at any time assign to one or more assignees all or a portion of its rights and obligations under this Agreement (including all or a portion of its Commitment(s) and the Loans (including for purposes of this </w:t>
      </w:r>
      <w:r>
        <w:rPr>
          <w:rFonts w:ascii="Arial" w:cs="Arial" w:eastAsia="Arial" w:hAnsi="Arial"/>
          <w:sz w:val="17"/>
          <w:szCs w:val="17"/>
          <w:u w:val="single" w:color="auto"/>
          <w:color w:val="auto"/>
        </w:rPr>
        <w:t>Section 11.06(b)</w:t>
      </w:r>
      <w:r>
        <w:rPr>
          <w:rFonts w:ascii="Arial" w:cs="Arial" w:eastAsia="Arial" w:hAnsi="Arial"/>
          <w:sz w:val="17"/>
          <w:szCs w:val="17"/>
          <w:color w:val="auto"/>
        </w:rPr>
        <w:t xml:space="preserve">, participations in L/C Obligations) at the time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assignment shall be subject to the following conditions:</w:t>
      </w:r>
    </w:p>
    <w:p>
      <w:pPr>
        <w:spacing w:after="0" w:line="165" w:lineRule="exact"/>
        <w:rPr>
          <w:rFonts w:ascii="Arial" w:cs="Arial" w:eastAsia="Arial" w:hAnsi="Arial"/>
          <w:sz w:val="17"/>
          <w:szCs w:val="17"/>
          <w:color w:val="auto"/>
        </w:rPr>
      </w:pPr>
    </w:p>
    <w:p>
      <w:pPr>
        <w:ind w:left="1680" w:hanging="927"/>
        <w:spacing w:after="0"/>
        <w:tabs>
          <w:tab w:leader="none" w:pos="1680"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641"/>
        <w:spacing w:after="0" w:line="264" w:lineRule="auto"/>
        <w:tabs>
          <w:tab w:leader="none" w:pos="227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under any Facility and the Loans at the time owing to it under such Facility or in the case of an assignment to a Lender, an Affiliate of a Lender or an Approved Fund, no minimum amount need be assigned; and</w:t>
      </w:r>
    </w:p>
    <w:p>
      <w:pPr>
        <w:spacing w:after="0" w:line="181" w:lineRule="exact"/>
        <w:rPr>
          <w:rFonts w:ascii="Arial" w:cs="Arial" w:eastAsia="Arial" w:hAnsi="Arial"/>
          <w:sz w:val="18"/>
          <w:szCs w:val="18"/>
          <w:color w:val="auto"/>
        </w:rPr>
      </w:pPr>
    </w:p>
    <w:p>
      <w:pPr>
        <w:jc w:val="both"/>
        <w:ind w:left="760" w:firstLine="641"/>
        <w:spacing w:after="0" w:line="269" w:lineRule="auto"/>
        <w:tabs>
          <w:tab w:leader="none" w:pos="2413" w:val="left"/>
        </w:tabs>
        <w:numPr>
          <w:ilvl w:val="2"/>
          <w:numId w:val="172"/>
        </w:numPr>
        <w:rPr>
          <w:rFonts w:ascii="Arial" w:cs="Arial" w:eastAsia="Arial" w:hAnsi="Arial"/>
          <w:sz w:val="17"/>
          <w:szCs w:val="17"/>
          <w:color w:val="auto"/>
        </w:rPr>
      </w:pPr>
      <w:r>
        <w:rPr>
          <w:rFonts w:ascii="Arial" w:cs="Arial" w:eastAsia="Arial" w:hAnsi="Arial"/>
          <w:sz w:val="17"/>
          <w:szCs w:val="17"/>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the Term Loan, unless each of the Administrative Agent and, so long as no Event of Default has occurred and is continuing, the Borrower otherwise consents (each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2" w:lineRule="exact"/>
        <w:rPr>
          <w:rFonts w:ascii="Arial" w:cs="Arial" w:eastAsia="Arial" w:hAnsi="Arial"/>
          <w:sz w:val="17"/>
          <w:szCs w:val="17"/>
          <w:color w:val="auto"/>
        </w:rPr>
      </w:pPr>
    </w:p>
    <w:p>
      <w:pPr>
        <w:jc w:val="both"/>
        <w:ind w:left="100" w:firstLine="653"/>
        <w:spacing w:after="0" w:line="259" w:lineRule="auto"/>
        <w:tabs>
          <w:tab w:leader="none" w:pos="1845"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or the Commitment assigned, except that this clause (ii) shall not prohibit any Lender from assigning all or a portion of its rights and obligations among separate Facilities on a non-pro rata basis;</w:t>
      </w:r>
    </w:p>
    <w:p>
      <w:pPr>
        <w:spacing w:after="0" w:line="186" w:lineRule="exact"/>
        <w:rPr>
          <w:rFonts w:ascii="Arial" w:cs="Arial" w:eastAsia="Arial" w:hAnsi="Arial"/>
          <w:sz w:val="18"/>
          <w:szCs w:val="18"/>
          <w:color w:val="auto"/>
        </w:rPr>
      </w:pPr>
    </w:p>
    <w:p>
      <w:pPr>
        <w:ind w:left="1660" w:hanging="907"/>
        <w:spacing w:after="0"/>
        <w:tabs>
          <w:tab w:leader="none" w:pos="1660" w:val="left"/>
        </w:tabs>
        <w:numPr>
          <w:ilvl w:val="1"/>
          <w:numId w:val="172"/>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No consent shall be required for any assignment except to the extent required by subsection (b)(i)</w:t>
      </w:r>
    </w:p>
    <w:p>
      <w:pPr>
        <w:spacing w:after="0" w:line="46"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(B) of this Section and, in addition:</w:t>
      </w:r>
    </w:p>
    <w:p>
      <w:pPr>
        <w:spacing w:after="0" w:line="210" w:lineRule="exact"/>
        <w:rPr>
          <w:rFonts w:ascii="Arial" w:cs="Arial" w:eastAsia="Arial" w:hAnsi="Arial"/>
          <w:sz w:val="16"/>
          <w:szCs w:val="16"/>
          <w:color w:val="auto"/>
        </w:rPr>
      </w:pPr>
    </w:p>
    <w:p>
      <w:pPr>
        <w:jc w:val="both"/>
        <w:ind w:left="760" w:firstLine="641"/>
        <w:spacing w:after="0" w:line="257" w:lineRule="auto"/>
        <w:tabs>
          <w:tab w:leader="none" w:pos="2459" w:val="left"/>
        </w:tabs>
        <w:numPr>
          <w:ilvl w:val="2"/>
          <w:numId w:val="172"/>
        </w:numPr>
        <w:rPr>
          <w:rFonts w:ascii="Arial" w:cs="Arial" w:eastAsia="Arial" w:hAnsi="Arial"/>
          <w:sz w:val="18"/>
          <w:szCs w:val="18"/>
          <w:color w:val="auto"/>
        </w:rPr>
      </w:pPr>
      <w:r>
        <w:rPr>
          <w:rFonts w:ascii="Arial" w:cs="Arial" w:eastAsia="Arial" w:hAnsi="Arial"/>
          <w:sz w:val="18"/>
          <w:szCs w:val="18"/>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200" w:lineRule="exact"/>
        <w:rPr>
          <w:sz w:val="20"/>
          <w:szCs w:val="20"/>
          <w:color w:val="auto"/>
        </w:rPr>
      </w:pPr>
    </w:p>
    <w:p>
      <w:pPr>
        <w:spacing w:after="0" w:line="20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48" w:name="page149"/>
    <w:bookmarkEnd w:id="148"/>
    <w:p>
      <w:pPr>
        <w:jc w:val="both"/>
        <w:ind w:left="1960" w:firstLine="641"/>
        <w:spacing w:after="0" w:line="257" w:lineRule="auto"/>
        <w:tabs>
          <w:tab w:leader="none" w:pos="3573"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(1) the Term Loan or any Revolving Credit Commitment if such assignment is to a Person that is not a Lender with a Commitment in respect of the Term Loan or Revolving Credit Facility, an Affiliate of such Lender or an Approved Fund with respect to such Lender or (2) the Term Loan to a Person that is not a Lender, an Affiliate of a Lender or an Approved Fund; and</w:t>
      </w:r>
    </w:p>
    <w:p>
      <w:pPr>
        <w:spacing w:after="0" w:line="188" w:lineRule="exact"/>
        <w:rPr>
          <w:rFonts w:ascii="Arial" w:cs="Arial" w:eastAsia="Arial" w:hAnsi="Arial"/>
          <w:sz w:val="18"/>
          <w:szCs w:val="18"/>
          <w:color w:val="auto"/>
        </w:rPr>
      </w:pPr>
    </w:p>
    <w:p>
      <w:pPr>
        <w:jc w:val="both"/>
        <w:ind w:left="1960" w:firstLine="641"/>
        <w:spacing w:after="0" w:line="264" w:lineRule="auto"/>
        <w:tabs>
          <w:tab w:leader="none" w:pos="3532"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w:t>
      </w:r>
    </w:p>
    <w:p>
      <w:pPr>
        <w:spacing w:after="0" w:line="181" w:lineRule="exact"/>
        <w:rPr>
          <w:rFonts w:ascii="Arial" w:cs="Arial" w:eastAsia="Arial" w:hAnsi="Arial"/>
          <w:sz w:val="18"/>
          <w:szCs w:val="18"/>
          <w:color w:val="auto"/>
        </w:rPr>
      </w:pPr>
    </w:p>
    <w:p>
      <w:pPr>
        <w:jc w:val="both"/>
        <w:ind w:left="1300" w:firstLine="653"/>
        <w:spacing w:after="0" w:line="279" w:lineRule="auto"/>
        <w:tabs>
          <w:tab w:leader="none" w:pos="2847"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71" w:lineRule="exact"/>
        <w:rPr>
          <w:rFonts w:ascii="Arial" w:cs="Arial" w:eastAsia="Arial" w:hAnsi="Arial"/>
          <w:sz w:val="17"/>
          <w:szCs w:val="17"/>
          <w:color w:val="auto"/>
        </w:rPr>
      </w:pPr>
    </w:p>
    <w:p>
      <w:pPr>
        <w:ind w:left="2860" w:hanging="907"/>
        <w:spacing w:after="0"/>
        <w:tabs>
          <w:tab w:leader="none" w:pos="286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No Assignment to Borrower</w:t>
      </w:r>
      <w:r>
        <w:rPr>
          <w:rFonts w:ascii="Arial" w:cs="Arial" w:eastAsia="Arial" w:hAnsi="Arial"/>
          <w:sz w:val="16"/>
          <w:szCs w:val="16"/>
          <w:color w:val="auto"/>
        </w:rPr>
        <w:t>. No such assignment shall be made to the Borrower or any of the Borrower’s Affiliates or</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Subsidiaries.</w:t>
      </w:r>
    </w:p>
    <w:p>
      <w:pPr>
        <w:spacing w:after="0" w:line="210" w:lineRule="exact"/>
        <w:rPr>
          <w:rFonts w:ascii="Arial" w:cs="Arial" w:eastAsia="Arial" w:hAnsi="Arial"/>
          <w:sz w:val="16"/>
          <w:szCs w:val="16"/>
          <w:color w:val="auto"/>
        </w:rPr>
      </w:pPr>
    </w:p>
    <w:p>
      <w:pPr>
        <w:ind w:left="2800" w:hanging="847"/>
        <w:spacing w:after="0"/>
        <w:tabs>
          <w:tab w:leader="none" w:pos="280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Section 11.06(d)</w:t>
      </w:r>
      <w:r>
        <w:rPr>
          <w:rFonts w:ascii="Arial" w:cs="Arial" w:eastAsia="Arial" w:hAnsi="Arial"/>
          <w:sz w:val="17"/>
          <w:szCs w:val="17"/>
          <w:color w:val="auto"/>
        </w:rPr>
        <w: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9" w:name="page150"/>
    <w:bookmarkEnd w:id="149"/>
    <w:p>
      <w:pPr>
        <w:jc w:val="both"/>
        <w:ind w:left="-540" w:firstLine="645"/>
        <w:spacing w:after="0" w:line="255" w:lineRule="auto"/>
        <w:tabs>
          <w:tab w:leader="none" w:pos="142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an agent of the Borrower, shall maintain at the Administrative Agent’s Office a copy of each Assignment and Assumption delivered to it and a register for the recordation of the names and addresses of the Lenders, and the Commitments of, and principal amounts of the Loans and L/C Obligations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89" w:lineRule="exact"/>
        <w:rPr>
          <w:rFonts w:ascii="Arial" w:cs="Arial" w:eastAsia="Arial" w:hAnsi="Arial"/>
          <w:sz w:val="18"/>
          <w:szCs w:val="18"/>
          <w:color w:val="auto"/>
        </w:rPr>
      </w:pPr>
    </w:p>
    <w:p>
      <w:pPr>
        <w:jc w:val="both"/>
        <w:ind w:left="-540" w:firstLine="645"/>
        <w:spacing w:after="0" w:line="268" w:lineRule="auto"/>
        <w:tabs>
          <w:tab w:leader="none" w:pos="1006"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the Borrower or the Administrative Agent, sell participations to any Person (other than a natural person or the Borrower or any of the Borrower’s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(including such Lender’s participations in L/C Obligations)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that affects such Participant. Subject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of this Section, the Borrower agrees that each Participant shall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to the same extent as if it were a Lender and had acquired its interest by assignment pursuant to </w:t>
      </w:r>
      <w:r>
        <w:rPr>
          <w:rFonts w:ascii="Arial" w:cs="Arial" w:eastAsia="Arial" w:hAnsi="Arial"/>
          <w:sz w:val="17"/>
          <w:szCs w:val="17"/>
          <w:u w:val="single" w:color="auto"/>
          <w:color w:val="auto"/>
        </w:rPr>
        <w:t>Section 11.06(b)</w:t>
      </w:r>
      <w:r>
        <w:rPr>
          <w:rFonts w:ascii="Arial" w:cs="Arial" w:eastAsia="Arial" w:hAnsi="Arial"/>
          <w:sz w:val="17"/>
          <w:szCs w:val="17"/>
          <w:color w:val="auto"/>
        </w:rPr>
        <w:t xml:space="preserve">. To the extent permitted by law, each Participant also shall be entitled to the benefits of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Participant agrees to be subject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2.13</w:t>
      </w:r>
      <w:r>
        <w:rPr>
          <w:rFonts w:ascii="Arial" w:cs="Arial" w:eastAsia="Arial" w:hAnsi="Arial"/>
          <w:sz w:val="17"/>
          <w:szCs w:val="17"/>
          <w:color w:val="auto"/>
        </w:rPr>
        <w:t xml:space="preserve"> as though it were a Lender.</w:t>
      </w:r>
    </w:p>
    <w:p>
      <w:pPr>
        <w:spacing w:after="0" w:line="185" w:lineRule="exact"/>
        <w:rPr>
          <w:rFonts w:ascii="Arial" w:cs="Arial" w:eastAsia="Arial" w:hAnsi="Arial"/>
          <w:sz w:val="17"/>
          <w:szCs w:val="17"/>
          <w:color w:val="auto"/>
        </w:rPr>
      </w:pPr>
    </w:p>
    <w:p>
      <w:pPr>
        <w:jc w:val="both"/>
        <w:ind w:left="-540" w:firstLine="645"/>
        <w:spacing w:after="0" w:line="276" w:lineRule="auto"/>
        <w:tabs>
          <w:tab w:leader="none" w:pos="1150"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Limitations upon Participant Rights</w:t>
      </w:r>
      <w:r>
        <w:rPr>
          <w:rFonts w:ascii="Arial" w:cs="Arial" w:eastAsia="Arial" w:hAnsi="Arial"/>
          <w:sz w:val="17"/>
          <w:szCs w:val="17"/>
          <w:color w:val="auto"/>
        </w:rPr>
        <w:t xml:space="preserve">. A Participant shall not be entitled to receive any greater payment under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unless the Borrower is notified of the participation sold to such Participant and such Participant agrees, for the benefit of the Borrower, to comply with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as though it were a Lender.</w:t>
      </w:r>
    </w:p>
    <w:p>
      <w:pPr>
        <w:spacing w:after="0" w:line="38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431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50" w:name="page151"/>
    <w:bookmarkEnd w:id="150"/>
    <w:p>
      <w:pPr>
        <w:jc w:val="both"/>
        <w:ind w:left="660" w:firstLine="645"/>
        <w:spacing w:after="0" w:line="259" w:lineRule="auto"/>
        <w:tabs>
          <w:tab w:leader="none" w:pos="233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6" w:lineRule="exact"/>
        <w:rPr>
          <w:rFonts w:ascii="Arial" w:cs="Arial" w:eastAsia="Arial" w:hAnsi="Arial"/>
          <w:sz w:val="18"/>
          <w:szCs w:val="18"/>
          <w:color w:val="auto"/>
        </w:rPr>
      </w:pPr>
    </w:p>
    <w:p>
      <w:pPr>
        <w:jc w:val="both"/>
        <w:ind w:left="660" w:firstLine="645"/>
        <w:spacing w:after="0" w:line="287" w:lineRule="auto"/>
        <w:tabs>
          <w:tab w:leader="none" w:pos="2247"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Resignation as L/C Issuer after Assignment</w:t>
      </w:r>
      <w:r>
        <w:rPr>
          <w:rFonts w:ascii="Arial" w:cs="Arial" w:eastAsia="Arial" w:hAnsi="Arial"/>
          <w:sz w:val="16"/>
          <w:szCs w:val="16"/>
          <w:color w:val="auto"/>
        </w:rPr>
        <w:t xml:space="preserve">. Notwithstanding anything to the contrary contained herein, if at any time Bank of America assigns all of its Revolving Credit Commitment and Revolving Credit Loans pursuant to </w:t>
      </w:r>
      <w:r>
        <w:rPr>
          <w:rFonts w:ascii="Arial" w:cs="Arial" w:eastAsia="Arial" w:hAnsi="Arial"/>
          <w:sz w:val="16"/>
          <w:szCs w:val="16"/>
          <w:u w:val="single" w:color="auto"/>
          <w:color w:val="auto"/>
        </w:rPr>
        <w:t>Section 11.06(b)</w:t>
      </w:r>
      <w:r>
        <w:rPr>
          <w:rFonts w:ascii="Arial" w:cs="Arial" w:eastAsia="Arial" w:hAnsi="Arial"/>
          <w:sz w:val="16"/>
          <w:szCs w:val="16"/>
          <w:color w:val="auto"/>
        </w:rPr>
        <w:t xml:space="preserve">, Bank of America may, upon 30 days’ notice to the Borrower and the Lenders, resign as L/C Issuer. In the event of any such resignation as L/C Issuer, the Borrower shall be entitled to appoint from among the Lenders a successor L/C Issuer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failure by the Borrower to appoint any such successor shall affect the resignation of Bank of America as L/C Issuer.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LIBOR Daily Floating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Upon the appointment of a successor L/C Issuer, (a) such successor shall succeed to and become vested with all of the rights, powers, privileges and duties of the retiring L/C Issuer,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73"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11.07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Each of the Administrative Agent, the Lenders and the L/C Issuer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w:t>
      </w:r>
    </w:p>
    <w:p>
      <w:pPr>
        <w:spacing w:after="0" w:line="7" w:lineRule="exact"/>
        <w:rPr>
          <w:sz w:val="20"/>
          <w:szCs w:val="20"/>
          <w:color w:val="auto"/>
        </w:rPr>
      </w:pPr>
    </w:p>
    <w:p>
      <w:pPr>
        <w:jc w:val="both"/>
        <w:ind w:firstLine="8"/>
        <w:spacing w:after="0" w:line="254" w:lineRule="auto"/>
        <w:tabs>
          <w:tab w:leader="none" w:pos="28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actual or prospective counterparty (or its advisors) to any swap or derivative transaction relating to the Borrower and its obligations, (g) with the consent of the Borrower or (h) to the extent such Information (i) becomes publicly available other than as a result of a breach of this Section or (ii) becomes available to the Administrative Agent, any Lender, the L/C Issuer or any of their respective Affiliates on a nonconfidential basis from a source other than the Borrower.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1" w:name="page152"/>
    <w:bookmarkEnd w:id="151"/>
    <w:p>
      <w:pPr>
        <w:jc w:val="both"/>
        <w:ind w:firstLine="648"/>
        <w:spacing w:after="0" w:line="293" w:lineRule="auto"/>
        <w:rPr>
          <w:sz w:val="20"/>
          <w:szCs w:val="20"/>
          <w:color w:val="auto"/>
        </w:rPr>
      </w:pPr>
      <w:r>
        <w:rPr>
          <w:rFonts w:ascii="Arial" w:cs="Arial" w:eastAsia="Arial" w:hAnsi="Arial"/>
          <w:sz w:val="16"/>
          <w:szCs w:val="16"/>
          <w:color w:val="auto"/>
        </w:rPr>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any Loan Party or any Subsidiary thereof relating to any Loan Party or any Subsidiary thereof or their respective businesses, other than any such information that is available to the Administrative Agent, any Lender or the L/C Issuer on a nonconfidential basis prior to disclosure by any Loan Party or any Subsidiary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a Loan Party or any such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 Administrative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11.08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If an Event of Default shall have occurred and be continuing, each 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against any and all of the obligations of the Borrower now or hereafter existing under this Agreement or any other Loan Document to such Lender or the L/C Issuer, irrespective of whether or not such Lender or the L/C Issuer shall have made any demand under this Agreement or any other Loan Document and although such obligations of the Borrower may be contingent or unmatured or are owed to a branch or office of such Lender or the L/C Issuer different from the branch or office holding such deposit or obligated on such indebtedness.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Borrower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11.09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2" w:name="page153"/>
    <w:bookmarkEnd w:id="152"/>
    <w:p>
      <w:pPr>
        <w:jc w:val="both"/>
        <w:ind w:firstLine="648"/>
        <w:spacing w:after="0" w:line="269"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or any other Loan Document, or any certificate delivered thereunder,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11.11 </w:t>
      </w:r>
      <w:r>
        <w:rPr>
          <w:rFonts w:ascii="Arial" w:cs="Arial" w:eastAsia="Arial" w:hAnsi="Arial"/>
          <w:sz w:val="17"/>
          <w:szCs w:val="17"/>
          <w:u w:val="single" w:color="auto"/>
          <w:color w:val="auto"/>
        </w:rPr>
        <w:t>Survival of Representations and Warranties</w:t>
      </w:r>
      <w:r>
        <w:rPr>
          <w:rFonts w:ascii="Arial" w:cs="Arial" w:eastAsia="Arial" w:hAnsi="Arial"/>
          <w:sz w:val="17"/>
          <w:szCs w:val="17"/>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u w:val="single" w:color="auto"/>
          <w:color w:val="auto"/>
        </w:rPr>
        <w:t>Replacement of Lenders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is a Defaulting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3" w:name="page154"/>
    <w:bookmarkEnd w:id="153"/>
    <w:p>
      <w:pPr>
        <w:ind w:left="2180" w:hanging="875"/>
        <w:spacing w:after="0"/>
        <w:tabs>
          <w:tab w:leader="none" w:pos="21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242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from the assignee (to the extent of such outstanding principal and accrued interest and fees) or the Borrower (in the case of all other amounts);</w:t>
      </w:r>
    </w:p>
    <w:p>
      <w:pPr>
        <w:spacing w:after="0" w:line="186" w:lineRule="exact"/>
        <w:rPr>
          <w:rFonts w:ascii="Arial" w:cs="Arial" w:eastAsia="Arial" w:hAnsi="Arial"/>
          <w:sz w:val="18"/>
          <w:szCs w:val="18"/>
          <w:color w:val="auto"/>
        </w:rPr>
      </w:pPr>
    </w:p>
    <w:p>
      <w:pPr>
        <w:ind w:left="660" w:firstLine="645"/>
        <w:spacing w:after="0" w:line="308" w:lineRule="auto"/>
        <w:tabs>
          <w:tab w:leader="none" w:pos="2183"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such assignment will result in a reduction in such compensation or payments thereafter; and</w:t>
      </w:r>
    </w:p>
    <w:p>
      <w:pPr>
        <w:spacing w:after="0" w:line="146" w:lineRule="exact"/>
        <w:rPr>
          <w:rFonts w:ascii="Arial" w:cs="Arial" w:eastAsia="Arial" w:hAnsi="Arial"/>
          <w:sz w:val="17"/>
          <w:szCs w:val="17"/>
          <w:color w:val="auto"/>
        </w:rPr>
      </w:pPr>
    </w:p>
    <w:p>
      <w:pPr>
        <w:ind w:left="2240" w:hanging="935"/>
        <w:spacing w:after="0"/>
        <w:tabs>
          <w:tab w:leader="none" w:pos="22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u w:val="single" w:color="auto"/>
          <w:color w:val="auto"/>
        </w:rPr>
        <w:t>Governing Law; Jurisdiction; Etc</w:t>
      </w:r>
      <w:r>
        <w:rPr>
          <w:rFonts w:ascii="Arial" w:cs="Arial" w:eastAsia="Arial" w:hAnsi="Arial"/>
          <w:sz w:val="16"/>
          <w:szCs w:val="16"/>
          <w:color w:val="auto"/>
        </w:rPr>
        <w:t>.</w:t>
      </w:r>
    </w:p>
    <w:p>
      <w:pPr>
        <w:spacing w:after="0" w:line="225" w:lineRule="exact"/>
        <w:rPr>
          <w:sz w:val="20"/>
          <w:szCs w:val="20"/>
          <w:color w:val="auto"/>
        </w:rPr>
      </w:pPr>
    </w:p>
    <w:p>
      <w:pPr>
        <w:ind w:left="660" w:firstLine="645"/>
        <w:spacing w:after="0" w:line="277" w:lineRule="auto"/>
        <w:tabs>
          <w:tab w:leader="none" w:pos="2309"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COMMONWEALTH OF MASSACHUSETTS.</w:t>
      </w:r>
    </w:p>
    <w:p>
      <w:pPr>
        <w:spacing w:after="0" w:line="170" w:lineRule="exact"/>
        <w:rPr>
          <w:rFonts w:ascii="Arial" w:cs="Arial" w:eastAsia="Arial" w:hAnsi="Arial"/>
          <w:sz w:val="18"/>
          <w:szCs w:val="18"/>
          <w:color w:val="auto"/>
        </w:rPr>
      </w:pPr>
    </w:p>
    <w:p>
      <w:pPr>
        <w:jc w:val="both"/>
        <w:ind w:left="660" w:firstLine="645"/>
        <w:spacing w:after="0" w:line="252" w:lineRule="auto"/>
        <w:tabs>
          <w:tab w:leader="none" w:pos="2517"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THE BORROWER AND EACH OTHER LOAN PARTY IRREVOCABLY AND UNCONDITIONALLY SUBMITS, FOR ITSELF AND ITS PROPERTY, TO THE NONEXCLUSIVE JURISDICTION OF THE COURTS OF THE COMMONWEALTH OF MASSACHUSETTS SITTING IN SUFFOLK COUNTY AND OF THE UNITED STATES DISTRICT COURT OF THE DISTRICT OF MASSACHUSETTS,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ANY OTHER LOAN PARTY OR THEIR RESPECTIVE PROPERTIES IN THE COURTS OF ANY JURISDICTION.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4" w:name="page155"/>
    <w:bookmarkEnd w:id="154"/>
    <w:p>
      <w:pPr>
        <w:jc w:val="both"/>
        <w:ind w:left="660" w:firstLine="648"/>
        <w:spacing w:after="0" w:line="273"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WAIVER OF VENUE</w:t>
      </w:r>
      <w:r>
        <w:rPr>
          <w:rFonts w:ascii="Arial" w:cs="Arial" w:eastAsia="Arial" w:hAnsi="Arial"/>
          <w:sz w:val="17"/>
          <w:szCs w:val="17"/>
          <w:color w:val="auto"/>
        </w:rPr>
        <w:t>.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78" w:lineRule="exact"/>
        <w:rPr>
          <w:sz w:val="20"/>
          <w:szCs w:val="20"/>
          <w:color w:val="auto"/>
        </w:rPr>
      </w:pPr>
    </w:p>
    <w:p>
      <w:pPr>
        <w:jc w:val="both"/>
        <w:ind w:left="660" w:firstLine="645"/>
        <w:spacing w:after="0" w:line="264" w:lineRule="auto"/>
        <w:tabs>
          <w:tab w:leader="none" w:pos="2396"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u w:val="single" w:color="auto"/>
          <w:color w:val="auto"/>
        </w:rPr>
        <w:t>Waiver of Jury Trial</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7"/>
          <w:szCs w:val="17"/>
          <w:u w:val="single" w:color="auto"/>
          <w:color w:val="auto"/>
        </w:rPr>
        <w:t>No Advisory or Fiduciary Responsibility</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Administrative Agent are arm’s-length commercial transactions between the Borrower and its Affiliates, on the one hand, and the Administrative Agent,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is and has been acting solely as a principal and, except as expressly agreed in writing by the relevant parties, has not been, is not, and will not be acting as an advisor, agent or fiduciary for the Borrower or any of its Affiliates, or any other Person and (B) the Administrative Agent has no obligation to the Borrower or any of its Affiliates with respect to the transactions contemplated hereby except those obligations expressly set forth herein and in the other Loan Documents; and (iii) the Administrative Agent and its respective Affiliates may be engaged in a broad range of transactions that involve interests that differ from those of the Borrower and its Affiliates, and the Administrative Agent has no obligation to disclose any of such interests to the Borrower or its Affiliates. To the fullest extent permitted by law, the Borrower hereby waives and releases any claims that it may have against the Administrative Agent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5" w:name="page156"/>
    <w:bookmarkEnd w:id="155"/>
    <w:p>
      <w:pPr>
        <w:ind w:left="660"/>
        <w:spacing w:after="0"/>
        <w:tabs>
          <w:tab w:leader="none" w:pos="130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5"/>
          <w:szCs w:val="15"/>
          <w:u w:val="single" w:color="auto"/>
          <w:color w:val="auto"/>
        </w:rPr>
        <w:t>Reserved</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11.18</w:t>
      </w:r>
      <w:r>
        <w:rPr>
          <w:sz w:val="20"/>
          <w:szCs w:val="20"/>
          <w:color w:val="auto"/>
        </w:rPr>
        <w:tab/>
      </w:r>
      <w:r>
        <w:rPr>
          <w:rFonts w:ascii="Arial" w:cs="Arial" w:eastAsia="Arial" w:hAnsi="Arial"/>
          <w:sz w:val="17"/>
          <w:szCs w:val="17"/>
          <w:u w:val="single" w:color="auto"/>
          <w:color w:val="auto"/>
        </w:rPr>
        <w:t>USA PATRIOT Act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18"/>
          <w:szCs w:val="18"/>
          <w:u w:val="single" w:color="auto"/>
          <w:color w:val="auto"/>
        </w:rPr>
        <w:t>Act</w:t>
      </w:r>
      <w:r>
        <w:rPr>
          <w:rFonts w:ascii="Arial" w:cs="Arial" w:eastAsia="Arial" w:hAnsi="Arial"/>
          <w:sz w:val="18"/>
          <w:szCs w:val="18"/>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 anti-money laundering rules and regulations, including the Act.</w:t>
      </w:r>
    </w:p>
    <w:p>
      <w:pPr>
        <w:spacing w:after="0" w:line="18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11.19</w:t>
      </w:r>
      <w:r>
        <w:rPr>
          <w:sz w:val="20"/>
          <w:szCs w:val="20"/>
          <w:color w:val="auto"/>
        </w:rPr>
        <w:tab/>
      </w:r>
      <w:r>
        <w:rPr>
          <w:rFonts w:ascii="Arial" w:cs="Arial" w:eastAsia="Arial" w:hAnsi="Arial"/>
          <w:sz w:val="16"/>
          <w:szCs w:val="16"/>
          <w:u w:val="single" w:color="auto"/>
          <w:color w:val="auto"/>
        </w:rPr>
        <w:t>Time of the Essence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Time is of the essence of the Loan Documents.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11.20 </w:t>
      </w:r>
      <w:r>
        <w:rPr>
          <w:rFonts w:ascii="Arial" w:cs="Arial" w:eastAsia="Arial" w:hAnsi="Arial"/>
          <w:sz w:val="18"/>
          <w:szCs w:val="18"/>
          <w:u w:val="single" w:color="auto"/>
          <w:color w:val="auto"/>
        </w:rPr>
        <w:t>Eligible Contract Participant</w:t>
      </w:r>
      <w:r>
        <w:rPr>
          <w:rFonts w:ascii="Arial" w:cs="Arial" w:eastAsia="Arial" w:hAnsi="Arial"/>
          <w:sz w:val="18"/>
          <w:szCs w:val="18"/>
          <w:color w:val="auto"/>
        </w:rPr>
        <w:t>. (a) Notwithstanding anything in the Loan Documents to the contrary, a Loan Party shall not be deemed to be a guarantor of any Obligations arising out of or in connection with any Hedging Agreements if such Loan Party is not an “</w:t>
      </w:r>
      <w:r>
        <w:rPr>
          <w:rFonts w:ascii="Arial" w:cs="Arial" w:eastAsia="Arial" w:hAnsi="Arial"/>
          <w:sz w:val="18"/>
          <w:szCs w:val="18"/>
          <w:u w:val="single" w:color="auto"/>
          <w:color w:val="auto"/>
        </w:rPr>
        <w:t>Eligible Contract Participant</w:t>
      </w:r>
      <w:r>
        <w:rPr>
          <w:rFonts w:ascii="Arial" w:cs="Arial" w:eastAsia="Arial" w:hAnsi="Arial"/>
          <w:sz w:val="18"/>
          <w:szCs w:val="18"/>
          <w:color w:val="auto"/>
        </w:rPr>
        <w:t>” (as defined in § 1(a)(18) of the Commodity Exchange Act and the applicable rules issued by the Commodity Futures Trading Commission and/or the SEC (collectively, and as now or hereafter in effect, the “ECP Rules”)) to the extent that the providing of such guaranty by such Loan Party would violate the ECP Rules or any other applicable law or regulation. This paragraph shall not affect any Obligations not arising out of or in connection with any Hedging Agreements, nor shall it affect any Obligations arising out of or in connection with any Hedging Agreements to the extent such Loan Party qualifies as an “</w:t>
      </w:r>
      <w:r>
        <w:rPr>
          <w:rFonts w:ascii="Arial" w:cs="Arial" w:eastAsia="Arial" w:hAnsi="Arial"/>
          <w:sz w:val="18"/>
          <w:szCs w:val="18"/>
          <w:u w:val="single" w:color="auto"/>
          <w:color w:val="auto"/>
        </w:rPr>
        <w:t>Eligible Contract Participant</w:t>
      </w:r>
      <w:r>
        <w:rPr>
          <w:rFonts w:ascii="Arial" w:cs="Arial" w:eastAsia="Arial" w:hAnsi="Arial"/>
          <w:sz w:val="18"/>
          <w:szCs w:val="18"/>
          <w:color w:val="auto"/>
        </w:rPr>
        <w:t>” (so defined).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6" w:name="page157"/>
    <w:bookmarkEnd w:id="156"/>
    <w:p>
      <w:pPr>
        <w:jc w:val="both"/>
        <w:ind w:left="660" w:firstLine="645"/>
        <w:spacing w:after="0" w:line="270" w:lineRule="auto"/>
        <w:tabs>
          <w:tab w:leader="none" w:pos="245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Each Loan Party that is a Qualified ECP Guarantor at the time the Guaranty,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its Guaranty and the other Loan Documents in respect of such Swap Obligation (but, in each case, only up to the maximum amount of such liability that can be hereby incurred without rendering such Qualified ECP Guarantor’s obligations and undertakings under this Section 11.20(b) voidable under applicable law relating to fraudulent conveyance or fraudulent transfer, and not for any greater amount). The obligations and undertakings of each Qualified ECP Guarantor under this Section shall remain in full force and effect until the Obligations have been indefeasibly paid and performed in full. Each Qualified ECP Guarantor intends this Section to constitute, and this Section shall be deemed to constitute, a guarantee of the obligations of, and a “keepwell, support, or other agreement” for the benefit of, each Specified Loan Party for all purposes of the Commodity Exchange Act.</w:t>
      </w:r>
    </w:p>
    <w:p>
      <w:pPr>
        <w:spacing w:after="0" w:line="17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u w:val="single" w:color="auto"/>
          <w:color w:val="auto"/>
        </w:rPr>
        <w:t>Electronic Execution of Assignments and Certain Other Documents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words “execution,” “execute,” “signed,” “signature,” and words of like import in or related to any document to be signed in connection with this Agreement and the transactions contemplated hereby (including without limitation Assignment and Assumptions, amendments or other Committed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 provided, further, without limiting the foregoing, upon the request of the Administrative Agent, any electronic signature shall be promptly followed by such manually executed counterparts.</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6"/>
          <w:szCs w:val="16"/>
          <w:u w:val="single" w:color="auto"/>
          <w:color w:val="auto"/>
        </w:rPr>
        <w:t>Acknowledgement and Consent to Bail-In of EEA Financial Institutions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anything to the 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7" w:name="page158"/>
    <w:bookmarkEnd w:id="157"/>
    <w:p>
      <w:pPr>
        <w:ind w:left="660" w:firstLine="645"/>
        <w:spacing w:after="0" w:line="277" w:lineRule="auto"/>
        <w:tabs>
          <w:tab w:leader="none" w:pos="238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that is an EEA Financial Institution; and</w:t>
      </w:r>
    </w:p>
    <w:p>
      <w:pPr>
        <w:spacing w:after="0" w:line="170" w:lineRule="exact"/>
        <w:rPr>
          <w:rFonts w:ascii="Arial" w:cs="Arial" w:eastAsia="Arial" w:hAnsi="Arial"/>
          <w:sz w:val="18"/>
          <w:szCs w:val="18"/>
          <w:color w:val="auto"/>
        </w:rPr>
      </w:pPr>
    </w:p>
    <w:p>
      <w:pPr>
        <w:ind w:left="2240" w:hanging="935"/>
        <w:spacing w:after="0"/>
        <w:tabs>
          <w:tab w:leader="none" w:pos="22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880" w:hanging="927"/>
        <w:spacing w:after="0"/>
        <w:tabs>
          <w:tab w:leader="none" w:pos="28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1300" w:firstLine="653"/>
        <w:spacing w:after="0" w:line="259" w:lineRule="auto"/>
        <w:tabs>
          <w:tab w:leader="none" w:pos="2883"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variation of the terms of such liability in connection with the exercise of the write-down and conversion powers of any EEA Resolution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Authority.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RATIFICATION</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12.01</w:t>
      </w:r>
      <w:r>
        <w:rPr>
          <w:sz w:val="20"/>
          <w:szCs w:val="20"/>
          <w:color w:val="auto"/>
        </w:rPr>
        <w:tab/>
      </w:r>
      <w:r>
        <w:rPr>
          <w:rFonts w:ascii="Arial" w:cs="Arial" w:eastAsia="Arial" w:hAnsi="Arial"/>
          <w:sz w:val="15"/>
          <w:szCs w:val="15"/>
          <w:u w:val="single" w:color="auto"/>
          <w:color w:val="auto"/>
        </w:rPr>
        <w:t>General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INDUCE THE LENDERS AND THE ADMINISTRATIVE AGENT TO AGREE TO THE TERMS OF THIS AGREEMENT, THE BORROWER REPRESENTS AND WARRANTS THAT AS OF THE DATE OF ITS EXECUTION OF THIS AGREEMENT THERE ARE NO CLAIMS OR OFFSETS AGAINST OR RIGHTS OF RECOUPMENT WITH RESPECT TO OR DEFENSES OR COUNTERCLAIMS TO ITS OBLIGATIONS UNDER THE LOAN DOCUMENTS (INCLUDING WITHOUT LIMITATION, UNDER THE ORIGINAL CREDIT AGREEMENT, OR AGAINST ANY PRIOR AGENT) AND IN ACCORDANCE THEREWITH IT:</w:t>
      </w:r>
    </w:p>
    <w:p>
      <w:pPr>
        <w:spacing w:after="0" w:line="188" w:lineRule="exact"/>
        <w:rPr>
          <w:sz w:val="20"/>
          <w:szCs w:val="20"/>
          <w:color w:val="auto"/>
        </w:rPr>
      </w:pPr>
    </w:p>
    <w:p>
      <w:pPr>
        <w:ind w:left="660" w:firstLine="645"/>
        <w:spacing w:after="0" w:line="277" w:lineRule="auto"/>
        <w:tabs>
          <w:tab w:leader="none" w:pos="2764"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WAIVES ANY AND ALL SUCH CLAIMS, OFFSETS, RIGHTS OF RECOUPMENT, DEFENSES OR COUNTERCLAIMS, ARISING PRIOR TO THE DATE OF ITS EXECUTION OF THIS AGREEMENT AND</w:t>
      </w:r>
    </w:p>
    <w:p>
      <w:pPr>
        <w:spacing w:after="0" w:line="170" w:lineRule="exact"/>
        <w:rPr>
          <w:rFonts w:ascii="Arial" w:cs="Arial" w:eastAsia="Arial" w:hAnsi="Arial"/>
          <w:sz w:val="18"/>
          <w:szCs w:val="18"/>
          <w:color w:val="auto"/>
        </w:rPr>
      </w:pPr>
    </w:p>
    <w:p>
      <w:pPr>
        <w:jc w:val="both"/>
        <w:ind w:left="660" w:firstLine="645"/>
        <w:spacing w:after="0" w:line="276" w:lineRule="auto"/>
        <w:tabs>
          <w:tab w:leader="none" w:pos="2427"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RELEASES AND DISCHARGES THE LENDERS AND THE ADMINISTRATIVE AGENT AND ALL PRIOR AGENTS AND THEIR OFFICERS, DIRECTORS, EMPLOYEES, AGENTS AND AFFILIATES (COLLECTIVELY THE “RELEASED PARTIES”) FROM ANY AND ALL LIABILITIES, CLAIMS, CAUSES OF ACTION, IN LAW OR EQUITY, WHICH THE BORROWER OR ANY LOAN PARTY OR ANY OF THEIR SUBSIDIARIES MAY HAVE AGAINST ANY RELEASED PARTY ARISING PRIOR TO THE DATE HEREOF IN CONNECTION WITH THE LOAN DOCUMENTS OR THE TRANSACTIONS CONTEMPLATED THEREBY.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8" w:name="page159"/>
    <w:bookmarkEnd w:id="158"/>
    <w:p>
      <w:pPr>
        <w:ind w:left="660"/>
        <w:spacing w:after="0"/>
        <w:tabs>
          <w:tab w:leader="none" w:pos="1320" w:val="left"/>
        </w:tabs>
        <w:rPr>
          <w:sz w:val="20"/>
          <w:szCs w:val="20"/>
          <w:color w:val="auto"/>
        </w:rPr>
      </w:pPr>
      <w:r>
        <w:rPr>
          <w:rFonts w:ascii="Arial" w:cs="Arial" w:eastAsia="Arial" w:hAnsi="Arial"/>
          <w:sz w:val="18"/>
          <w:szCs w:val="18"/>
          <w:color w:val="auto"/>
        </w:rPr>
        <w:t>12.02</w:t>
      </w:r>
      <w:r>
        <w:rPr>
          <w:sz w:val="20"/>
          <w:szCs w:val="20"/>
          <w:color w:val="auto"/>
        </w:rPr>
        <w:tab/>
      </w:r>
      <w:r>
        <w:rPr>
          <w:rFonts w:ascii="Arial" w:cs="Arial" w:eastAsia="Arial" w:hAnsi="Arial"/>
          <w:sz w:val="16"/>
          <w:szCs w:val="16"/>
          <w:u w:val="single" w:color="auto"/>
          <w:color w:val="auto"/>
        </w:rPr>
        <w:t>Reference to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 Loan Documents, including the Original Credit Agreement, the Notes and any and all other agreements, documents, or instruments now or hereafter executed and delivered pursuant to the terms hereof or pursuant to the terms of the Original Credit Agreement, as amended hereby, are hereby amended so that any reference in such Loan Documents to the Original Credit Agreement shall mean a reference to the Original Credit Agreement, and as further amended hereby.</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12.03</w:t>
      </w:r>
      <w:r>
        <w:rPr>
          <w:sz w:val="20"/>
          <w:szCs w:val="20"/>
          <w:color w:val="auto"/>
        </w:rPr>
        <w:tab/>
      </w:r>
      <w:r>
        <w:rPr>
          <w:rFonts w:ascii="Arial" w:cs="Arial" w:eastAsia="Arial" w:hAnsi="Arial"/>
          <w:sz w:val="16"/>
          <w:szCs w:val="16"/>
          <w:u w:val="single" w:color="auto"/>
          <w:color w:val="auto"/>
        </w:rPr>
        <w:t>Entire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Agreement embodies the entire agreement among the parties hereto with respect to the subject matter thereof, and supersedes any and all prior representations and understandings, whether written or oral, relating to this amendment. There are no oral agreements among the parties hereto with respect to the subject matter hereof.</w:t>
      </w:r>
    </w:p>
    <w:p>
      <w:pPr>
        <w:spacing w:after="0" w:line="181" w:lineRule="exact"/>
        <w:rPr>
          <w:sz w:val="20"/>
          <w:szCs w:val="20"/>
          <w:color w:val="auto"/>
        </w:rPr>
      </w:pPr>
    </w:p>
    <w:p>
      <w:pPr>
        <w:jc w:val="center"/>
        <w:ind w:left="4820" w:right="3680" w:hanging="1125"/>
        <w:spacing w:after="0" w:line="528" w:lineRule="auto"/>
        <w:tabs>
          <w:tab w:leader="none" w:pos="3792"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 ]</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9" w:name="page160"/>
    <w:bookmarkEnd w:id="159"/>
    <w:p>
      <w:pPr>
        <w:ind w:left="100"/>
        <w:spacing w:after="0"/>
        <w:rPr>
          <w:sz w:val="20"/>
          <w:szCs w:val="20"/>
          <w:color w:val="auto"/>
        </w:rPr>
      </w:pPr>
      <w:r>
        <w:rPr>
          <w:rFonts w:ascii="Arial" w:cs="Arial" w:eastAsia="Arial" w:hAnsi="Arial"/>
          <w:sz w:val="16"/>
          <w:szCs w:val="16"/>
          <w:i w:val="1"/>
          <w:iCs w:val="1"/>
          <w:color w:val="auto"/>
        </w:rPr>
        <w:t xml:space="preserve">IN WITNESS WHEREOF, </w:t>
      </w:r>
      <w:r>
        <w:rPr>
          <w:rFonts w:ascii="Arial" w:cs="Arial" w:eastAsia="Arial" w:hAnsi="Arial"/>
          <w:sz w:val="16"/>
          <w:szCs w:val="16"/>
          <w:color w:val="auto"/>
        </w:rPr>
        <w:t>the parties hereto have caused this Agreement to be duly executed as of the date first above written.</w:t>
      </w:r>
    </w:p>
    <w:p>
      <w:pPr>
        <w:sectPr>
          <w:pgSz w:w="11900" w:h="16838" w:orient="portrait"/>
          <w:cols w:equalWidth="0" w:num="1">
            <w:col w:w="9180"/>
          </w:cols>
          <w:pgMar w:left="1440" w:top="909" w:right="1279" w:bottom="1440" w:gutter="0" w:footer="0" w:header="0"/>
        </w:sectPr>
      </w:pP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HARVARD BIOSCIENCE, INC.</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Robert Gagnon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Robert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21697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36830</wp:posOffset>
            </wp:positionV>
            <wp:extent cx="7246620" cy="431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9180"/>
          </w:cols>
          <w:pgMar w:left="1440" w:top="909" w:right="1279" w:bottom="1440" w:gutter="0" w:footer="0" w:header="0"/>
          <w:type w:val="continuous"/>
        </w:sectPr>
      </w:pPr>
    </w:p>
    <w:bookmarkStart w:id="160" w:name="page161"/>
    <w:bookmarkEnd w:id="160"/>
    <w:p>
      <w:pPr>
        <w:ind w:left="4520"/>
        <w:spacing w:after="0"/>
        <w:rPr>
          <w:sz w:val="20"/>
          <w:szCs w:val="20"/>
          <w:color w:val="auto"/>
        </w:rPr>
      </w:pPr>
      <w:r>
        <w:rPr>
          <w:rFonts w:ascii="Arial" w:cs="Arial" w:eastAsia="Arial" w:hAnsi="Arial"/>
          <w:sz w:val="18"/>
          <w:szCs w:val="18"/>
          <w:color w:val="auto"/>
        </w:rPr>
        <w:t>BANK OF AMERICA, N.A., AS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Jones</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Denise Jones</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36830</wp:posOffset>
            </wp:positionV>
            <wp:extent cx="7246620" cy="431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61" w:name="page162"/>
    <w:bookmarkEnd w:id="161"/>
    <w:p>
      <w:pPr>
        <w:ind w:left="4520"/>
        <w:spacing w:after="0"/>
        <w:rPr>
          <w:sz w:val="20"/>
          <w:szCs w:val="20"/>
          <w:color w:val="auto"/>
        </w:rPr>
      </w:pPr>
      <w:r>
        <w:rPr>
          <w:rFonts w:ascii="Arial" w:cs="Arial" w:eastAsia="Arial" w:hAnsi="Arial"/>
          <w:sz w:val="17"/>
          <w:szCs w:val="17"/>
          <w:color w:val="auto"/>
        </w:rPr>
        <w:t>BANK OF AMERICA, N.A., AS A LENDER AND</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L/C Issuer</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McCarthy</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Peter McCarthy</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36830</wp:posOffset>
            </wp:positionV>
            <wp:extent cx="7246620" cy="431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62" w:name="page163"/>
    <w:bookmarkEnd w:id="162"/>
    <w:p>
      <w:pPr>
        <w:ind w:left="4520"/>
        <w:spacing w:after="0"/>
        <w:rPr>
          <w:sz w:val="20"/>
          <w:szCs w:val="20"/>
          <w:color w:val="auto"/>
        </w:rPr>
      </w:pPr>
      <w:r>
        <w:rPr>
          <w:rFonts w:ascii="Arial" w:cs="Arial" w:eastAsia="Arial" w:hAnsi="Arial"/>
          <w:sz w:val="18"/>
          <w:szCs w:val="18"/>
          <w:color w:val="auto"/>
        </w:rPr>
        <w:t>BROWN BROTHERS HARRIMAN &amp; CO.</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 Head, Jr.</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Daniel G. Head, Jr.</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36830</wp:posOffset>
            </wp:positionV>
            <wp:extent cx="7246620" cy="431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Schedule 2.01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Commitments and Applicable Percentages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80" w:type="dxa"/>
            <w:vAlign w:val="bottom"/>
            <w:tcBorders>
              <w:top w:val="single" w:sz="8" w:color="auto"/>
              <w:left w:val="single" w:sz="8" w:color="auto"/>
            </w:tcBorders>
          </w:tcPr>
          <w:p>
            <w:pPr>
              <w:spacing w:after="0"/>
              <w:rPr>
                <w:sz w:val="21"/>
                <w:szCs w:val="21"/>
                <w:color w:val="auto"/>
              </w:rPr>
            </w:pPr>
          </w:p>
        </w:tc>
        <w:tc>
          <w:tcPr>
            <w:tcW w:w="41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Lender</w:t>
            </w:r>
          </w:p>
        </w:tc>
        <w:tc>
          <w:tcPr>
            <w:tcW w:w="40" w:type="dxa"/>
            <w:vAlign w:val="bottom"/>
            <w:tcBorders>
              <w:top w:val="single" w:sz="8" w:color="auto"/>
            </w:tcBorders>
          </w:tcPr>
          <w:p>
            <w:pPr>
              <w:spacing w:after="0"/>
              <w:rPr>
                <w:sz w:val="21"/>
                <w:szCs w:val="21"/>
                <w:color w:val="auto"/>
              </w:rPr>
            </w:pPr>
          </w:p>
        </w:tc>
        <w:tc>
          <w:tcPr>
            <w:tcW w:w="450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Revolving Credit Commitment</w:t>
            </w:r>
          </w:p>
        </w:tc>
        <w:tc>
          <w:tcPr>
            <w:tcW w:w="60" w:type="dxa"/>
            <w:vAlign w:val="bottom"/>
            <w:tcBorders>
              <w:top w:val="single" w:sz="8" w:color="auto"/>
            </w:tcBorders>
          </w:tcPr>
          <w:p>
            <w:pPr>
              <w:spacing w:after="0"/>
              <w:rPr>
                <w:sz w:val="21"/>
                <w:szCs w:val="21"/>
                <w:color w:val="auto"/>
              </w:rPr>
            </w:pPr>
          </w:p>
        </w:tc>
        <w:tc>
          <w:tcPr>
            <w:tcW w:w="25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Applicable</w:t>
            </w:r>
          </w:p>
        </w:tc>
      </w:tr>
      <w:tr>
        <w:trPr>
          <w:trHeight w:val="196"/>
        </w:trPr>
        <w:tc>
          <w:tcPr>
            <w:tcW w:w="80" w:type="dxa"/>
            <w:vAlign w:val="bottom"/>
            <w:tcBorders>
              <w:left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86"/>
              </w:rPr>
              <w:t>Percentage</w:t>
            </w:r>
          </w:p>
        </w:tc>
        <w:tc>
          <w:tcPr>
            <w:tcW w:w="1740" w:type="dxa"/>
            <w:vAlign w:val="bottom"/>
            <w:tcBorders>
              <w:right w:val="single" w:sz="8" w:color="auto"/>
            </w:tcBorders>
          </w:tcPr>
          <w:p>
            <w:pPr>
              <w:spacing w:after="0"/>
              <w:rPr>
                <w:sz w:val="17"/>
                <w:szCs w:val="17"/>
                <w:color w:val="auto"/>
              </w:rPr>
            </w:pPr>
          </w:p>
        </w:tc>
      </w:tr>
      <w:tr>
        <w:trPr>
          <w:trHeight w:val="75"/>
        </w:trPr>
        <w:tc>
          <w:tcPr>
            <w:tcW w:w="80" w:type="dxa"/>
            <w:vAlign w:val="bottom"/>
            <w:tcBorders>
              <w:left w:val="single" w:sz="8" w:color="auto"/>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8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r>
      <w:tr>
        <w:trPr>
          <w:trHeight w:val="264"/>
        </w:trPr>
        <w:tc>
          <w:tcPr>
            <w:tcW w:w="80" w:type="dxa"/>
            <w:vAlign w:val="bottom"/>
            <w:tcBorders>
              <w:left w:val="single" w:sz="8" w:color="auto"/>
            </w:tcBorders>
          </w:tcPr>
          <w:p>
            <w:pPr>
              <w:spacing w:after="0"/>
              <w:rPr>
                <w:sz w:val="22"/>
                <w:szCs w:val="22"/>
                <w:color w:val="auto"/>
              </w:rPr>
            </w:pPr>
          </w:p>
        </w:tc>
        <w:tc>
          <w:tcPr>
            <w:tcW w:w="41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Bank of America, N.A.</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$17,500,000.00</w:t>
            </w:r>
          </w:p>
        </w:tc>
        <w:tc>
          <w:tcPr>
            <w:tcW w:w="860" w:type="dxa"/>
            <w:vAlign w:val="bottom"/>
          </w:tcPr>
          <w:p>
            <w:pPr>
              <w:spacing w:after="0"/>
              <w:rPr>
                <w:sz w:val="22"/>
                <w:szCs w:val="22"/>
                <w:color w:val="auto"/>
              </w:rPr>
            </w:pPr>
          </w:p>
        </w:tc>
        <w:tc>
          <w:tcPr>
            <w:tcW w:w="22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70.000000000%</w:t>
            </w:r>
          </w:p>
        </w:tc>
      </w:tr>
      <w:tr>
        <w:trPr>
          <w:trHeight w:val="54"/>
        </w:trPr>
        <w:tc>
          <w:tcPr>
            <w:tcW w:w="80" w:type="dxa"/>
            <w:vAlign w:val="bottom"/>
            <w:tcBorders>
              <w:left w:val="single" w:sz="8" w:color="auto"/>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r>
        <w:trPr>
          <w:trHeight w:val="264"/>
        </w:trPr>
        <w:tc>
          <w:tcPr>
            <w:tcW w:w="80" w:type="dxa"/>
            <w:vAlign w:val="bottom"/>
            <w:tcBorders>
              <w:left w:val="single" w:sz="8" w:color="auto"/>
            </w:tcBorders>
          </w:tcPr>
          <w:p>
            <w:pPr>
              <w:spacing w:after="0"/>
              <w:rPr>
                <w:sz w:val="22"/>
                <w:szCs w:val="22"/>
                <w:color w:val="auto"/>
              </w:rPr>
            </w:pPr>
          </w:p>
        </w:tc>
        <w:tc>
          <w:tcPr>
            <w:tcW w:w="41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Brown Brothers Harriman &amp; Co.</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$7,500,000.00</w:t>
            </w:r>
          </w:p>
        </w:tc>
        <w:tc>
          <w:tcPr>
            <w:tcW w:w="860" w:type="dxa"/>
            <w:vAlign w:val="bottom"/>
          </w:tcPr>
          <w:p>
            <w:pPr>
              <w:spacing w:after="0"/>
              <w:rPr>
                <w:sz w:val="22"/>
                <w:szCs w:val="22"/>
                <w:color w:val="auto"/>
              </w:rPr>
            </w:pPr>
          </w:p>
        </w:tc>
        <w:tc>
          <w:tcPr>
            <w:tcW w:w="22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30.000000000%</w:t>
            </w:r>
          </w:p>
        </w:tc>
      </w:tr>
      <w:tr>
        <w:trPr>
          <w:trHeight w:val="54"/>
        </w:trPr>
        <w:tc>
          <w:tcPr>
            <w:tcW w:w="80" w:type="dxa"/>
            <w:vAlign w:val="bottom"/>
            <w:tcBorders>
              <w:left w:val="single" w:sz="8" w:color="auto"/>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r>
        <w:trPr>
          <w:trHeight w:val="264"/>
        </w:trPr>
        <w:tc>
          <w:tcPr>
            <w:tcW w:w="80" w:type="dxa"/>
            <w:vAlign w:val="bottom"/>
            <w:tcBorders>
              <w:lef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3680" w:type="dxa"/>
            <w:vAlign w:val="bottom"/>
            <w:tcBorders>
              <w:right w:val="single" w:sz="8" w:color="auto"/>
            </w:tcBorders>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$25,000,000.00</w:t>
            </w:r>
          </w:p>
        </w:tc>
        <w:tc>
          <w:tcPr>
            <w:tcW w:w="860" w:type="dxa"/>
            <w:vAlign w:val="bottom"/>
          </w:tcPr>
          <w:p>
            <w:pPr>
              <w:spacing w:after="0"/>
              <w:rPr>
                <w:sz w:val="22"/>
                <w:szCs w:val="22"/>
                <w:color w:val="auto"/>
              </w:rPr>
            </w:pPr>
          </w:p>
        </w:tc>
        <w:tc>
          <w:tcPr>
            <w:tcW w:w="22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100.000000000%</w:t>
            </w:r>
          </w:p>
        </w:tc>
      </w:tr>
      <w:tr>
        <w:trPr>
          <w:trHeight w:val="54"/>
        </w:trPr>
        <w:tc>
          <w:tcPr>
            <w:tcW w:w="80" w:type="dxa"/>
            <w:vAlign w:val="bottom"/>
            <w:tcBorders>
              <w:left w:val="single" w:sz="8" w:color="auto"/>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r>
        <w:trPr>
          <w:trHeight w:val="426"/>
        </w:trPr>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41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Lender</w:t>
            </w:r>
          </w:p>
        </w:tc>
        <w:tc>
          <w:tcPr>
            <w:tcW w:w="40" w:type="dxa"/>
            <w:vAlign w:val="bottom"/>
          </w:tcPr>
          <w:p>
            <w:pPr>
              <w:spacing w:after="0"/>
              <w:rPr>
                <w:sz w:val="19"/>
                <w:szCs w:val="19"/>
                <w:color w:val="auto"/>
              </w:rPr>
            </w:pPr>
          </w:p>
        </w:tc>
        <w:tc>
          <w:tcPr>
            <w:tcW w:w="45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Term Commitment</w:t>
            </w:r>
          </w:p>
        </w:tc>
        <w:tc>
          <w:tcPr>
            <w:tcW w:w="60" w:type="dxa"/>
            <w:vAlign w:val="bottom"/>
          </w:tcPr>
          <w:p>
            <w:pPr>
              <w:spacing w:after="0"/>
              <w:rPr>
                <w:sz w:val="19"/>
                <w:szCs w:val="19"/>
                <w:color w:val="auto"/>
              </w:rPr>
            </w:pPr>
          </w:p>
        </w:tc>
        <w:tc>
          <w:tcPr>
            <w:tcW w:w="25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Applicable</w:t>
            </w:r>
          </w:p>
        </w:tc>
      </w:tr>
      <w:tr>
        <w:trPr>
          <w:trHeight w:val="196"/>
        </w:trPr>
        <w:tc>
          <w:tcPr>
            <w:tcW w:w="80" w:type="dxa"/>
            <w:vAlign w:val="bottom"/>
            <w:tcBorders>
              <w:left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86"/>
              </w:rPr>
              <w:t>Percentage</w:t>
            </w:r>
          </w:p>
        </w:tc>
        <w:tc>
          <w:tcPr>
            <w:tcW w:w="1740" w:type="dxa"/>
            <w:vAlign w:val="bottom"/>
            <w:tcBorders>
              <w:right w:val="single" w:sz="8" w:color="auto"/>
            </w:tcBorders>
          </w:tcPr>
          <w:p>
            <w:pPr>
              <w:spacing w:after="0"/>
              <w:rPr>
                <w:sz w:val="17"/>
                <w:szCs w:val="17"/>
                <w:color w:val="auto"/>
              </w:rPr>
            </w:pPr>
          </w:p>
        </w:tc>
      </w:tr>
      <w:tr>
        <w:trPr>
          <w:trHeight w:val="75"/>
        </w:trPr>
        <w:tc>
          <w:tcPr>
            <w:tcW w:w="80" w:type="dxa"/>
            <w:vAlign w:val="bottom"/>
            <w:tcBorders>
              <w:left w:val="single" w:sz="8" w:color="auto"/>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8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r>
      <w:tr>
        <w:trPr>
          <w:trHeight w:val="264"/>
        </w:trPr>
        <w:tc>
          <w:tcPr>
            <w:tcW w:w="80" w:type="dxa"/>
            <w:vAlign w:val="bottom"/>
            <w:tcBorders>
              <w:left w:val="single" w:sz="8" w:color="auto"/>
            </w:tcBorders>
          </w:tcPr>
          <w:p>
            <w:pPr>
              <w:spacing w:after="0"/>
              <w:rPr>
                <w:sz w:val="22"/>
                <w:szCs w:val="22"/>
                <w:color w:val="auto"/>
              </w:rPr>
            </w:pPr>
          </w:p>
        </w:tc>
        <w:tc>
          <w:tcPr>
            <w:tcW w:w="41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Bank of America, N.A.</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$9,800,000.00</w:t>
            </w:r>
          </w:p>
        </w:tc>
        <w:tc>
          <w:tcPr>
            <w:tcW w:w="860" w:type="dxa"/>
            <w:vAlign w:val="bottom"/>
          </w:tcPr>
          <w:p>
            <w:pPr>
              <w:spacing w:after="0"/>
              <w:rPr>
                <w:sz w:val="22"/>
                <w:szCs w:val="22"/>
                <w:color w:val="auto"/>
              </w:rPr>
            </w:pPr>
          </w:p>
        </w:tc>
        <w:tc>
          <w:tcPr>
            <w:tcW w:w="22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70.000000000%</w:t>
            </w:r>
          </w:p>
        </w:tc>
      </w:tr>
      <w:tr>
        <w:trPr>
          <w:trHeight w:val="54"/>
        </w:trPr>
        <w:tc>
          <w:tcPr>
            <w:tcW w:w="80" w:type="dxa"/>
            <w:vAlign w:val="bottom"/>
            <w:tcBorders>
              <w:left w:val="single" w:sz="8" w:color="auto"/>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r>
        <w:trPr>
          <w:trHeight w:val="264"/>
        </w:trPr>
        <w:tc>
          <w:tcPr>
            <w:tcW w:w="80" w:type="dxa"/>
            <w:vAlign w:val="bottom"/>
            <w:tcBorders>
              <w:left w:val="single" w:sz="8" w:color="auto"/>
            </w:tcBorders>
          </w:tcPr>
          <w:p>
            <w:pPr>
              <w:spacing w:after="0"/>
              <w:rPr>
                <w:sz w:val="22"/>
                <w:szCs w:val="22"/>
                <w:color w:val="auto"/>
              </w:rPr>
            </w:pPr>
          </w:p>
        </w:tc>
        <w:tc>
          <w:tcPr>
            <w:tcW w:w="41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Brown Brothers Harriman &amp; Co.</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$4,200,000.00</w:t>
            </w:r>
          </w:p>
        </w:tc>
        <w:tc>
          <w:tcPr>
            <w:tcW w:w="860" w:type="dxa"/>
            <w:vAlign w:val="bottom"/>
          </w:tcPr>
          <w:p>
            <w:pPr>
              <w:spacing w:after="0"/>
              <w:rPr>
                <w:sz w:val="22"/>
                <w:szCs w:val="22"/>
                <w:color w:val="auto"/>
              </w:rPr>
            </w:pPr>
          </w:p>
        </w:tc>
        <w:tc>
          <w:tcPr>
            <w:tcW w:w="22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30.000000000%</w:t>
            </w:r>
          </w:p>
        </w:tc>
      </w:tr>
      <w:tr>
        <w:trPr>
          <w:trHeight w:val="54"/>
        </w:trPr>
        <w:tc>
          <w:tcPr>
            <w:tcW w:w="80" w:type="dxa"/>
            <w:vAlign w:val="bottom"/>
            <w:tcBorders>
              <w:left w:val="single" w:sz="8" w:color="auto"/>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r>
        <w:trPr>
          <w:trHeight w:val="264"/>
        </w:trPr>
        <w:tc>
          <w:tcPr>
            <w:tcW w:w="80" w:type="dxa"/>
            <w:vAlign w:val="bottom"/>
            <w:tcBorders>
              <w:lef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3680" w:type="dxa"/>
            <w:vAlign w:val="bottom"/>
            <w:tcBorders>
              <w:right w:val="single" w:sz="8" w:color="auto"/>
            </w:tcBorders>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$14,000,000.00</w:t>
            </w:r>
          </w:p>
        </w:tc>
        <w:tc>
          <w:tcPr>
            <w:tcW w:w="860" w:type="dxa"/>
            <w:vAlign w:val="bottom"/>
          </w:tcPr>
          <w:p>
            <w:pPr>
              <w:spacing w:after="0"/>
              <w:rPr>
                <w:sz w:val="22"/>
                <w:szCs w:val="22"/>
                <w:color w:val="auto"/>
              </w:rPr>
            </w:pPr>
          </w:p>
        </w:tc>
        <w:tc>
          <w:tcPr>
            <w:tcW w:w="226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100.000000000%</w:t>
            </w:r>
          </w:p>
        </w:tc>
      </w:tr>
      <w:tr>
        <w:trPr>
          <w:trHeight w:val="54"/>
        </w:trPr>
        <w:tc>
          <w:tcPr>
            <w:tcW w:w="80" w:type="dxa"/>
            <w:vAlign w:val="bottom"/>
            <w:tcBorders>
              <w:left w:val="single" w:sz="8" w:color="auto"/>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r>
        <w:trPr>
          <w:trHeight w:val="2181"/>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68"/>
        </w:trPr>
        <w:tc>
          <w:tcPr>
            <w:tcW w:w="80" w:type="dxa"/>
            <w:vAlign w:val="bottom"/>
            <w:tcBorders>
              <w:left w:val="single" w:sz="8" w:color="auto"/>
            </w:tcBorders>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3680" w:type="dxa"/>
            <w:vAlign w:val="bottom"/>
            <w:tcBorders>
              <w:right w:val="single" w:sz="8" w:color="auto"/>
            </w:tcBorders>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26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74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420"/>
          </w:cols>
          <w:pgMar w:left="240" w:top="905" w:right="239" w:bottom="1440" w:gutter="0" w:footer="0" w:header="0"/>
        </w:sectPr>
      </w:pPr>
    </w:p>
    <w:bookmarkStart w:id="164" w:name="page165"/>
    <w:bookmarkEnd w:id="164"/>
    <w:p>
      <w:pPr>
        <w:ind w:left="10500"/>
        <w:spacing w:after="0"/>
        <w:rPr>
          <w:sz w:val="20"/>
          <w:szCs w:val="20"/>
          <w:color w:val="auto"/>
        </w:rPr>
      </w:pPr>
      <w:r>
        <w:rPr>
          <w:rFonts w:ascii="Arial" w:cs="Arial" w:eastAsia="Arial" w:hAnsi="Arial"/>
          <w:sz w:val="18"/>
          <w:szCs w:val="18"/>
          <w:b w:val="1"/>
          <w:bCs w:val="1"/>
          <w:i w:val="1"/>
          <w:iCs w:val="1"/>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COMMITTED LOAN NOTICE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460"/>
        <w:spacing w:after="0"/>
        <w:rPr>
          <w:sz w:val="20"/>
          <w:szCs w:val="20"/>
          <w:color w:val="auto"/>
        </w:rPr>
      </w:pPr>
      <w:r>
        <w:rPr>
          <w:rFonts w:ascii="Arial" w:cs="Arial" w:eastAsia="Arial" w:hAnsi="Arial"/>
          <w:sz w:val="16"/>
          <w:szCs w:val="16"/>
          <w:color w:val="auto"/>
        </w:rPr>
        <w:t>Date: ___________, _____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Third Amended and Restated Credit Agreement, dated as of April [__], 2017,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Harvard Bioscience,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and Bank of America, N.A., as Agent.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hereby requests (select 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__________________ (a Business Day):</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[_] A Revolving Credit Borrowing (if requesting a Revolving Credit Borrowing, item 5 below must be completed) in the amount of $______________.</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 A Term Borrowing (for initial advance only) in the amount of $________________.</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 A Borrowing of Eurodollar Rate Loans in the amount of $_______________.</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 A Borrowing of LIBOR Daily Floating Rate Loans in the amount of $______________.</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 A conversion of Term Loans from [_____________] to [________________]</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 A conversion of Revolving Credit Loans from [_____________]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 A continuation of Eurodollar Rate Loans: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 Continuation under the Revolving Credit Facility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 Continuation under the Term Facility</w:t>
      </w:r>
    </w:p>
    <w:p>
      <w:pPr>
        <w:spacing w:after="0" w:line="225" w:lineRule="exact"/>
        <w:rPr>
          <w:sz w:val="20"/>
          <w:szCs w:val="20"/>
          <w:color w:val="auto"/>
        </w:rPr>
      </w:pPr>
    </w:p>
    <w:p>
      <w:pPr>
        <w:ind w:left="2140" w:hanging="187"/>
        <w:spacing w:after="0"/>
        <w:tabs>
          <w:tab w:leader="none" w:pos="21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On _____________________ (a Business Day).</w:t>
      </w:r>
    </w:p>
    <w:p>
      <w:pPr>
        <w:spacing w:after="0" w:line="225" w:lineRule="exact"/>
        <w:rPr>
          <w:rFonts w:ascii="Arial" w:cs="Arial" w:eastAsia="Arial" w:hAnsi="Arial"/>
          <w:sz w:val="18"/>
          <w:szCs w:val="18"/>
          <w:color w:val="auto"/>
        </w:rPr>
      </w:pPr>
    </w:p>
    <w:p>
      <w:pPr>
        <w:ind w:left="2140" w:hanging="187"/>
        <w:spacing w:after="0"/>
        <w:tabs>
          <w:tab w:leader="none" w:pos="21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the amount of $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31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5" w:name="page166"/>
    <w:bookmarkEnd w:id="165"/>
    <w:p>
      <w:pPr>
        <w:ind w:left="2140" w:hanging="187"/>
        <w:spacing w:after="0"/>
        <w:tabs>
          <w:tab w:leader="none" w:pos="2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Comprised of _________________________________________</w:t>
      </w:r>
    </w:p>
    <w:p>
      <w:pPr>
        <w:spacing w:after="0" w:line="23" w:lineRule="exact"/>
        <w:rPr>
          <w:rFonts w:ascii="Arial" w:cs="Arial" w:eastAsia="Arial" w:hAnsi="Arial"/>
          <w:sz w:val="18"/>
          <w:szCs w:val="18"/>
          <w:color w:val="auto"/>
        </w:rPr>
      </w:pPr>
    </w:p>
    <w:p>
      <w:pPr>
        <w:ind w:left="4060"/>
        <w:spacing w:after="0"/>
        <w:rPr>
          <w:rFonts w:ascii="Arial" w:cs="Arial" w:eastAsia="Arial" w:hAnsi="Arial"/>
          <w:sz w:val="18"/>
          <w:szCs w:val="18"/>
          <w:color w:val="auto"/>
        </w:rPr>
      </w:pPr>
      <w:r>
        <w:rPr>
          <w:rFonts w:ascii="Arial" w:cs="Arial" w:eastAsia="Arial" w:hAnsi="Arial"/>
          <w:sz w:val="18"/>
          <w:szCs w:val="18"/>
          <w:color w:val="auto"/>
        </w:rPr>
        <w:t>[Type of Loan requested]</w:t>
      </w:r>
    </w:p>
    <w:p>
      <w:pPr>
        <w:spacing w:after="0" w:line="210" w:lineRule="exact"/>
        <w:rPr>
          <w:rFonts w:ascii="Arial" w:cs="Arial" w:eastAsia="Arial" w:hAnsi="Arial"/>
          <w:sz w:val="18"/>
          <w:szCs w:val="18"/>
          <w:color w:val="auto"/>
        </w:rPr>
      </w:pPr>
    </w:p>
    <w:p>
      <w:pPr>
        <w:ind w:left="2140" w:hanging="187"/>
        <w:spacing w:after="0"/>
        <w:tabs>
          <w:tab w:leader="none" w:pos="2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For Eurodollar Rate Loans: with an Interest Period of ____ months.</w:t>
      </w:r>
    </w:p>
    <w:p>
      <w:pPr>
        <w:spacing w:after="0" w:line="225" w:lineRule="exact"/>
        <w:rPr>
          <w:rFonts w:ascii="Arial" w:cs="Arial" w:eastAsia="Arial" w:hAnsi="Arial"/>
          <w:sz w:val="18"/>
          <w:szCs w:val="18"/>
          <w:color w:val="auto"/>
        </w:rPr>
      </w:pPr>
    </w:p>
    <w:p>
      <w:pPr>
        <w:ind w:right="20" w:firstLine="1953"/>
        <w:spacing w:after="0" w:line="277" w:lineRule="auto"/>
        <w:tabs>
          <w:tab w:leader="none" w:pos="256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For Revolving Credit Loans: The Revolving Credit Borrowing requested herein complies with the proviso to the first sentence of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of the Agreement.</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The Borrower hereby represents and warrants that the conditions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Agreement shall be satisfied on and as of the date of the proposed Borrowing.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HARVARD BIOSCIENCE,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0237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22860</wp:posOffset>
            </wp:positionV>
            <wp:extent cx="20237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023745"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-121920</wp:posOffset>
            </wp:positionV>
            <wp:extent cx="20237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23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1420495</wp:posOffset>
            </wp:positionV>
            <wp:extent cx="7246620" cy="431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EXHIBIT B</w:t>
            </w:r>
          </w:p>
        </w:tc>
      </w:tr>
      <w:tr>
        <w:trPr>
          <w:trHeight w:val="432"/>
        </w:trPr>
        <w:tc>
          <w:tcPr>
            <w:tcW w:w="2320" w:type="dxa"/>
            <w:vAlign w:val="bottom"/>
          </w:tcPr>
          <w:p>
            <w:pPr>
              <w:spacing w:after="0"/>
              <w:rPr>
                <w:sz w:val="24"/>
                <w:szCs w:val="24"/>
                <w:color w:val="auto"/>
              </w:rPr>
            </w:pPr>
          </w:p>
        </w:tc>
        <w:tc>
          <w:tcPr>
            <w:tcW w:w="7520" w:type="dxa"/>
            <w:vAlign w:val="bottom"/>
          </w:tcPr>
          <w:p>
            <w:pPr>
              <w:ind w:left="1140"/>
              <w:spacing w:after="0"/>
              <w:rPr>
                <w:sz w:val="20"/>
                <w:szCs w:val="20"/>
                <w:color w:val="auto"/>
              </w:rPr>
            </w:pPr>
            <w:r>
              <w:rPr>
                <w:rFonts w:ascii="Arial" w:cs="Arial" w:eastAsia="Arial" w:hAnsi="Arial"/>
                <w:sz w:val="18"/>
                <w:szCs w:val="18"/>
                <w:b w:val="1"/>
                <w:bCs w:val="1"/>
                <w:color w:val="auto"/>
              </w:rPr>
              <w:t>[FORM OF] AMENDED AND RESTATED TERM NOTE</w:t>
            </w: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8"/>
        </w:trPr>
        <w:tc>
          <w:tcPr>
            <w:tcW w:w="2320" w:type="dxa"/>
            <w:vAlign w:val="bottom"/>
          </w:tcPr>
          <w:p>
            <w:pPr>
              <w:jc w:val="right"/>
              <w:ind w:right="1070"/>
              <w:spacing w:after="0"/>
              <w:rPr>
                <w:sz w:val="20"/>
                <w:szCs w:val="20"/>
                <w:color w:val="auto"/>
              </w:rPr>
            </w:pPr>
            <w:r>
              <w:rPr>
                <w:rFonts w:ascii="Arial" w:cs="Arial" w:eastAsia="Arial" w:hAnsi="Arial"/>
                <w:sz w:val="18"/>
                <w:szCs w:val="18"/>
                <w:color w:val="auto"/>
                <w:w w:val="91"/>
              </w:rPr>
              <w:t>$[________].00</w:t>
            </w:r>
          </w:p>
        </w:tc>
        <w:tc>
          <w:tcPr>
            <w:tcW w:w="7520" w:type="dxa"/>
            <w:vAlign w:val="bottom"/>
          </w:tcPr>
          <w:p>
            <w:pPr>
              <w:ind w:left="5580"/>
              <w:spacing w:after="0"/>
              <w:rPr>
                <w:sz w:val="20"/>
                <w:szCs w:val="20"/>
                <w:color w:val="auto"/>
              </w:rPr>
            </w:pPr>
            <w:r>
              <w:rPr>
                <w:rFonts w:ascii="Arial" w:cs="Arial" w:eastAsia="Arial" w:hAnsi="Arial"/>
                <w:sz w:val="18"/>
                <w:szCs w:val="18"/>
                <w:color w:val="auto"/>
              </w:rPr>
              <w:t>Initial Issuance Date:</w:t>
            </w:r>
          </w:p>
        </w:tc>
        <w:tc>
          <w:tcPr>
            <w:tcW w:w="1200" w:type="dxa"/>
            <w:vAlign w:val="bottom"/>
          </w:tcPr>
          <w:p>
            <w:pPr>
              <w:jc w:val="right"/>
              <w:spacing w:after="0"/>
              <w:rPr>
                <w:sz w:val="20"/>
                <w:szCs w:val="20"/>
                <w:color w:val="auto"/>
              </w:rPr>
            </w:pPr>
            <w:r>
              <w:rPr>
                <w:rFonts w:ascii="Arial" w:cs="Arial" w:eastAsia="Arial" w:hAnsi="Arial"/>
                <w:sz w:val="18"/>
                <w:szCs w:val="18"/>
                <w:color w:val="auto"/>
              </w:rPr>
              <w:t>March 29,</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2013</w:t>
            </w:r>
          </w:p>
        </w:tc>
      </w:tr>
      <w:tr>
        <w:trPr>
          <w:trHeight w:val="230"/>
        </w:trPr>
        <w:tc>
          <w:tcPr>
            <w:tcW w:w="2320" w:type="dxa"/>
            <w:vAlign w:val="bottom"/>
          </w:tcPr>
          <w:p>
            <w:pPr>
              <w:spacing w:after="0"/>
              <w:rPr>
                <w:sz w:val="20"/>
                <w:szCs w:val="20"/>
                <w:color w:val="auto"/>
              </w:rPr>
            </w:pPr>
          </w:p>
        </w:tc>
        <w:tc>
          <w:tcPr>
            <w:tcW w:w="7520" w:type="dxa"/>
            <w:vAlign w:val="bottom"/>
          </w:tcPr>
          <w:p>
            <w:pPr>
              <w:ind w:left="5580"/>
              <w:spacing w:after="0"/>
              <w:rPr>
                <w:sz w:val="20"/>
                <w:szCs w:val="20"/>
                <w:color w:val="auto"/>
              </w:rPr>
            </w:pPr>
            <w:r>
              <w:rPr>
                <w:rFonts w:ascii="Arial" w:cs="Arial" w:eastAsia="Arial" w:hAnsi="Arial"/>
                <w:sz w:val="18"/>
                <w:szCs w:val="18"/>
                <w:color w:val="auto"/>
              </w:rPr>
              <w:t>Restated:</w:t>
            </w:r>
          </w:p>
        </w:tc>
        <w:tc>
          <w:tcPr>
            <w:tcW w:w="1200" w:type="dxa"/>
            <w:vAlign w:val="bottom"/>
          </w:tcPr>
          <w:p>
            <w:pPr>
              <w:jc w:val="right"/>
              <w:spacing w:after="0"/>
              <w:rPr>
                <w:sz w:val="20"/>
                <w:szCs w:val="20"/>
                <w:color w:val="auto"/>
              </w:rPr>
            </w:pPr>
            <w:r>
              <w:rPr>
                <w:rFonts w:ascii="Arial" w:cs="Arial" w:eastAsia="Arial" w:hAnsi="Arial"/>
                <w:sz w:val="18"/>
                <w:szCs w:val="18"/>
                <w:color w:val="auto"/>
              </w:rPr>
              <w:t>April [__],</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2017</w:t>
            </w: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FOR VALUE RECEIVED, the undersigned (the “</w:t>
      </w:r>
      <w:r>
        <w:rPr>
          <w:rFonts w:ascii="Arial" w:cs="Arial" w:eastAsia="Arial" w:hAnsi="Arial"/>
          <w:sz w:val="17"/>
          <w:szCs w:val="17"/>
          <w:u w:val="single" w:color="auto"/>
          <w:color w:val="auto"/>
        </w:rPr>
        <w:t>Borrower</w:t>
      </w:r>
      <w:r>
        <w:rPr>
          <w:rFonts w:ascii="Arial" w:cs="Arial" w:eastAsia="Arial" w:hAnsi="Arial"/>
          <w:sz w:val="17"/>
          <w:szCs w:val="17"/>
          <w:color w:val="auto"/>
        </w:rPr>
        <w:t>”), hereby promises to pay to [_______________] or registered assigns (the</w:t>
      </w:r>
    </w:p>
    <w:p>
      <w:pPr>
        <w:spacing w:after="0" w:line="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in accordance with the provisions of the Agreement (as hereinafter defined), the principal amount of the Term Loan from time to time made by the Lender to the Borrower under that certain Third Amended and Restated Credit Agreement, dated as of April [__], 2017 (as amended, restated, extended, supplemented or otherwise modified in writing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the terms defined therein being used herein as therein defined), among the Borrower, the Lenders from time to time party thereto, and Bank of America, N.A., as Administrative Agent.</w:t>
      </w:r>
    </w:p>
    <w:p>
      <w:pPr>
        <w:spacing w:after="0" w:line="17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The Borrower promises to pay interest on the unpaid principal amount of each Term Loan from the date of such Loan until such principal amount is paid in full, at such interest rates and at such times as provided in the Agreement.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7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This Amended and Restated Term Note (the “</w:t>
      </w:r>
      <w:r>
        <w:rPr>
          <w:rFonts w:ascii="Arial" w:cs="Arial" w:eastAsia="Arial" w:hAnsi="Arial"/>
          <w:sz w:val="18"/>
          <w:szCs w:val="18"/>
          <w:u w:val="single" w:color="auto"/>
          <w:color w:val="auto"/>
        </w:rPr>
        <w:t>Note</w:t>
      </w:r>
      <w:r>
        <w:rPr>
          <w:rFonts w:ascii="Arial" w:cs="Arial" w:eastAsia="Arial" w:hAnsi="Arial"/>
          <w:sz w:val="18"/>
          <w:szCs w:val="18"/>
          <w:color w:val="auto"/>
        </w:rPr>
        <w:t>”) is one of the Term Notes referred to in the Agreement, is entitled to the benefits thereof and may be prepaid in whole or in part subject to the terms and conditions provided therein. This Amended and Restated Term Note is also entitled to the benefits of the Guaranty. Upon the occurrence and continuation of one or more of the Events of Default specified in the Agreement, all amounts then remaining unpaid on this Amended and Restated Term Note shall become, or may be declared to be, immediately due and payable all as provided in the Agreement. Term Loans made by the Lender shall be evidenced by one or more loan accounts or records maintained by the Lender in the ordinary course of business. The Lender may also attach schedules to this Term Note and endorse thereon the date, amount and maturity of its Amended and Restated Term Loans and payments with respect thereto.</w:t>
      </w:r>
    </w:p>
    <w:p>
      <w:pPr>
        <w:spacing w:after="0" w:line="18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This Amended and Restated Term Note amends, restates and supersedes, but does not, and is not intended to and shall not extinguish or cancel the indebtedness (including, but not limited to, all accrued but unpaid interest thereon) evidenced by the Term Note dated March 29, 2013 (the “</w:t>
      </w:r>
      <w:r>
        <w:rPr>
          <w:rFonts w:ascii="Arial" w:cs="Arial" w:eastAsia="Arial" w:hAnsi="Arial"/>
          <w:sz w:val="18"/>
          <w:szCs w:val="18"/>
          <w:u w:val="single" w:color="auto"/>
          <w:color w:val="auto"/>
        </w:rPr>
        <w:t>Original Note</w:t>
      </w:r>
      <w:r>
        <w:rPr>
          <w:rFonts w:ascii="Arial" w:cs="Arial" w:eastAsia="Arial" w:hAnsi="Arial"/>
          <w:sz w:val="18"/>
          <w:szCs w:val="18"/>
          <w:color w:val="auto"/>
        </w:rPr>
        <w:t>”) made by the Borrower, jointly and severally, in favor of the Lender. This Amended and Restated Term Note is not a novation or discharge of the terms and provisions of the Borrower under the Original Note or under any Loan Document.</w:t>
      </w:r>
    </w:p>
    <w:p>
      <w:pPr>
        <w:spacing w:after="0" w:line="187"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The Borrower, for itself, its successors and assigns, hereby waives diligence, presentment, protest and demand and notice of protest, demand, dishonor and non-payment of this Amended and Restated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431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7" w:name="page168"/>
    <w:bookmarkEnd w:id="167"/>
    <w:p>
      <w:pPr>
        <w:ind w:firstLine="1297"/>
        <w:spacing w:after="0" w:line="277" w:lineRule="auto"/>
        <w:rPr>
          <w:sz w:val="20"/>
          <w:szCs w:val="20"/>
          <w:color w:val="auto"/>
        </w:rPr>
      </w:pPr>
      <w:r>
        <w:rPr>
          <w:rFonts w:ascii="Arial" w:cs="Arial" w:eastAsia="Arial" w:hAnsi="Arial"/>
          <w:sz w:val="18"/>
          <w:szCs w:val="18"/>
          <w:color w:val="auto"/>
        </w:rPr>
        <w:t>THIS NOTE IS SIGNED AS A SEALED INSTRUMENT AND SHALL BE GOVERNED BY AND CONSTRUED IN ACCORDANCE WITH THE LAWS OF THE COMMONWEALTH OF MASSACHUSETTS.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HARVARD BIOSCIENCE,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0237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22860</wp:posOffset>
            </wp:positionV>
            <wp:extent cx="202374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023745"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-121920</wp:posOffset>
            </wp:positionV>
            <wp:extent cx="20237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023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1283335</wp:posOffset>
            </wp:positionV>
            <wp:extent cx="7246620" cy="431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20" w:type="dxa"/>
            <w:vAlign w:val="bottom"/>
            <w:gridSpan w:val="6"/>
          </w:tcPr>
          <w:p>
            <w:pPr>
              <w:ind w:left="140"/>
              <w:spacing w:after="0"/>
              <w:rPr>
                <w:sz w:val="20"/>
                <w:szCs w:val="20"/>
                <w:color w:val="auto"/>
              </w:rPr>
            </w:pPr>
            <w:r>
              <w:rPr>
                <w:rFonts w:ascii="Arial" w:cs="Arial" w:eastAsia="Arial" w:hAnsi="Arial"/>
                <w:sz w:val="18"/>
                <w:szCs w:val="18"/>
                <w:color w:val="auto"/>
              </w:rPr>
              <w:t>LOANS AND PAYMENTS WITH RESPECT THERETO</w:t>
            </w: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gridSpan w:val="2"/>
          </w:tcPr>
          <w:p>
            <w:pPr>
              <w:jc w:val="center"/>
              <w:ind w:right="600"/>
              <w:spacing w:after="0"/>
              <w:rPr>
                <w:sz w:val="20"/>
                <w:szCs w:val="20"/>
                <w:color w:val="auto"/>
              </w:rPr>
            </w:pPr>
            <w:r>
              <w:rPr>
                <w:rFonts w:ascii="Arial" w:cs="Arial" w:eastAsia="Arial" w:hAnsi="Arial"/>
                <w:sz w:val="18"/>
                <w:szCs w:val="18"/>
                <w:color w:val="auto"/>
                <w:w w:val="95"/>
              </w:rPr>
              <w:t>Amount of</w:t>
            </w:r>
          </w:p>
        </w:tc>
        <w:tc>
          <w:tcPr>
            <w:tcW w:w="170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Outstanding</w:t>
            </w:r>
          </w:p>
        </w:tc>
        <w:tc>
          <w:tcPr>
            <w:tcW w:w="11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jc w:val="center"/>
              <w:ind w:right="620"/>
              <w:spacing w:after="0"/>
              <w:rPr>
                <w:sz w:val="20"/>
                <w:szCs w:val="20"/>
                <w:color w:val="auto"/>
              </w:rPr>
            </w:pPr>
            <w:r>
              <w:rPr>
                <w:rFonts w:ascii="Arial" w:cs="Arial" w:eastAsia="Arial" w:hAnsi="Arial"/>
                <w:sz w:val="18"/>
                <w:szCs w:val="18"/>
                <w:color w:val="auto"/>
                <w:w w:val="92"/>
              </w:rPr>
              <w:t>End of</w:t>
            </w:r>
          </w:p>
        </w:tc>
        <w:tc>
          <w:tcPr>
            <w:tcW w:w="170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Principal or</w:t>
            </w:r>
          </w:p>
        </w:tc>
        <w:tc>
          <w:tcPr>
            <w:tcW w:w="1700" w:type="dxa"/>
            <w:vAlign w:val="bottom"/>
            <w:gridSpan w:val="2"/>
          </w:tcPr>
          <w:p>
            <w:pPr>
              <w:jc w:val="center"/>
              <w:ind w:right="600"/>
              <w:spacing w:after="0"/>
              <w:rPr>
                <w:sz w:val="20"/>
                <w:szCs w:val="20"/>
                <w:color w:val="auto"/>
              </w:rPr>
            </w:pPr>
            <w:r>
              <w:rPr>
                <w:rFonts w:ascii="Arial" w:cs="Arial" w:eastAsia="Arial" w:hAnsi="Arial"/>
                <w:sz w:val="18"/>
                <w:szCs w:val="18"/>
                <w:color w:val="auto"/>
                <w:w w:val="95"/>
              </w:rPr>
              <w:t>Principal</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Type of</w:t>
            </w: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Amount of</w:t>
            </w:r>
          </w:p>
        </w:tc>
        <w:tc>
          <w:tcPr>
            <w:tcW w:w="170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Interest</w:t>
            </w:r>
          </w:p>
        </w:tc>
        <w:tc>
          <w:tcPr>
            <w:tcW w:w="170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Interest Paid</w:t>
            </w:r>
          </w:p>
        </w:tc>
        <w:tc>
          <w:tcPr>
            <w:tcW w:w="170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Balance This</w:t>
            </w:r>
          </w:p>
        </w:tc>
        <w:tc>
          <w:tcPr>
            <w:tcW w:w="1140" w:type="dxa"/>
            <w:vAlign w:val="bottom"/>
          </w:tcPr>
          <w:p>
            <w:pPr>
              <w:ind w:left="240"/>
              <w:spacing w:after="0"/>
              <w:rPr>
                <w:sz w:val="20"/>
                <w:szCs w:val="20"/>
                <w:color w:val="auto"/>
              </w:rPr>
            </w:pPr>
            <w:r>
              <w:rPr>
                <w:rFonts w:ascii="Arial" w:cs="Arial" w:eastAsia="Arial" w:hAnsi="Arial"/>
                <w:sz w:val="18"/>
                <w:szCs w:val="18"/>
                <w:color w:val="auto"/>
              </w:rPr>
              <w:t>Notation</w:t>
            </w:r>
          </w:p>
        </w:tc>
      </w:tr>
      <w:tr>
        <w:trPr>
          <w:trHeight w:val="230"/>
        </w:trPr>
        <w:tc>
          <w:tcPr>
            <w:tcW w:w="174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Date</w:t>
            </w:r>
          </w:p>
        </w:tc>
        <w:tc>
          <w:tcPr>
            <w:tcW w:w="172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8"/>
                <w:szCs w:val="18"/>
                <w:color w:val="auto"/>
                <w:w w:val="91"/>
              </w:rPr>
              <w:t>Loan Made</w:t>
            </w:r>
          </w:p>
        </w:tc>
        <w:tc>
          <w:tcPr>
            <w:tcW w:w="1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Loan Made</w:t>
            </w:r>
          </w:p>
        </w:tc>
        <w:tc>
          <w:tcPr>
            <w:tcW w:w="17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88"/>
              </w:rPr>
              <w:t>Period</w:t>
            </w:r>
          </w:p>
        </w:tc>
        <w:tc>
          <w:tcPr>
            <w:tcW w:w="17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90"/>
              </w:rPr>
              <w:t>This Date</w:t>
            </w:r>
          </w:p>
        </w:tc>
        <w:tc>
          <w:tcPr>
            <w:tcW w:w="17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89"/>
              </w:rPr>
              <w:t>Date</w:t>
            </w: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Made By</w:t>
            </w: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965"/>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8"/>
        </w:trPr>
        <w:tc>
          <w:tcPr>
            <w:tcW w:w="116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909" w:right="239" w:bottom="1440" w:gutter="0" w:footer="0" w:header="0"/>
        </w:sectPr>
      </w:pPr>
    </w:p>
    <w:bookmarkStart w:id="169" w:name="page170"/>
    <w:bookmarkEnd w:id="169"/>
    <w:p>
      <w:pPr>
        <w:ind w:left="10500"/>
        <w:spacing w:after="0"/>
        <w:rPr>
          <w:sz w:val="20"/>
          <w:szCs w:val="20"/>
          <w:color w:val="auto"/>
        </w:rPr>
      </w:pPr>
      <w:r>
        <w:rPr>
          <w:rFonts w:ascii="Arial" w:cs="Arial" w:eastAsia="Arial" w:hAnsi="Arial"/>
          <w:sz w:val="18"/>
          <w:szCs w:val="18"/>
          <w:b w:val="1"/>
          <w:bCs w:val="1"/>
          <w:i w:val="1"/>
          <w:iCs w:val="1"/>
          <w:color w:val="auto"/>
        </w:rPr>
        <w:t>EXHIBIT 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THIRD AMENDED AND RESTATED REVOLVING CREDIT NOTE</w:t>
      </w:r>
    </w:p>
    <w:p>
      <w:pPr>
        <w:sectPr>
          <w:pgSz w:w="11900" w:h="16838" w:orient="portrait"/>
          <w:cols w:equalWidth="0" w:num="1">
            <w:col w:w="11420"/>
          </w:cols>
          <w:pgMar w:left="240" w:top="908"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$[________].00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Initial Issuance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Restated: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right"/>
        <w:spacing w:after="0" w:line="302" w:lineRule="auto"/>
        <w:rPr>
          <w:sz w:val="20"/>
          <w:szCs w:val="20"/>
          <w:color w:val="auto"/>
        </w:rPr>
      </w:pPr>
      <w:r>
        <w:rPr>
          <w:rFonts w:ascii="Arial" w:cs="Arial" w:eastAsia="Arial" w:hAnsi="Arial"/>
          <w:sz w:val="16"/>
          <w:szCs w:val="16"/>
          <w:color w:val="auto"/>
        </w:rPr>
        <w:t>November 21, 2003 August 7, 2009 March 29, 2013 April [__], 2017</w:t>
      </w:r>
    </w:p>
    <w:p>
      <w:pPr>
        <w:spacing w:after="0" w:line="154" w:lineRule="exact"/>
        <w:rPr>
          <w:sz w:val="20"/>
          <w:szCs w:val="20"/>
          <w:color w:val="auto"/>
        </w:rPr>
      </w:pPr>
    </w:p>
    <w:p>
      <w:pPr>
        <w:sectPr>
          <w:pgSz w:w="11900" w:h="16838" w:orient="portrait"/>
          <w:cols w:equalWidth="0" w:num="3">
            <w:col w:w="7180" w:space="720"/>
            <w:col w:w="1540" w:space="540"/>
            <w:col w:w="1440"/>
          </w:cols>
          <w:pgMar w:left="240" w:top="908" w:right="239" w:bottom="1440" w:gutter="0" w:footer="0" w:header="0"/>
          <w:type w:val="continuous"/>
        </w:sectPr>
      </w:pPr>
    </w:p>
    <w:p>
      <w:pPr>
        <w:ind w:left="1300"/>
        <w:spacing w:after="0"/>
        <w:rPr>
          <w:sz w:val="20"/>
          <w:szCs w:val="20"/>
          <w:color w:val="auto"/>
        </w:rPr>
      </w:pPr>
      <w:r>
        <w:rPr>
          <w:rFonts w:ascii="Arial" w:cs="Arial" w:eastAsia="Arial" w:hAnsi="Arial"/>
          <w:sz w:val="17"/>
          <w:szCs w:val="17"/>
          <w:color w:val="auto"/>
        </w:rPr>
        <w:t>FOR VALUE RECEIVED, the undersigned (the “</w:t>
      </w:r>
      <w:r>
        <w:rPr>
          <w:rFonts w:ascii="Arial" w:cs="Arial" w:eastAsia="Arial" w:hAnsi="Arial"/>
          <w:sz w:val="17"/>
          <w:szCs w:val="17"/>
          <w:u w:val="single" w:color="auto"/>
          <w:color w:val="auto"/>
        </w:rPr>
        <w:t>Borrower</w:t>
      </w:r>
      <w:r>
        <w:rPr>
          <w:rFonts w:ascii="Arial" w:cs="Arial" w:eastAsia="Arial" w:hAnsi="Arial"/>
          <w:sz w:val="17"/>
          <w:szCs w:val="17"/>
          <w:color w:val="auto"/>
        </w:rPr>
        <w:t>”), hereby promises to pay to [______________] or registered assigns (the</w:t>
      </w:r>
    </w:p>
    <w:p>
      <w:pPr>
        <w:spacing w:after="0" w:line="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in accordance with the provisions of the Agreement (as hereinafter defined), the principal amount of each Revolving Credit Loan from time to time made by the Lender to the Borrower under that certain Third Amended and Restated Credit Agreement, dated as of April [__], 2017 (as amended, restated, extended, supplemented or otherwise modified in writing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the terms defined therein being used herein as therein defined), among the Borrower, the Lenders from time to time party thereto, and Bank of America, N.A., as Administrative Agent.</w:t>
      </w:r>
    </w:p>
    <w:p>
      <w:pPr>
        <w:spacing w:after="0" w:line="17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The Borrower promises to pay interest on the unpaid principal amount of each Revolving Credit Loan from the date of such Loan until such principal amount is paid in full, at such interest rates and at such times as provided in the Agreement.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73"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This Third Amended and Restated Revolving Credit Note (the “</w:t>
      </w:r>
      <w:r>
        <w:rPr>
          <w:rFonts w:ascii="Arial" w:cs="Arial" w:eastAsia="Arial" w:hAnsi="Arial"/>
          <w:sz w:val="16"/>
          <w:szCs w:val="16"/>
          <w:u w:val="single" w:color="auto"/>
          <w:color w:val="auto"/>
        </w:rPr>
        <w:t>Note</w:t>
      </w:r>
      <w:r>
        <w:rPr>
          <w:rFonts w:ascii="Arial" w:cs="Arial" w:eastAsia="Arial" w:hAnsi="Arial"/>
          <w:sz w:val="16"/>
          <w:szCs w:val="16"/>
          <w:color w:val="auto"/>
        </w:rPr>
        <w:t>”) is one of the Revolving Credit Notes referred to in the Agreement, is entitled to the benefits thereof and may be prepaid in whole or in part subject to the terms and conditions provided therein. This Third Amended and Restated Revolving Credit Note is also entitled to the benefits of the Guaranty. Upon the occurrence and continuation of one or more of the Events of Default specified in the Agreement, all amounts then remaining unpaid on this Third Amended and Restated Revolving Credit Note shall become, or may be declared to be, immediately due and payable all as provided in the Agreement. Revolving Credit Loans made by the Lender shall be evidenced by one or more loan accounts or records maintained by the Lender in the ordinary course of business. The Lender may also attach schedules to this Third Amended and Restated Revolving Credit Note and endorse thereon the date, amount and maturity of its Revolving Credit Loans and payments with respect thereto.</w:t>
      </w:r>
    </w:p>
    <w:p>
      <w:pPr>
        <w:spacing w:after="0" w:line="167"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This Third Amended and Restated Revolving Credit Note amends, restates and supersedes, but does not, and is not intended to and shall not extinguish or cancel the indebtedness (including, but not limited to, all accrued but unpaid interest thereon) evidenced by the Revolving Credit Note dated November 21, 2003, as amended and restated by that certain Amended and Restated Revolving Credit Note dated August 7, 2009, as amended and restated by that certain Second Amended and Restated Revolving Credit Note dated March 29, 2013 (the “</w:t>
      </w:r>
      <w:r>
        <w:rPr>
          <w:rFonts w:ascii="Arial" w:cs="Arial" w:eastAsia="Arial" w:hAnsi="Arial"/>
          <w:sz w:val="17"/>
          <w:szCs w:val="17"/>
          <w:u w:val="single" w:color="auto"/>
          <w:color w:val="auto"/>
        </w:rPr>
        <w:t>Original Note</w:t>
      </w:r>
      <w:r>
        <w:rPr>
          <w:rFonts w:ascii="Arial" w:cs="Arial" w:eastAsia="Arial" w:hAnsi="Arial"/>
          <w:sz w:val="17"/>
          <w:szCs w:val="17"/>
          <w:color w:val="auto"/>
        </w:rPr>
        <w:t>”) made by the Borrower, jointly and severally, in favor of the Lender. This Third Amended and Restated Revolving Promissory Note is not a novation or discharge of the terms and provisions of the Borrower under the Original Note or under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431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70" w:name="page171"/>
    <w:bookmarkEnd w:id="170"/>
    <w:p>
      <w:pPr>
        <w:ind w:firstLine="1297"/>
        <w:spacing w:after="0" w:line="277" w:lineRule="auto"/>
        <w:rPr>
          <w:sz w:val="20"/>
          <w:szCs w:val="20"/>
          <w:color w:val="auto"/>
        </w:rPr>
      </w:pPr>
      <w:r>
        <w:rPr>
          <w:rFonts w:ascii="Arial" w:cs="Arial" w:eastAsia="Arial" w:hAnsi="Arial"/>
          <w:sz w:val="18"/>
          <w:szCs w:val="18"/>
          <w:color w:val="auto"/>
        </w:rPr>
        <w:t>The Borrower, for itself, its successors and assigns, hereby waives diligence, presentment, protest and demand and notice of protest, demand, dishonor and non-payment of this Third Amended and Restated Revolving Credit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1506855</wp:posOffset>
            </wp:positionV>
            <wp:extent cx="7246620" cy="431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71" w:name="page172"/>
    <w:bookmarkEnd w:id="171"/>
    <w:p>
      <w:pPr>
        <w:ind w:firstLine="1297"/>
        <w:spacing w:after="0" w:line="277" w:lineRule="auto"/>
        <w:rPr>
          <w:sz w:val="20"/>
          <w:szCs w:val="20"/>
          <w:color w:val="auto"/>
        </w:rPr>
      </w:pPr>
      <w:r>
        <w:rPr>
          <w:rFonts w:ascii="Arial" w:cs="Arial" w:eastAsia="Arial" w:hAnsi="Arial"/>
          <w:sz w:val="18"/>
          <w:szCs w:val="18"/>
          <w:color w:val="auto"/>
        </w:rPr>
        <w:t>THIS NOTE IS SIGNED AS A SEALED INSTRUMENT AND SHALL BE GOVERNED BY AND CONSTRUED IN ACCORDANCE WITH THE LAWS OF THE COMMONWEALTH OF MASSACHUSETTS.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HARVARD BIOSCIENCE,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02374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22860</wp:posOffset>
            </wp:positionV>
            <wp:extent cx="202374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023745"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-121920</wp:posOffset>
            </wp:positionV>
            <wp:extent cx="202374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023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1832610</wp:posOffset>
            </wp:positionV>
            <wp:extent cx="7246620" cy="431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20" w:type="dxa"/>
            <w:vAlign w:val="bottom"/>
            <w:gridSpan w:val="6"/>
          </w:tcPr>
          <w:p>
            <w:pPr>
              <w:ind w:left="140"/>
              <w:spacing w:after="0"/>
              <w:rPr>
                <w:sz w:val="20"/>
                <w:szCs w:val="20"/>
                <w:color w:val="auto"/>
              </w:rPr>
            </w:pPr>
            <w:r>
              <w:rPr>
                <w:rFonts w:ascii="Arial" w:cs="Arial" w:eastAsia="Arial" w:hAnsi="Arial"/>
                <w:sz w:val="18"/>
                <w:szCs w:val="18"/>
                <w:color w:val="auto"/>
              </w:rPr>
              <w:t>LOANS AND PAYMENTS WITH RESPECT THERETO</w:t>
            </w: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34"/>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gridSpan w:val="2"/>
          </w:tcPr>
          <w:p>
            <w:pPr>
              <w:jc w:val="center"/>
              <w:ind w:right="600"/>
              <w:spacing w:after="0"/>
              <w:rPr>
                <w:sz w:val="20"/>
                <w:szCs w:val="20"/>
                <w:color w:val="auto"/>
              </w:rPr>
            </w:pPr>
            <w:r>
              <w:rPr>
                <w:rFonts w:ascii="Arial" w:cs="Arial" w:eastAsia="Arial" w:hAnsi="Arial"/>
                <w:sz w:val="18"/>
                <w:szCs w:val="18"/>
                <w:color w:val="auto"/>
                <w:w w:val="95"/>
              </w:rPr>
              <w:t>Amount of</w:t>
            </w:r>
          </w:p>
        </w:tc>
        <w:tc>
          <w:tcPr>
            <w:tcW w:w="170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Outstanding</w:t>
            </w:r>
          </w:p>
        </w:tc>
        <w:tc>
          <w:tcPr>
            <w:tcW w:w="11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jc w:val="center"/>
              <w:ind w:right="620"/>
              <w:spacing w:after="0"/>
              <w:rPr>
                <w:sz w:val="20"/>
                <w:szCs w:val="20"/>
                <w:color w:val="auto"/>
              </w:rPr>
            </w:pPr>
            <w:r>
              <w:rPr>
                <w:rFonts w:ascii="Arial" w:cs="Arial" w:eastAsia="Arial" w:hAnsi="Arial"/>
                <w:sz w:val="18"/>
                <w:szCs w:val="18"/>
                <w:color w:val="auto"/>
                <w:w w:val="92"/>
              </w:rPr>
              <w:t>End of</w:t>
            </w:r>
          </w:p>
        </w:tc>
        <w:tc>
          <w:tcPr>
            <w:tcW w:w="170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Principal or</w:t>
            </w:r>
          </w:p>
        </w:tc>
        <w:tc>
          <w:tcPr>
            <w:tcW w:w="1700" w:type="dxa"/>
            <w:vAlign w:val="bottom"/>
            <w:gridSpan w:val="2"/>
          </w:tcPr>
          <w:p>
            <w:pPr>
              <w:jc w:val="center"/>
              <w:ind w:right="600"/>
              <w:spacing w:after="0"/>
              <w:rPr>
                <w:sz w:val="20"/>
                <w:szCs w:val="20"/>
                <w:color w:val="auto"/>
              </w:rPr>
            </w:pPr>
            <w:r>
              <w:rPr>
                <w:rFonts w:ascii="Arial" w:cs="Arial" w:eastAsia="Arial" w:hAnsi="Arial"/>
                <w:sz w:val="18"/>
                <w:szCs w:val="18"/>
                <w:color w:val="auto"/>
                <w:w w:val="95"/>
              </w:rPr>
              <w:t>Principal</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Type of</w:t>
            </w: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Amount of</w:t>
            </w:r>
          </w:p>
        </w:tc>
        <w:tc>
          <w:tcPr>
            <w:tcW w:w="170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Interest</w:t>
            </w:r>
          </w:p>
        </w:tc>
        <w:tc>
          <w:tcPr>
            <w:tcW w:w="170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Interest Paid</w:t>
            </w:r>
          </w:p>
        </w:tc>
        <w:tc>
          <w:tcPr>
            <w:tcW w:w="170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Balance This</w:t>
            </w:r>
          </w:p>
        </w:tc>
        <w:tc>
          <w:tcPr>
            <w:tcW w:w="1140" w:type="dxa"/>
            <w:vAlign w:val="bottom"/>
          </w:tcPr>
          <w:p>
            <w:pPr>
              <w:ind w:left="240"/>
              <w:spacing w:after="0"/>
              <w:rPr>
                <w:sz w:val="20"/>
                <w:szCs w:val="20"/>
                <w:color w:val="auto"/>
              </w:rPr>
            </w:pPr>
            <w:r>
              <w:rPr>
                <w:rFonts w:ascii="Arial" w:cs="Arial" w:eastAsia="Arial" w:hAnsi="Arial"/>
                <w:sz w:val="18"/>
                <w:szCs w:val="18"/>
                <w:color w:val="auto"/>
              </w:rPr>
              <w:t>Notation</w:t>
            </w:r>
          </w:p>
        </w:tc>
      </w:tr>
      <w:tr>
        <w:trPr>
          <w:trHeight w:val="230"/>
        </w:trPr>
        <w:tc>
          <w:tcPr>
            <w:tcW w:w="174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Date</w:t>
            </w:r>
          </w:p>
        </w:tc>
        <w:tc>
          <w:tcPr>
            <w:tcW w:w="172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8"/>
                <w:szCs w:val="18"/>
                <w:color w:val="auto"/>
                <w:w w:val="91"/>
              </w:rPr>
              <w:t>Loan Made</w:t>
            </w:r>
          </w:p>
        </w:tc>
        <w:tc>
          <w:tcPr>
            <w:tcW w:w="1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Loan Made</w:t>
            </w:r>
          </w:p>
        </w:tc>
        <w:tc>
          <w:tcPr>
            <w:tcW w:w="17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88"/>
              </w:rPr>
              <w:t>Period</w:t>
            </w:r>
          </w:p>
        </w:tc>
        <w:tc>
          <w:tcPr>
            <w:tcW w:w="17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90"/>
              </w:rPr>
              <w:t>This Date</w:t>
            </w:r>
          </w:p>
        </w:tc>
        <w:tc>
          <w:tcPr>
            <w:tcW w:w="17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89"/>
              </w:rPr>
              <w:t>Date</w:t>
            </w: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Made By</w:t>
            </w: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81"/>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8"/>
        </w:trPr>
        <w:tc>
          <w:tcPr>
            <w:tcW w:w="116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909" w:right="239" w:bottom="1440" w:gutter="0" w:footer="0" w:header="0"/>
        </w:sectPr>
      </w:pPr>
    </w:p>
    <w:bookmarkStart w:id="173" w:name="page174"/>
    <w:bookmarkEnd w:id="173"/>
    <w:p>
      <w:pPr>
        <w:ind w:left="10500"/>
        <w:spacing w:after="0"/>
        <w:rPr>
          <w:sz w:val="20"/>
          <w:szCs w:val="20"/>
          <w:color w:val="auto"/>
        </w:rPr>
      </w:pPr>
      <w:r>
        <w:rPr>
          <w:rFonts w:ascii="Arial" w:cs="Arial" w:eastAsia="Arial" w:hAnsi="Arial"/>
          <w:sz w:val="18"/>
          <w:szCs w:val="18"/>
          <w:b w:val="1"/>
          <w:bCs w:val="1"/>
          <w:i w:val="1"/>
          <w:iCs w:val="1"/>
          <w:color w:val="auto"/>
        </w:rPr>
        <w:t>EXHIBIT 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pacing w:after="0" w:line="229" w:lineRule="exact"/>
        <w:rPr>
          <w:sz w:val="20"/>
          <w:szCs w:val="20"/>
          <w:color w:val="auto"/>
        </w:rPr>
      </w:pPr>
    </w:p>
    <w:p>
      <w:pPr>
        <w:ind w:left="8340"/>
        <w:spacing w:after="0"/>
        <w:rPr>
          <w:sz w:val="20"/>
          <w:szCs w:val="20"/>
          <w:color w:val="auto"/>
        </w:rPr>
      </w:pPr>
      <w:r>
        <w:rPr>
          <w:rFonts w:ascii="Arial" w:cs="Arial" w:eastAsia="Arial" w:hAnsi="Arial"/>
          <w:sz w:val="16"/>
          <w:szCs w:val="16"/>
          <w:color w:val="auto"/>
        </w:rPr>
        <w:t>Financial Statement Date: ________, ____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Third Amended and Restated Credit Agreement, dated as of April [__], 2017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Harvard Bioscience,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and Bank of America, N.A., as Administrative Agent.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undersigned Responsible Officer hereby certifies as of the date hereof that he/she is the ___________________________________ of</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Borrower, and that, as such, he/she is authorized to execute and deliver this Certificate to the Administrative Agent on the behalf of the Borrower, and that: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[Use following paragraph 1 for fiscal year-end financial statements]</w:t>
      </w:r>
    </w:p>
    <w:p>
      <w:pPr>
        <w:spacing w:after="0" w:line="225" w:lineRule="exact"/>
        <w:rPr>
          <w:sz w:val="20"/>
          <w:szCs w:val="20"/>
          <w:color w:val="auto"/>
        </w:rPr>
      </w:pPr>
    </w:p>
    <w:p>
      <w:pPr>
        <w:jc w:val="both"/>
        <w:ind w:firstLine="1305"/>
        <w:spacing w:after="0" w:line="276" w:lineRule="auto"/>
        <w:tabs>
          <w:tab w:leader="none" w:pos="178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The Borrower has delivered (i) the year-end audited financial statements required by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of the Agreement for the fiscal year of the Borrower ended as of the above date, together with the report and opinion of an independent certified public accountant required by such section and (ii) the consolidating balance sheet of the Borrower and its Subsidiaries as at the end of such fiscal year and the related consolidating statements of income or operations, shareholders’ equity and cash flows for such fiscal year. Such consolidating statements are fairly stated in all material respects when considered in relation to the consolidated financial statements of the Borrower and its Subsidiaries.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[Use following paragraph 1 for fiscal quarter-end financial statements]</w:t>
      </w:r>
    </w:p>
    <w:p>
      <w:pPr>
        <w:spacing w:after="0" w:line="225" w:lineRule="exact"/>
        <w:rPr>
          <w:sz w:val="20"/>
          <w:szCs w:val="20"/>
          <w:color w:val="auto"/>
        </w:rPr>
      </w:pPr>
    </w:p>
    <w:p>
      <w:pPr>
        <w:jc w:val="both"/>
        <w:ind w:firstLine="1305"/>
        <w:spacing w:after="0" w:line="257" w:lineRule="auto"/>
        <w:tabs>
          <w:tab w:leader="none" w:pos="177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The Borrower has delivered the unaudited financial statements required by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of the Agreement for the fiscal quarter of the Borrower ended as of the above date and the related consolidated and consolidating statements of income or operations, changes in shareholders’ equity, and cash flows for such fiscal quarter. Such consolidated financial statements fairly present in all material respects the financial condition, results of operations and cash flows of the Borrower and its Subsidiaries in accordance with GAAP as at such date and for such period, subject only to normal year-end audit adjustments and the absence of footnotes.</w:t>
      </w:r>
    </w:p>
    <w:p>
      <w:pPr>
        <w:spacing w:after="0" w:line="188" w:lineRule="exact"/>
        <w:rPr>
          <w:rFonts w:ascii="Arial" w:cs="Arial" w:eastAsia="Arial" w:hAnsi="Arial"/>
          <w:sz w:val="18"/>
          <w:szCs w:val="18"/>
          <w:color w:val="auto"/>
        </w:rPr>
      </w:pPr>
    </w:p>
    <w:p>
      <w:pPr>
        <w:jc w:val="both"/>
        <w:ind w:firstLine="1305"/>
        <w:spacing w:after="0" w:line="264" w:lineRule="auto"/>
        <w:tabs>
          <w:tab w:leader="none" w:pos="176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undersigned has reviewed and is familiar with the terms of the Agreement and has made, or has caused to be made under his/her supervision, a detailed review of the transactions and condition (financial or otherwise) of the Borrower during the accounting period covered by such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431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4" w:name="page175"/>
    <w:bookmarkEnd w:id="174"/>
    <w:p>
      <w:pPr>
        <w:ind w:right="20" w:firstLine="1305"/>
        <w:spacing w:after="0" w:line="308" w:lineRule="auto"/>
        <w:tabs>
          <w:tab w:leader="none" w:pos="1799"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 review of the activities of the Borrower during such fiscal period has been made under the supervision of the undersigned with a view to determining whether during such fiscal period the Borrower performed and observed all its Obligations under the Loan Documents,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[select one:]</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to the knowledge of the undersigned, during such fiscal period the Borrower performed and observed each covenant and condition of the Loan Documents applicable to it, and no Default has occurred and is continuing.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--or--</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to the knowledge of the undersigned, the following covenants or conditions have not been performed or observed and the following is a list of each such Default that has occurred and is continuing and its nature and status:</w:t>
      </w:r>
    </w:p>
    <w:p>
      <w:pPr>
        <w:spacing w:after="0" w:line="170" w:lineRule="exact"/>
        <w:rPr>
          <w:sz w:val="20"/>
          <w:szCs w:val="20"/>
          <w:color w:val="auto"/>
        </w:rPr>
      </w:pPr>
    </w:p>
    <w:p>
      <w:pPr>
        <w:jc w:val="both"/>
        <w:ind w:firstLine="1305"/>
        <w:spacing w:after="0" w:line="272" w:lineRule="auto"/>
        <w:tabs>
          <w:tab w:leader="none" w:pos="1755"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Borrower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the Agreement and all representations and warranties of any Guarantees that are contained in any document furnished at any time under or in connection with the Loan Documents, are true and correct and for all representations and warranties which are not by their terms qualified by “materiality”, in all material respects on and as of the date hereof, except to the extent that such representations and warranties specifically refer to an earlier date, in which case they are true and correct as of such earlier date, and except that for purposes of this Compliance Certificate, the representations and warranties contained in subsections (a) and (b) of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of the Agreement shall be deemed to refer to the most recent statements furnished pursuant to clauses (a) and (b), respectively,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of the Agreement, including the statements in connection with which this Compliance Certificate is delivered.</w:t>
      </w:r>
    </w:p>
    <w:p>
      <w:pPr>
        <w:spacing w:after="0" w:line="177" w:lineRule="exact"/>
        <w:rPr>
          <w:rFonts w:ascii="Arial" w:cs="Arial" w:eastAsia="Arial" w:hAnsi="Arial"/>
          <w:sz w:val="17"/>
          <w:szCs w:val="17"/>
          <w:color w:val="auto"/>
        </w:rPr>
      </w:pPr>
    </w:p>
    <w:p>
      <w:pPr>
        <w:ind w:left="1760" w:hanging="455"/>
        <w:spacing w:after="0"/>
        <w:tabs>
          <w:tab w:leader="none" w:pos="176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The financial covenant analyses and information set forth on </w:t>
      </w:r>
      <w:r>
        <w:rPr>
          <w:rFonts w:ascii="Arial" w:cs="Arial" w:eastAsia="Arial" w:hAnsi="Arial"/>
          <w:sz w:val="16"/>
          <w:szCs w:val="16"/>
          <w:u w:val="single" w:color="auto"/>
          <w:color w:val="auto"/>
        </w:rPr>
        <w:t>Schedules 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attached hereto are true and accurate on and as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 of this Certificate.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 xml:space="preserve">IN WITNESS WHEREOF, </w:t>
      </w:r>
      <w:r>
        <w:rPr>
          <w:rFonts w:ascii="Arial" w:cs="Arial" w:eastAsia="Arial" w:hAnsi="Arial"/>
          <w:sz w:val="18"/>
          <w:szCs w:val="18"/>
          <w:color w:val="auto"/>
        </w:rPr>
        <w:t>the undersigned has executed this Certificate as of ______________ , _____________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5162550</wp:posOffset>
            </wp:positionH>
            <wp:positionV relativeFrom="paragraph">
              <wp:posOffset>-10160</wp:posOffset>
            </wp:positionV>
            <wp:extent cx="285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5990590</wp:posOffset>
            </wp:positionH>
            <wp:positionV relativeFrom="paragraph">
              <wp:posOffset>-10160</wp:posOffset>
            </wp:positionV>
            <wp:extent cx="285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HARVARD BIOSCIENCE,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02374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22860</wp:posOffset>
            </wp:positionV>
            <wp:extent cx="202374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023745"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-121920</wp:posOffset>
            </wp:positionV>
            <wp:extent cx="20237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023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1283335</wp:posOffset>
            </wp:positionV>
            <wp:extent cx="7246620" cy="431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i w:val="1"/>
          <w:iCs w:val="1"/>
          <w:color w:val="auto"/>
        </w:rPr>
        <w:t>EXHIBIT E-1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AND ASSUMPTION</w:t>
      </w:r>
    </w:p>
    <w:p>
      <w:pPr>
        <w:spacing w:after="0" w:line="229"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This Assignment and Assumption (this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the Assignor identified in item 1 below (the “</w:t>
      </w:r>
      <w:r>
        <w:rPr>
          <w:rFonts w:ascii="Arial" w:cs="Arial" w:eastAsia="Arial" w:hAnsi="Arial"/>
          <w:sz w:val="16"/>
          <w:szCs w:val="16"/>
          <w:u w:val="single" w:color="auto"/>
          <w:color w:val="auto"/>
        </w:rPr>
        <w:t>Assignor</w:t>
      </w:r>
      <w:r>
        <w:rPr>
          <w:rFonts w:ascii="Arial" w:cs="Arial" w:eastAsia="Arial" w:hAnsi="Arial"/>
          <w:sz w:val="16"/>
          <w:szCs w:val="16"/>
          <w:color w:val="auto"/>
        </w:rPr>
        <w:t>”) and the Assignee identified in item 2 below (the “</w:t>
      </w:r>
      <w:r>
        <w:rPr>
          <w:rFonts w:ascii="Arial" w:cs="Arial" w:eastAsia="Arial" w:hAnsi="Arial"/>
          <w:sz w:val="16"/>
          <w:szCs w:val="16"/>
          <w:u w:val="single" w:color="auto"/>
          <w:color w:val="auto"/>
        </w:rPr>
        <w:t>Assignee</w:t>
      </w:r>
      <w:r>
        <w:rPr>
          <w:rFonts w:ascii="Arial" w:cs="Arial" w:eastAsia="Arial" w:hAnsi="Arial"/>
          <w:sz w:val="16"/>
          <w:szCs w:val="16"/>
          <w:color w:val="auto"/>
        </w:rPr>
        <w:t>”). Capitalized terms used but not defined herein shall have the meanings given to them in the Third Amended and Restated Credit Agreement identified below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5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 Assignor to the Assignee pursuant to clauses (i) and (ii) above being referred to herein collectively as the “</w:t>
      </w:r>
      <w:r>
        <w:rPr>
          <w:rFonts w:ascii="Arial" w:cs="Arial" w:eastAsia="Arial" w:hAnsi="Arial"/>
          <w:sz w:val="17"/>
          <w:szCs w:val="17"/>
          <w:u w:val="single" w:color="auto"/>
          <w:color w:val="auto"/>
        </w:rPr>
        <w:t>Assigned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Interest</w:t>
      </w:r>
      <w:r>
        <w:rPr>
          <w:rFonts w:ascii="Arial" w:cs="Arial" w:eastAsia="Arial" w:hAnsi="Arial"/>
          <w:sz w:val="17"/>
          <w:szCs w:val="17"/>
          <w:color w:val="auto"/>
        </w:rPr>
        <w:t>”). Each such sale and assignment is without recourse to the Assignor and, except as expressly provided in this Assignment and Assumption, without representation or warranty by the Assignor.</w:t>
      </w:r>
    </w:p>
    <w:p>
      <w:pPr>
        <w:spacing w:after="0" w:line="180" w:lineRule="exact"/>
        <w:rPr>
          <w:sz w:val="20"/>
          <w:szCs w:val="20"/>
          <w:color w:val="auto"/>
        </w:rPr>
      </w:pPr>
    </w:p>
    <w:p>
      <w:pPr>
        <w:ind w:left="580" w:hanging="572"/>
        <w:spacing w:after="0"/>
        <w:tabs>
          <w:tab w:leader="none" w:pos="58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Assignor[s]:</w:t>
      </w:r>
      <w:r>
        <w:rPr>
          <w:rFonts w:ascii="Arial" w:cs="Arial" w:eastAsia="Arial" w:hAnsi="Arial"/>
          <w:sz w:val="18"/>
          <w:szCs w:val="18"/>
          <w:color w:val="auto"/>
        </w:rPr>
        <w:t xml:space="preserve">   ________________________________________________</w:t>
      </w:r>
    </w:p>
    <w:p>
      <w:pPr>
        <w:spacing w:after="0" w:line="225"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Assignee[s]:</w:t>
      </w:r>
      <w:r>
        <w:rPr>
          <w:rFonts w:ascii="Arial" w:cs="Arial" w:eastAsia="Arial" w:hAnsi="Arial"/>
          <w:sz w:val="18"/>
          <w:szCs w:val="18"/>
          <w:color w:val="auto"/>
        </w:rPr>
        <w:t xml:space="preserve">   ________________________________________________</w:t>
      </w:r>
    </w:p>
    <w:p>
      <w:pPr>
        <w:spacing w:after="0" w:line="225"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each Assignee, indicate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p>
      <w:pPr>
        <w:spacing w:after="0" w:line="225" w:lineRule="exact"/>
        <w:rPr>
          <w:sz w:val="20"/>
          <w:szCs w:val="20"/>
          <w:color w:val="auto"/>
        </w:rPr>
      </w:pPr>
    </w:p>
    <w:p>
      <w:pPr>
        <w:ind w:left="580" w:hanging="572"/>
        <w:spacing w:after="0"/>
        <w:tabs>
          <w:tab w:leader="none" w:pos="58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Borrower(s):</w:t>
      </w:r>
      <w:r>
        <w:rPr>
          <w:rFonts w:ascii="Arial" w:cs="Arial" w:eastAsia="Arial" w:hAnsi="Arial"/>
          <w:sz w:val="18"/>
          <w:szCs w:val="18"/>
          <w:color w:val="auto"/>
        </w:rPr>
        <w:t xml:space="preserve">  ______________________________</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 Bank of America, N.A., as the Administrative Agent under the Credit Agreement</w:t>
      </w:r>
    </w:p>
    <w:p>
      <w:pPr>
        <w:spacing w:after="0" w:line="225" w:lineRule="exact"/>
        <w:rPr>
          <w:rFonts w:ascii="Arial" w:cs="Arial" w:eastAsia="Arial" w:hAnsi="Arial"/>
          <w:sz w:val="18"/>
          <w:szCs w:val="18"/>
          <w:color w:val="auto"/>
        </w:rPr>
      </w:pPr>
    </w:p>
    <w:p>
      <w:pPr>
        <w:ind w:left="580" w:right="80" w:hanging="572"/>
        <w:spacing w:after="0" w:line="277" w:lineRule="auto"/>
        <w:tabs>
          <w:tab w:leader="none" w:pos="58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 Third Amended and Restated Credit Agreement, dated as of April [__], 2017, among the Borrower, the Lenders from time to time party thereto, and Bank of America, N.A.,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246620" cy="431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6" w:name="page177"/>
    <w:bookmarkEnd w:id="176"/>
    <w:p>
      <w:pPr>
        <w:ind w:left="580" w:hanging="572"/>
        <w:spacing w:after="0"/>
        <w:tabs>
          <w:tab w:leader="none" w:pos="5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60" w:type="dxa"/>
            <w:vAlign w:val="bottom"/>
            <w:tcBorders>
              <w:top w:val="single" w:sz="8" w:color="auto"/>
              <w:left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2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Aggregate</w:t>
            </w:r>
          </w:p>
        </w:tc>
        <w:tc>
          <w:tcPr>
            <w:tcW w:w="146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7"/>
              </w:rPr>
              <w:t>Amount of</w:t>
            </w:r>
          </w:p>
        </w:tc>
        <w:tc>
          <w:tcPr>
            <w:tcW w:w="146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6"/>
              </w:rPr>
              <w:t>Percentage</w:t>
            </w:r>
          </w:p>
        </w:tc>
        <w:tc>
          <w:tcPr>
            <w:tcW w:w="3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60" w:type="dxa"/>
            <w:vAlign w:val="bottom"/>
            <w:tcBorders>
              <w:top w:val="single" w:sz="8" w:color="auto"/>
              <w:right w:val="single" w:sz="8" w:color="auto"/>
            </w:tcBorders>
          </w:tcPr>
          <w:p>
            <w:pPr>
              <w:spacing w:after="0"/>
              <w:rPr>
                <w:sz w:val="18"/>
                <w:szCs w:val="18"/>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5"/>
              </w:rPr>
              <w:t>Amount of</w:t>
            </w:r>
          </w:p>
        </w:tc>
        <w:tc>
          <w:tcPr>
            <w:tcW w:w="14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Commitment/Loans</w:t>
            </w:r>
          </w:p>
        </w:tc>
        <w:tc>
          <w:tcPr>
            <w:tcW w:w="14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Assigned of</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r>
      <w:tr>
        <w:trPr>
          <w:trHeight w:val="190"/>
        </w:trPr>
        <w:tc>
          <w:tcPr>
            <w:tcW w:w="26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Borders>
              <w:right w:val="single" w:sz="8" w:color="auto"/>
            </w:tcBorders>
            <w:gridSpan w:val="2"/>
          </w:tcPr>
          <w:p>
            <w:pPr>
              <w:jc w:val="center"/>
              <w:ind w:right="520"/>
              <w:spacing w:after="0" w:line="190" w:lineRule="exact"/>
              <w:rPr>
                <w:sz w:val="20"/>
                <w:szCs w:val="20"/>
                <w:color w:val="auto"/>
              </w:rPr>
            </w:pPr>
            <w:r>
              <w:rPr>
                <w:rFonts w:ascii="Arial" w:cs="Arial" w:eastAsia="Arial" w:hAnsi="Arial"/>
                <w:sz w:val="18"/>
                <w:szCs w:val="18"/>
                <w:color w:val="auto"/>
                <w:w w:val="99"/>
              </w:rPr>
              <w:t>Facility</w:t>
            </w:r>
          </w:p>
        </w:tc>
        <w:tc>
          <w:tcPr>
            <w:tcW w:w="1540" w:type="dxa"/>
            <w:vAlign w:val="bottom"/>
            <w:tcBorders>
              <w:right w:val="single" w:sz="8" w:color="auto"/>
            </w:tcBorders>
            <w:gridSpan w:val="3"/>
          </w:tcPr>
          <w:p>
            <w:pPr>
              <w:jc w:val="center"/>
              <w:ind w:right="20"/>
              <w:spacing w:after="0" w:line="190" w:lineRule="exact"/>
              <w:rPr>
                <w:sz w:val="20"/>
                <w:szCs w:val="20"/>
                <w:color w:val="auto"/>
              </w:rPr>
            </w:pPr>
            <w:r>
              <w:rPr>
                <w:rFonts w:ascii="Arial" w:cs="Arial" w:eastAsia="Arial" w:hAnsi="Arial"/>
                <w:sz w:val="18"/>
                <w:szCs w:val="18"/>
                <w:color w:val="auto"/>
                <w:w w:val="92"/>
              </w:rPr>
              <w:t>Commitment/Loans</w:t>
            </w:r>
          </w:p>
        </w:tc>
        <w:tc>
          <w:tcPr>
            <w:tcW w:w="380" w:type="dxa"/>
            <w:vAlign w:val="bottom"/>
          </w:tcPr>
          <w:p>
            <w:pPr>
              <w:spacing w:after="0"/>
              <w:rPr>
                <w:sz w:val="16"/>
                <w:szCs w:val="16"/>
                <w:color w:val="auto"/>
              </w:rPr>
            </w:pPr>
          </w:p>
        </w:tc>
        <w:tc>
          <w:tcPr>
            <w:tcW w:w="1080" w:type="dxa"/>
            <w:vAlign w:val="bottom"/>
            <w:tcBorders>
              <w:right w:val="single" w:sz="8" w:color="auto"/>
            </w:tcBorders>
            <w:gridSpan w:val="2"/>
          </w:tcPr>
          <w:p>
            <w:pPr>
              <w:jc w:val="center"/>
              <w:ind w:right="400"/>
              <w:spacing w:after="0" w:line="190" w:lineRule="exact"/>
              <w:rPr>
                <w:sz w:val="20"/>
                <w:szCs w:val="20"/>
                <w:color w:val="auto"/>
              </w:rPr>
            </w:pPr>
            <w:r>
              <w:rPr>
                <w:rFonts w:ascii="Arial" w:cs="Arial" w:eastAsia="Arial" w:hAnsi="Arial"/>
                <w:sz w:val="18"/>
                <w:szCs w:val="18"/>
                <w:color w:val="auto"/>
                <w:w w:val="91"/>
              </w:rPr>
              <w:t>Assigned</w:t>
            </w:r>
          </w:p>
        </w:tc>
        <w:tc>
          <w:tcPr>
            <w:tcW w:w="1460" w:type="dxa"/>
            <w:vAlign w:val="bottom"/>
            <w:tcBorders>
              <w:right w:val="single" w:sz="8" w:color="auto"/>
            </w:tcBorders>
            <w:gridSpan w:val="3"/>
          </w:tcPr>
          <w:p>
            <w:pPr>
              <w:jc w:val="center"/>
              <w:ind w:right="20"/>
              <w:spacing w:after="0" w:line="190" w:lineRule="exact"/>
              <w:rPr>
                <w:sz w:val="20"/>
                <w:szCs w:val="20"/>
                <w:color w:val="auto"/>
              </w:rPr>
            </w:pPr>
            <w:r>
              <w:rPr>
                <w:rFonts w:ascii="Arial" w:cs="Arial" w:eastAsia="Arial" w:hAnsi="Arial"/>
                <w:sz w:val="18"/>
                <w:szCs w:val="18"/>
                <w:color w:val="auto"/>
                <w:w w:val="93"/>
              </w:rPr>
              <w:t>Commitment/</w:t>
            </w:r>
          </w:p>
        </w:tc>
        <w:tc>
          <w:tcPr>
            <w:tcW w:w="340" w:type="dxa"/>
            <w:vAlign w:val="bottom"/>
          </w:tcPr>
          <w:p>
            <w:pPr>
              <w:spacing w:after="0"/>
              <w:rPr>
                <w:sz w:val="16"/>
                <w:szCs w:val="16"/>
                <w:color w:val="auto"/>
              </w:rPr>
            </w:pPr>
          </w:p>
        </w:tc>
        <w:tc>
          <w:tcPr>
            <w:tcW w:w="980" w:type="dxa"/>
            <w:vAlign w:val="bottom"/>
            <w:tcBorders>
              <w:right w:val="single" w:sz="8" w:color="auto"/>
            </w:tcBorders>
            <w:gridSpan w:val="2"/>
          </w:tcPr>
          <w:p>
            <w:pPr>
              <w:ind w:left="60"/>
              <w:spacing w:after="0" w:line="190" w:lineRule="exact"/>
              <w:rPr>
                <w:sz w:val="20"/>
                <w:szCs w:val="20"/>
                <w:color w:val="auto"/>
              </w:rPr>
            </w:pPr>
            <w:r>
              <w:rPr>
                <w:rFonts w:ascii="Arial" w:cs="Arial" w:eastAsia="Arial" w:hAnsi="Arial"/>
                <w:sz w:val="18"/>
                <w:szCs w:val="18"/>
                <w:color w:val="auto"/>
              </w:rPr>
              <w:t>CUSIP</w:t>
            </w:r>
          </w:p>
        </w:tc>
      </w:tr>
      <w:tr>
        <w:trPr>
          <w:trHeight w:val="196"/>
        </w:trPr>
        <w:tc>
          <w:tcPr>
            <w:tcW w:w="260" w:type="dxa"/>
            <w:vAlign w:val="bottom"/>
            <w:tcBorders>
              <w:left w:val="single" w:sz="8" w:color="auto"/>
            </w:tcBorders>
          </w:tcPr>
          <w:p>
            <w:pPr>
              <w:spacing w:after="0"/>
              <w:rPr>
                <w:sz w:val="17"/>
                <w:szCs w:val="17"/>
                <w:color w:val="auto"/>
              </w:rPr>
            </w:pPr>
          </w:p>
        </w:tc>
        <w:tc>
          <w:tcPr>
            <w:tcW w:w="118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Assignor[s]</w:t>
            </w:r>
          </w:p>
        </w:tc>
        <w:tc>
          <w:tcPr>
            <w:tcW w:w="2520" w:type="dxa"/>
            <w:vAlign w:val="bottom"/>
            <w:tcBorders>
              <w:right w:val="single" w:sz="8" w:color="auto"/>
            </w:tcBorders>
            <w:gridSpan w:val="3"/>
          </w:tcPr>
          <w:p>
            <w:pPr>
              <w:ind w:left="820"/>
              <w:spacing w:after="0" w:line="196" w:lineRule="exact"/>
              <w:rPr>
                <w:sz w:val="20"/>
                <w:szCs w:val="20"/>
                <w:color w:val="auto"/>
              </w:rPr>
            </w:pPr>
            <w:r>
              <w:rPr>
                <w:rFonts w:ascii="Arial" w:cs="Arial" w:eastAsia="Arial" w:hAnsi="Arial"/>
                <w:sz w:val="18"/>
                <w:szCs w:val="18"/>
                <w:color w:val="auto"/>
              </w:rPr>
              <w:t>Assignee[s]</w:t>
            </w:r>
          </w:p>
        </w:tc>
        <w:tc>
          <w:tcPr>
            <w:tcW w:w="1680" w:type="dxa"/>
            <w:vAlign w:val="bottom"/>
            <w:tcBorders>
              <w:right w:val="single" w:sz="8" w:color="auto"/>
            </w:tcBorders>
            <w:gridSpan w:val="3"/>
          </w:tcPr>
          <w:p>
            <w:pPr>
              <w:jc w:val="center"/>
              <w:ind w:right="40"/>
              <w:spacing w:after="0" w:line="196" w:lineRule="exact"/>
              <w:rPr>
                <w:sz w:val="20"/>
                <w:szCs w:val="20"/>
                <w:color w:val="auto"/>
              </w:rPr>
            </w:pPr>
            <w:r>
              <w:rPr>
                <w:rFonts w:ascii="Arial" w:cs="Arial" w:eastAsia="Arial" w:hAnsi="Arial"/>
                <w:sz w:val="18"/>
                <w:szCs w:val="18"/>
                <w:color w:val="auto"/>
                <w:w w:val="91"/>
              </w:rPr>
              <w:t>Assigned</w:t>
            </w:r>
          </w:p>
        </w:tc>
        <w:tc>
          <w:tcPr>
            <w:tcW w:w="220" w:type="dxa"/>
            <w:vAlign w:val="bottom"/>
          </w:tcPr>
          <w:p>
            <w:pPr>
              <w:spacing w:after="0"/>
              <w:rPr>
                <w:sz w:val="17"/>
                <w:szCs w:val="17"/>
                <w:color w:val="auto"/>
              </w:rPr>
            </w:pPr>
          </w:p>
        </w:tc>
        <w:tc>
          <w:tcPr>
            <w:tcW w:w="1320" w:type="dxa"/>
            <w:vAlign w:val="bottom"/>
            <w:tcBorders>
              <w:right w:val="single" w:sz="8" w:color="auto"/>
            </w:tcBorders>
            <w:gridSpan w:val="2"/>
          </w:tcPr>
          <w:p>
            <w:pPr>
              <w:jc w:val="center"/>
              <w:ind w:right="260"/>
              <w:spacing w:after="0" w:line="196" w:lineRule="exact"/>
              <w:rPr>
                <w:sz w:val="20"/>
                <w:szCs w:val="20"/>
                <w:color w:val="auto"/>
              </w:rPr>
            </w:pPr>
            <w:r>
              <w:rPr>
                <w:rFonts w:ascii="Arial" w:cs="Arial" w:eastAsia="Arial" w:hAnsi="Arial"/>
                <w:sz w:val="18"/>
                <w:szCs w:val="18"/>
                <w:color w:val="auto"/>
                <w:w w:val="92"/>
              </w:rPr>
              <w:t>for all Lenders</w:t>
            </w:r>
          </w:p>
        </w:tc>
        <w:tc>
          <w:tcPr>
            <w:tcW w:w="3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Borders>
              <w:right w:val="single" w:sz="8" w:color="auto"/>
            </w:tcBorders>
            <w:gridSpan w:val="2"/>
          </w:tcPr>
          <w:p>
            <w:pPr>
              <w:jc w:val="center"/>
              <w:ind w:right="520"/>
              <w:spacing w:after="0" w:line="196" w:lineRule="exact"/>
              <w:rPr>
                <w:sz w:val="20"/>
                <w:szCs w:val="20"/>
                <w:color w:val="auto"/>
              </w:rPr>
            </w:pPr>
            <w:r>
              <w:rPr>
                <w:rFonts w:ascii="Arial" w:cs="Arial" w:eastAsia="Arial" w:hAnsi="Arial"/>
                <w:sz w:val="18"/>
                <w:szCs w:val="18"/>
                <w:color w:val="auto"/>
                <w:w w:val="89"/>
              </w:rPr>
              <w:t>Loans</w:t>
            </w:r>
          </w:p>
        </w:tc>
        <w:tc>
          <w:tcPr>
            <w:tcW w:w="340" w:type="dxa"/>
            <w:vAlign w:val="bottom"/>
          </w:tcPr>
          <w:p>
            <w:pPr>
              <w:spacing w:after="0"/>
              <w:rPr>
                <w:sz w:val="17"/>
                <w:szCs w:val="17"/>
                <w:color w:val="auto"/>
              </w:rPr>
            </w:pPr>
          </w:p>
        </w:tc>
        <w:tc>
          <w:tcPr>
            <w:tcW w:w="980" w:type="dxa"/>
            <w:vAlign w:val="bottom"/>
            <w:tcBorders>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Number</w:t>
            </w:r>
          </w:p>
        </w:tc>
      </w:tr>
      <w:tr>
        <w:trPr>
          <w:trHeight w:val="237"/>
        </w:trPr>
        <w:tc>
          <w:tcPr>
            <w:tcW w:w="26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r>
      <w:tr>
        <w:trPr>
          <w:trHeight w:val="210"/>
        </w:trPr>
        <w:tc>
          <w:tcPr>
            <w:tcW w:w="26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____________</w:t>
            </w:r>
          </w:p>
        </w:tc>
        <w:tc>
          <w:tcPr>
            <w:tcW w:w="15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$________________</w:t>
            </w:r>
          </w:p>
        </w:tc>
        <w:tc>
          <w:tcPr>
            <w:tcW w:w="146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$_________</w:t>
            </w:r>
          </w:p>
        </w:tc>
        <w:tc>
          <w:tcPr>
            <w:tcW w:w="146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____________%</w:t>
            </w: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r>
      <w:tr>
        <w:trPr>
          <w:trHeight w:val="210"/>
        </w:trPr>
        <w:tc>
          <w:tcPr>
            <w:tcW w:w="26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____________</w:t>
            </w:r>
          </w:p>
        </w:tc>
        <w:tc>
          <w:tcPr>
            <w:tcW w:w="15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$________________</w:t>
            </w:r>
          </w:p>
        </w:tc>
        <w:tc>
          <w:tcPr>
            <w:tcW w:w="146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$_________</w:t>
            </w:r>
          </w:p>
        </w:tc>
        <w:tc>
          <w:tcPr>
            <w:tcW w:w="146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____________%</w:t>
            </w: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r>
      <w:tr>
        <w:trPr>
          <w:trHeight w:val="210"/>
        </w:trPr>
        <w:tc>
          <w:tcPr>
            <w:tcW w:w="26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____________</w:t>
            </w:r>
          </w:p>
        </w:tc>
        <w:tc>
          <w:tcPr>
            <w:tcW w:w="15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$________________</w:t>
            </w:r>
          </w:p>
        </w:tc>
        <w:tc>
          <w:tcPr>
            <w:tcW w:w="146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$_________</w:t>
            </w:r>
          </w:p>
        </w:tc>
        <w:tc>
          <w:tcPr>
            <w:tcW w:w="146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____________%</w:t>
            </w: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r>
      <w:tr>
        <w:trPr>
          <w:trHeight w:val="642"/>
        </w:trPr>
        <w:tc>
          <w:tcPr>
            <w:tcW w:w="260" w:type="dxa"/>
            <w:vAlign w:val="bottom"/>
          </w:tcPr>
          <w:p>
            <w:pPr>
              <w:jc w:val="right"/>
              <w:spacing w:after="0"/>
              <w:rPr>
                <w:sz w:val="20"/>
                <w:szCs w:val="20"/>
                <w:color w:val="auto"/>
              </w:rPr>
            </w:pPr>
            <w:r>
              <w:rPr>
                <w:rFonts w:ascii="Arial" w:cs="Arial" w:eastAsia="Arial" w:hAnsi="Arial"/>
                <w:sz w:val="18"/>
                <w:szCs w:val="18"/>
                <w:color w:val="auto"/>
                <w:w w:val="89"/>
              </w:rPr>
              <w:t>[7.</w:t>
            </w:r>
          </w:p>
        </w:tc>
        <w:tc>
          <w:tcPr>
            <w:tcW w:w="40" w:type="dxa"/>
            <w:vAlign w:val="bottom"/>
          </w:tcPr>
          <w:p>
            <w:pPr>
              <w:spacing w:after="0"/>
              <w:rPr>
                <w:sz w:val="24"/>
                <w:szCs w:val="24"/>
                <w:color w:val="auto"/>
              </w:rPr>
            </w:pPr>
          </w:p>
        </w:tc>
        <w:tc>
          <w:tcPr>
            <w:tcW w:w="3660" w:type="dxa"/>
            <w:vAlign w:val="bottom"/>
            <w:gridSpan w:val="5"/>
          </w:tcPr>
          <w:p>
            <w:pPr>
              <w:ind w:left="280"/>
              <w:spacing w:after="0"/>
              <w:rPr>
                <w:sz w:val="20"/>
                <w:szCs w:val="20"/>
                <w:color w:val="auto"/>
              </w:rPr>
            </w:pPr>
            <w:r>
              <w:rPr>
                <w:rFonts w:ascii="Arial" w:cs="Arial" w:eastAsia="Arial" w:hAnsi="Arial"/>
                <w:sz w:val="18"/>
                <w:szCs w:val="18"/>
                <w:color w:val="auto"/>
              </w:rPr>
              <w:t>Trade Date: __________________]</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__________________, 20__ [TO BE INSERTED BY ADMINISTRATIVE AGENT AND WHICH SHALL BE THE EFFECTIVE DATE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ASSIGNOR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OF ASSIGNOR]</w:t>
      </w: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4"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ASSIGNEE</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OF ASSIGNEE]</w:t>
      </w: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431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i w:val="1"/>
          <w:iCs w:val="1"/>
          <w:color w:val="auto"/>
        </w:rPr>
        <w:t>ANNEX 1 TO ASSIGNMENT AND ASSUMPTION</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[___________________]</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229" w:lineRule="exact"/>
        <w:rPr>
          <w:sz w:val="20"/>
          <w:szCs w:val="20"/>
          <w:color w:val="auto"/>
        </w:rPr>
      </w:pPr>
    </w:p>
    <w:p>
      <w:pPr>
        <w:ind w:left="1760" w:hanging="455"/>
        <w:spacing w:after="0"/>
        <w:tabs>
          <w:tab w:leader="none" w:pos="176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67"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w:t>
      </w:r>
      <w:r>
        <w:rPr>
          <w:rFonts w:ascii="Arial" w:cs="Arial" w:eastAsia="Arial" w:hAnsi="Arial"/>
          <w:sz w:val="16"/>
          <w:szCs w:val="16"/>
          <w:u w:val="single" w:color="auto"/>
          <w:color w:val="auto"/>
        </w:rPr>
        <w:t>Section 15.1(b)(iii)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of the Credit Agreement (subject to such consents, if any, as may be required under </w:t>
      </w:r>
      <w:r>
        <w:rPr>
          <w:rFonts w:ascii="Arial" w:cs="Arial" w:eastAsia="Arial" w:hAnsi="Arial"/>
          <w:sz w:val="16"/>
          <w:szCs w:val="16"/>
          <w:u w:val="single" w:color="auto"/>
          <w:color w:val="auto"/>
        </w:rPr>
        <w:t>Section 15.1(b)(iii)</w:t>
      </w:r>
      <w:r>
        <w:rPr>
          <w:rFonts w:ascii="Arial" w:cs="Arial" w:eastAsia="Arial" w:hAnsi="Arial"/>
          <w:sz w:val="16"/>
          <w:szCs w:val="16"/>
          <w:color w:val="auto"/>
        </w:rPr>
        <w:t xml:space="preserve">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Section 5.1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 Assigned Interest, and (vii) if it is a Foreign Lender, attached hereto is any documentation required to be delivered by it pursuant to the terms of the Credit Agreement, duly completed and executed by the Assignee; and (b) agrees that (i) it will, independently and without reliance upon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431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8" w:name="page179"/>
    <w:bookmarkEnd w:id="178"/>
    <w:p>
      <w:pPr>
        <w:jc w:val="both"/>
        <w:ind w:left="-1200" w:firstLine="1305"/>
        <w:spacing w:after="0" w:line="264" w:lineRule="auto"/>
        <w:tabs>
          <w:tab w:leader="none" w:pos="614"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81" w:lineRule="exact"/>
        <w:rPr>
          <w:rFonts w:ascii="Arial" w:cs="Arial" w:eastAsia="Arial" w:hAnsi="Arial"/>
          <w:sz w:val="18"/>
          <w:szCs w:val="18"/>
          <w:color w:val="auto"/>
        </w:rPr>
      </w:pPr>
    </w:p>
    <w:p>
      <w:pPr>
        <w:jc w:val="both"/>
        <w:ind w:left="-1200" w:firstLine="1305"/>
        <w:spacing w:after="0" w:line="257" w:lineRule="auto"/>
        <w:tabs>
          <w:tab w:leader="none" w:pos="587"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the Commonwealth of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831850</wp:posOffset>
            </wp:positionV>
            <wp:extent cx="7246620" cy="431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79" w:name="page180"/>
    <w:bookmarkEnd w:id="179"/>
    <w:p>
      <w:pPr>
        <w:ind w:left="10360"/>
        <w:spacing w:after="0"/>
        <w:rPr>
          <w:sz w:val="20"/>
          <w:szCs w:val="20"/>
          <w:color w:val="auto"/>
        </w:rPr>
      </w:pPr>
      <w:r>
        <w:rPr>
          <w:rFonts w:ascii="Arial" w:cs="Arial" w:eastAsia="Arial" w:hAnsi="Arial"/>
          <w:sz w:val="18"/>
          <w:szCs w:val="18"/>
          <w:b w:val="1"/>
          <w:bCs w:val="1"/>
          <w:i w:val="1"/>
          <w:iCs w:val="1"/>
          <w:color w:val="auto"/>
        </w:rPr>
        <w:t>EXHIBIT E-2</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ADMINISTRATIVE QUESTIONNAIRE</w:t>
      </w:r>
    </w:p>
    <w:p>
      <w:pPr>
        <w:spacing w:after="0" w:line="225" w:lineRule="exact"/>
        <w:rPr>
          <w:sz w:val="20"/>
          <w:szCs w:val="20"/>
          <w:color w:val="auto"/>
        </w:rPr>
      </w:pPr>
    </w:p>
    <w:p>
      <w:pPr>
        <w:ind w:left="340" w:hanging="332"/>
        <w:spacing w:after="0"/>
        <w:tabs>
          <w:tab w:leader="none" w:pos="340" w:val="left"/>
        </w:tabs>
        <w:numPr>
          <w:ilvl w:val="0"/>
          <w:numId w:val="196"/>
        </w:numPr>
        <w:rPr>
          <w:rFonts w:ascii="Arial" w:cs="Arial" w:eastAsia="Arial" w:hAnsi="Arial"/>
          <w:sz w:val="18"/>
          <w:szCs w:val="18"/>
          <w:b w:val="1"/>
          <w:bCs w:val="1"/>
          <w:color w:val="3333FF"/>
        </w:rPr>
      </w:pPr>
      <w:r>
        <w:rPr>
          <w:rFonts w:ascii="Arial" w:cs="Arial" w:eastAsia="Arial" w:hAnsi="Arial"/>
          <w:sz w:val="18"/>
          <w:szCs w:val="18"/>
          <w:b w:val="1"/>
          <w:bCs w:val="1"/>
          <w:color w:val="3333FF"/>
        </w:rPr>
        <w:t xml:space="preserve">Borrower or Deal Name </w:t>
      </w:r>
      <w:r>
        <w:rPr>
          <w:rFonts w:ascii="Arial" w:cs="Arial" w:eastAsia="Arial" w:hAnsi="Arial"/>
          <w:sz w:val="18"/>
          <w:szCs w:val="18"/>
          <w:b w:val="1"/>
          <w:bCs w:val="1"/>
          <w:color w:val="000000"/>
        </w:rPr>
        <w:t>___________________________________________________________________</w:t>
      </w:r>
    </w:p>
    <w:p>
      <w:pPr>
        <w:spacing w:after="0" w:line="27" w:lineRule="exact"/>
        <w:rPr>
          <w:rFonts w:ascii="Arial" w:cs="Arial" w:eastAsia="Arial" w:hAnsi="Arial"/>
          <w:sz w:val="18"/>
          <w:szCs w:val="18"/>
          <w:b w:val="1"/>
          <w:bCs w:val="1"/>
          <w:color w:val="3333FF"/>
        </w:rPr>
      </w:pPr>
    </w:p>
    <w:p>
      <w:pPr>
        <w:ind w:left="1680" w:hanging="375"/>
        <w:spacing w:after="0"/>
        <w:tabs>
          <w:tab w:leader="none" w:pos="1680" w:val="left"/>
        </w:tabs>
        <w:numPr>
          <w:ilvl w:val="1"/>
          <w:numId w:val="196"/>
        </w:numPr>
        <w:rPr>
          <w:rFonts w:ascii="Arial" w:cs="Arial" w:eastAsia="Arial" w:hAnsi="Arial"/>
          <w:sz w:val="18"/>
          <w:szCs w:val="18"/>
          <w:color w:val="auto"/>
        </w:rPr>
      </w:pPr>
      <w:r>
        <w:rPr>
          <w:rFonts w:ascii="Arial" w:cs="Arial" w:eastAsia="Arial" w:hAnsi="Arial"/>
          <w:sz w:val="18"/>
          <w:szCs w:val="18"/>
          <w:b w:val="1"/>
          <w:bCs w:val="1"/>
          <w:color w:val="auto"/>
        </w:rPr>
        <w:t>E-mail this document with your commitment letter to: __</w:t>
      </w:r>
      <w:r>
        <w:rPr>
          <w:rFonts w:ascii="Arial" w:cs="Arial" w:eastAsia="Arial" w:hAnsi="Arial"/>
          <w:sz w:val="18"/>
          <w:szCs w:val="18"/>
          <w:b w:val="1"/>
          <w:bCs w:val="1"/>
          <w:u w:val="single" w:color="auto"/>
          <w:color w:val="auto"/>
        </w:rPr>
        <w:t>Renee Marion</w:t>
      </w:r>
      <w:r>
        <w:rPr>
          <w:rFonts w:ascii="Arial" w:cs="Arial" w:eastAsia="Arial" w:hAnsi="Arial"/>
          <w:sz w:val="18"/>
          <w:szCs w:val="18"/>
          <w:b w:val="1"/>
          <w:bCs w:val="1"/>
          <w:color w:val="auto"/>
        </w:rPr>
        <w:t>___________________________________</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E-mail address of recipient: ____</w:t>
      </w:r>
      <w:r>
        <w:rPr>
          <w:rFonts w:ascii="Arial" w:cs="Arial" w:eastAsia="Arial" w:hAnsi="Arial"/>
          <w:sz w:val="18"/>
          <w:szCs w:val="18"/>
          <w:u w:val="single" w:color="auto"/>
          <w:color w:val="auto"/>
        </w:rPr>
        <w:t>renee.marion@baml.com</w:t>
      </w:r>
      <w:r>
        <w:rPr>
          <w:rFonts w:ascii="Arial" w:cs="Arial" w:eastAsia="Arial" w:hAnsi="Arial"/>
          <w:sz w:val="18"/>
          <w:szCs w:val="18"/>
          <w:color w:val="auto"/>
        </w:rPr>
        <w:t>_____________________________________</w:t>
      </w:r>
    </w:p>
    <w:p>
      <w:pPr>
        <w:spacing w:after="0" w:line="233" w:lineRule="exact"/>
        <w:rPr>
          <w:rFonts w:ascii="Arial" w:cs="Arial" w:eastAsia="Arial" w:hAnsi="Arial"/>
          <w:sz w:val="18"/>
          <w:szCs w:val="18"/>
          <w:color w:val="auto"/>
        </w:rPr>
      </w:pPr>
    </w:p>
    <w:p>
      <w:pPr>
        <w:ind w:left="180" w:hanging="172"/>
        <w:spacing w:after="0"/>
        <w:tabs>
          <w:tab w:leader="none" w:pos="180" w:val="left"/>
        </w:tabs>
        <w:numPr>
          <w:ilvl w:val="0"/>
          <w:numId w:val="196"/>
        </w:numPr>
        <w:rPr>
          <w:rFonts w:ascii="Arial" w:cs="Arial" w:eastAsia="Arial" w:hAnsi="Arial"/>
          <w:sz w:val="18"/>
          <w:szCs w:val="18"/>
          <w:b w:val="1"/>
          <w:bCs w:val="1"/>
          <w:color w:val="3333FF"/>
        </w:rPr>
      </w:pPr>
      <w:r>
        <w:rPr>
          <w:rFonts w:ascii="Arial" w:cs="Arial" w:eastAsia="Arial" w:hAnsi="Arial"/>
          <w:sz w:val="18"/>
          <w:szCs w:val="18"/>
          <w:b w:val="1"/>
          <w:bCs w:val="1"/>
          <w:color w:val="3333FF"/>
        </w:rPr>
        <w:t>Legal Name of Lender of Record for Signature Page</w:t>
      </w:r>
      <w:r>
        <w:rPr>
          <w:rFonts w:ascii="Arial" w:cs="Arial" w:eastAsia="Arial" w:hAnsi="Arial"/>
          <w:sz w:val="18"/>
          <w:szCs w:val="18"/>
          <w:color w:val="000000"/>
        </w:rPr>
        <w:t>: _________________________________________________________</w:t>
      </w:r>
    </w:p>
    <w:p>
      <w:pPr>
        <w:spacing w:after="0" w:line="229" w:lineRule="exact"/>
        <w:rPr>
          <w:rFonts w:ascii="Arial" w:cs="Arial" w:eastAsia="Arial" w:hAnsi="Arial"/>
          <w:sz w:val="18"/>
          <w:szCs w:val="18"/>
          <w:b w:val="1"/>
          <w:bCs w:val="1"/>
          <w:color w:val="3333FF"/>
        </w:rPr>
      </w:pPr>
    </w:p>
    <w:p>
      <w:pPr>
        <w:ind w:left="180" w:right="8660"/>
        <w:spacing w:after="0" w:line="291" w:lineRule="auto"/>
        <w:rPr>
          <w:rFonts w:ascii="Arial" w:cs="Arial" w:eastAsia="Arial" w:hAnsi="Arial"/>
          <w:sz w:val="18"/>
          <w:szCs w:val="18"/>
          <w:b w:val="1"/>
          <w:bCs w:val="1"/>
          <w:color w:val="3333FF"/>
        </w:rPr>
      </w:pPr>
      <w:r>
        <w:rPr>
          <w:rFonts w:ascii="Arial" w:cs="Arial" w:eastAsia="Arial" w:hAnsi="Arial"/>
          <w:sz w:val="16"/>
          <w:szCs w:val="16"/>
          <w:color w:val="auto"/>
        </w:rPr>
        <w:t>Markit Entity Identifier (MEI) # Fund Manager Name (if applicable)</w:t>
      </w:r>
    </w:p>
    <w:p>
      <w:pPr>
        <w:ind w:left="180" w:right="7140"/>
        <w:spacing w:after="0" w:line="258" w:lineRule="auto"/>
        <w:rPr>
          <w:rFonts w:ascii="Arial" w:cs="Arial" w:eastAsia="Arial" w:hAnsi="Arial"/>
          <w:sz w:val="18"/>
          <w:szCs w:val="18"/>
          <w:b w:val="1"/>
          <w:bCs w:val="1"/>
          <w:color w:val="3333FF"/>
        </w:rPr>
      </w:pPr>
      <w:r>
        <w:rPr>
          <w:rFonts w:ascii="Arial" w:cs="Arial" w:eastAsia="Arial" w:hAnsi="Arial"/>
          <w:sz w:val="18"/>
          <w:szCs w:val="18"/>
          <w:color w:val="auto"/>
        </w:rPr>
        <w:t>Legal Address from Tax Document of Lender of Record: Country</w:t>
      </w:r>
    </w:p>
    <w:p>
      <w:pPr>
        <w:ind w:left="180"/>
        <w:spacing w:after="0"/>
        <w:rPr>
          <w:rFonts w:ascii="Arial" w:cs="Arial" w:eastAsia="Arial" w:hAnsi="Arial"/>
          <w:sz w:val="18"/>
          <w:szCs w:val="18"/>
          <w:b w:val="1"/>
          <w:bCs w:val="1"/>
          <w:color w:val="3333FF"/>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-1061085</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-130810</wp:posOffset>
            </wp:positionV>
            <wp:extent cx="67233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-405130</wp:posOffset>
            </wp:positionV>
            <wp:extent cx="53600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360035"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-551180</wp:posOffset>
            </wp:positionV>
            <wp:extent cx="53600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820" w:type="dxa"/>
            <w:vAlign w:val="bottom"/>
            <w:gridSpan w:val="2"/>
          </w:tcPr>
          <w:p>
            <w:pPr>
              <w:ind w:left="180"/>
              <w:spacing w:after="0"/>
              <w:rPr>
                <w:sz w:val="20"/>
                <w:szCs w:val="20"/>
                <w:color w:val="auto"/>
              </w:rPr>
            </w:pPr>
            <w:r>
              <w:rPr>
                <w:rFonts w:ascii="Arial" w:cs="Arial" w:eastAsia="Arial" w:hAnsi="Arial"/>
                <w:sz w:val="18"/>
                <w:szCs w:val="18"/>
                <w:color w:val="auto"/>
              </w:rPr>
              <w:t>City</w:t>
            </w:r>
          </w:p>
        </w:tc>
        <w:tc>
          <w:tcPr>
            <w:tcW w:w="20" w:type="dxa"/>
            <w:vAlign w:val="bottom"/>
          </w:tcPr>
          <w:p>
            <w:pPr>
              <w:spacing w:after="0"/>
              <w:rPr>
                <w:sz w:val="19"/>
                <w:szCs w:val="19"/>
                <w:color w:val="auto"/>
              </w:rPr>
            </w:pPr>
          </w:p>
        </w:tc>
        <w:tc>
          <w:tcPr>
            <w:tcW w:w="1660" w:type="dxa"/>
            <w:vAlign w:val="bottom"/>
            <w:tcBorders>
              <w:top w:val="single" w:sz="8" w:color="auto"/>
            </w:tcBorders>
            <w:gridSpan w:val="2"/>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3"/>
          </w:tcPr>
          <w:p>
            <w:pPr>
              <w:ind w:left="840"/>
              <w:spacing w:after="0"/>
              <w:rPr>
                <w:sz w:val="20"/>
                <w:szCs w:val="20"/>
                <w:color w:val="auto"/>
              </w:rPr>
            </w:pPr>
            <w:r>
              <w:rPr>
                <w:rFonts w:ascii="Arial" w:cs="Arial" w:eastAsia="Arial" w:hAnsi="Arial"/>
                <w:sz w:val="18"/>
                <w:szCs w:val="18"/>
                <w:color w:val="auto"/>
                <w:w w:val="93"/>
              </w:rPr>
              <w:t>State/Province</w:t>
            </w: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gridSpan w:val="3"/>
          </w:tcPr>
          <w:p>
            <w:pPr>
              <w:ind w:left="640"/>
              <w:spacing w:after="0"/>
              <w:rPr>
                <w:sz w:val="20"/>
                <w:szCs w:val="20"/>
                <w:color w:val="auto"/>
              </w:rPr>
            </w:pPr>
            <w:r>
              <w:rPr>
                <w:rFonts w:ascii="Arial" w:cs="Arial" w:eastAsia="Arial" w:hAnsi="Arial"/>
                <w:sz w:val="18"/>
                <w:szCs w:val="18"/>
                <w:color w:val="auto"/>
              </w:rPr>
              <w:t>Country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4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20" w:type="dxa"/>
            <w:vAlign w:val="bottom"/>
            <w:tcBorders>
              <w:top w:val="single" w:sz="8" w:color="auto"/>
              <w:bottom w:val="single" w:sz="8" w:color="9A9A9A"/>
            </w:tcBorders>
            <w:gridSpan w:val="2"/>
          </w:tcPr>
          <w:p>
            <w:pPr>
              <w:spacing w:after="0"/>
              <w:rPr>
                <w:sz w:val="9"/>
                <w:szCs w:val="9"/>
                <w:color w:val="auto"/>
              </w:rPr>
            </w:pPr>
          </w:p>
        </w:tc>
        <w:tc>
          <w:tcPr>
            <w:tcW w:w="1260" w:type="dxa"/>
            <w:vAlign w:val="bottom"/>
            <w:tcBorders>
              <w:top w:val="single" w:sz="8" w:color="auto"/>
              <w:bottom w:val="single" w:sz="8" w:color="9A9A9A"/>
            </w:tcBorders>
          </w:tcPr>
          <w:p>
            <w:pPr>
              <w:spacing w:after="0"/>
              <w:rPr>
                <w:sz w:val="9"/>
                <w:szCs w:val="9"/>
                <w:color w:val="auto"/>
              </w:rPr>
            </w:pPr>
          </w:p>
        </w:tc>
        <w:tc>
          <w:tcPr>
            <w:tcW w:w="680" w:type="dxa"/>
            <w:vAlign w:val="bottom"/>
            <w:tcBorders>
              <w:top w:val="single" w:sz="8" w:color="auto"/>
              <w:bottom w:val="single" w:sz="8" w:color="9A9A9A"/>
            </w:tcBorders>
          </w:tcPr>
          <w:p>
            <w:pPr>
              <w:spacing w:after="0"/>
              <w:rPr>
                <w:sz w:val="9"/>
                <w:szCs w:val="9"/>
                <w:color w:val="auto"/>
              </w:rPr>
            </w:pPr>
          </w:p>
        </w:tc>
        <w:tc>
          <w:tcPr>
            <w:tcW w:w="840" w:type="dxa"/>
            <w:vAlign w:val="bottom"/>
            <w:tcBorders>
              <w:top w:val="single" w:sz="8" w:color="auto"/>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0" w:type="dxa"/>
            <w:vAlign w:val="bottom"/>
            <w:tcBorders>
              <w:top w:val="single" w:sz="8" w:color="auto"/>
              <w:bottom w:val="single" w:sz="8" w:color="9A9A9A"/>
            </w:tcBorders>
          </w:tcPr>
          <w:p>
            <w:pPr>
              <w:spacing w:after="0"/>
              <w:rPr>
                <w:sz w:val="9"/>
                <w:szCs w:val="9"/>
                <w:color w:val="auto"/>
              </w:rPr>
            </w:pPr>
          </w:p>
        </w:tc>
        <w:tc>
          <w:tcPr>
            <w:tcW w:w="1700" w:type="dxa"/>
            <w:vAlign w:val="bottom"/>
            <w:tcBorders>
              <w:top w:val="single" w:sz="8" w:color="auto"/>
              <w:bottom w:val="single" w:sz="8" w:color="9A9A9A"/>
            </w:tcBorders>
            <w:gridSpan w:val="2"/>
          </w:tcPr>
          <w:p>
            <w:pPr>
              <w:spacing w:after="0"/>
              <w:rPr>
                <w:sz w:val="9"/>
                <w:szCs w:val="9"/>
                <w:color w:val="auto"/>
              </w:rPr>
            </w:pPr>
          </w:p>
        </w:tc>
        <w:tc>
          <w:tcPr>
            <w:tcW w:w="800" w:type="dxa"/>
            <w:vAlign w:val="bottom"/>
            <w:tcBorders>
              <w:top w:val="single" w:sz="8" w:color="auto"/>
              <w:bottom w:val="single" w:sz="8" w:color="9A9A9A"/>
            </w:tcBorders>
          </w:tcPr>
          <w:p>
            <w:pPr>
              <w:spacing w:after="0"/>
              <w:rPr>
                <w:sz w:val="9"/>
                <w:szCs w:val="9"/>
                <w:color w:val="auto"/>
              </w:rPr>
            </w:pPr>
          </w:p>
        </w:tc>
        <w:tc>
          <w:tcPr>
            <w:tcW w:w="640" w:type="dxa"/>
            <w:vAlign w:val="bottom"/>
            <w:tcBorders>
              <w:top w:val="single" w:sz="8" w:color="auto"/>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820" w:type="dxa"/>
            <w:vAlign w:val="bottom"/>
            <w:tcBorders>
              <w:top w:val="single" w:sz="8" w:color="auto"/>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2500" w:type="dxa"/>
            <w:vAlign w:val="bottom"/>
            <w:gridSpan w:val="5"/>
          </w:tcPr>
          <w:p>
            <w:pPr>
              <w:spacing w:after="0"/>
              <w:rPr>
                <w:sz w:val="20"/>
                <w:szCs w:val="20"/>
                <w:color w:val="auto"/>
              </w:rPr>
            </w:pPr>
            <w:r>
              <w:rPr>
                <w:rFonts w:ascii="Arial" w:cs="Arial" w:eastAsia="Arial" w:hAnsi="Arial"/>
                <w:sz w:val="18"/>
                <w:szCs w:val="18"/>
                <w:b w:val="1"/>
                <w:bCs w:val="1"/>
                <w:color w:val="3333FF"/>
                <w:w w:val="95"/>
              </w:rPr>
              <w:t>3. Domestic Funding Address:</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80" w:type="dxa"/>
            <w:vAlign w:val="bottom"/>
            <w:gridSpan w:val="8"/>
          </w:tcPr>
          <w:p>
            <w:pPr>
              <w:ind w:left="60"/>
              <w:spacing w:after="0"/>
              <w:rPr>
                <w:sz w:val="20"/>
                <w:szCs w:val="20"/>
                <w:color w:val="auto"/>
              </w:rPr>
            </w:pPr>
            <w:r>
              <w:rPr>
                <w:rFonts w:ascii="Arial" w:cs="Arial" w:eastAsia="Arial" w:hAnsi="Arial"/>
                <w:sz w:val="18"/>
                <w:szCs w:val="18"/>
                <w:b w:val="1"/>
                <w:bCs w:val="1"/>
                <w:color w:val="3333FF"/>
              </w:rPr>
              <w:t>4. Eurodollar Funding Address: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00" w:type="dxa"/>
            <w:vAlign w:val="bottom"/>
            <w:gridSpan w:val="5"/>
          </w:tcPr>
          <w:p>
            <w:pPr>
              <w:spacing w:after="0"/>
              <w:rPr>
                <w:sz w:val="20"/>
                <w:szCs w:val="20"/>
                <w:color w:val="auto"/>
              </w:rPr>
            </w:pPr>
            <w:r>
              <w:rPr>
                <w:rFonts w:ascii="Arial" w:cs="Arial" w:eastAsia="Arial" w:hAnsi="Arial"/>
                <w:sz w:val="18"/>
                <w:szCs w:val="18"/>
                <w:color w:val="auto"/>
              </w:rPr>
              <w:t>Street Address</w:t>
            </w: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auto"/>
              </w:rPr>
              <w:t>Street Address</w:t>
            </w: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8"/>
                <w:szCs w:val="18"/>
                <w:color w:val="auto"/>
                <w:w w:val="98"/>
              </w:rPr>
              <w:t>Suite/ Mail Code</w:t>
            </w: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gridSpan w:val="5"/>
          </w:tcPr>
          <w:p>
            <w:pPr>
              <w:spacing w:after="0"/>
              <w:rPr>
                <w:sz w:val="20"/>
                <w:szCs w:val="20"/>
                <w:color w:val="auto"/>
              </w:rPr>
            </w:pPr>
            <w:r>
              <w:rPr>
                <w:rFonts w:ascii="Arial" w:cs="Arial" w:eastAsia="Arial" w:hAnsi="Arial"/>
                <w:sz w:val="18"/>
                <w:szCs w:val="18"/>
                <w:color w:val="auto"/>
              </w:rPr>
              <w:t>Suite/ Mail Code</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20"/>
                <w:szCs w:val="20"/>
                <w:color w:val="auto"/>
              </w:rPr>
            </w:pPr>
            <w:r>
              <w:rPr>
                <w:rFonts w:ascii="Arial" w:cs="Arial" w:eastAsia="Arial" w:hAnsi="Arial"/>
                <w:sz w:val="18"/>
                <w:szCs w:val="18"/>
                <w:color w:val="auto"/>
              </w:rPr>
              <w:t>City</w:t>
            </w:r>
          </w:p>
        </w:tc>
        <w:tc>
          <w:tcPr>
            <w:tcW w:w="2080" w:type="dxa"/>
            <w:vAlign w:val="bottom"/>
            <w:tcBorders>
              <w:bottom w:val="single" w:sz="8" w:color="auto"/>
            </w:tcBorders>
            <w:gridSpan w:val="4"/>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State</w:t>
            </w:r>
          </w:p>
        </w:tc>
        <w:tc>
          <w:tcPr>
            <w:tcW w:w="1820" w:type="dxa"/>
            <w:vAlign w:val="bottom"/>
            <w:tcBorders>
              <w:bottom w:val="single" w:sz="8" w:color="auto"/>
            </w:tcBorders>
            <w:gridSpan w:val="2"/>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City</w:t>
            </w:r>
          </w:p>
        </w:tc>
        <w:tc>
          <w:tcPr>
            <w:tcW w:w="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State</w:t>
            </w:r>
          </w:p>
        </w:tc>
        <w:tc>
          <w:tcPr>
            <w:tcW w:w="3140" w:type="dxa"/>
            <w:vAlign w:val="bottom"/>
            <w:tcBorders>
              <w:bottom w:val="single" w:sz="8" w:color="auto"/>
            </w:tcBorders>
            <w:gridSpan w:val="3"/>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500" w:type="dxa"/>
            <w:vAlign w:val="bottom"/>
            <w:gridSpan w:val="5"/>
          </w:tcPr>
          <w:p>
            <w:pPr>
              <w:spacing w:after="0"/>
              <w:rPr>
                <w:sz w:val="20"/>
                <w:szCs w:val="20"/>
                <w:color w:val="auto"/>
              </w:rPr>
            </w:pPr>
            <w:r>
              <w:rPr>
                <w:rFonts w:ascii="Arial" w:cs="Arial" w:eastAsia="Arial" w:hAnsi="Arial"/>
                <w:sz w:val="18"/>
                <w:szCs w:val="18"/>
                <w:color w:val="auto"/>
              </w:rPr>
              <w:t>Postal Code</w:t>
            </w:r>
          </w:p>
        </w:tc>
        <w:tc>
          <w:tcPr>
            <w:tcW w:w="2640" w:type="dxa"/>
            <w:vAlign w:val="bottom"/>
            <w:gridSpan w:val="4"/>
          </w:tcPr>
          <w:p>
            <w:pPr>
              <w:ind w:left="60"/>
              <w:spacing w:after="0"/>
              <w:rPr>
                <w:sz w:val="20"/>
                <w:szCs w:val="20"/>
                <w:color w:val="auto"/>
              </w:rPr>
            </w:pPr>
            <w:r>
              <w:rPr>
                <w:rFonts w:ascii="Arial" w:cs="Arial" w:eastAsia="Arial" w:hAnsi="Arial"/>
                <w:sz w:val="18"/>
                <w:szCs w:val="18"/>
                <w:color w:val="auto"/>
              </w:rPr>
              <w:t>Country</w:t>
            </w:r>
          </w:p>
        </w:tc>
        <w:tc>
          <w:tcPr>
            <w:tcW w:w="1380" w:type="dxa"/>
            <w:vAlign w:val="bottom"/>
            <w:gridSpan w:val="3"/>
          </w:tcPr>
          <w:p>
            <w:pPr>
              <w:ind w:left="60"/>
              <w:spacing w:after="0"/>
              <w:rPr>
                <w:sz w:val="20"/>
                <w:szCs w:val="20"/>
                <w:color w:val="auto"/>
              </w:rPr>
            </w:pPr>
            <w:r>
              <w:rPr>
                <w:rFonts w:ascii="Arial" w:cs="Arial" w:eastAsia="Arial" w:hAnsi="Arial"/>
                <w:sz w:val="18"/>
                <w:szCs w:val="18"/>
                <w:color w:val="auto"/>
              </w:rPr>
              <w:t>Postal Code</w:t>
            </w:r>
          </w:p>
        </w:tc>
        <w:tc>
          <w:tcPr>
            <w:tcW w:w="960" w:type="dxa"/>
            <w:vAlign w:val="bottom"/>
          </w:tcPr>
          <w:p>
            <w:pPr>
              <w:spacing w:after="0"/>
              <w:rPr>
                <w:sz w:val="24"/>
                <w:szCs w:val="24"/>
                <w:color w:val="auto"/>
              </w:rPr>
            </w:pPr>
          </w:p>
        </w:tc>
        <w:tc>
          <w:tcPr>
            <w:tcW w:w="3940" w:type="dxa"/>
            <w:vAlign w:val="bottom"/>
            <w:gridSpan w:val="4"/>
          </w:tcPr>
          <w:p>
            <w:pPr>
              <w:ind w:left="20"/>
              <w:spacing w:after="0"/>
              <w:rPr>
                <w:sz w:val="20"/>
                <w:szCs w:val="20"/>
                <w:color w:val="auto"/>
              </w:rPr>
            </w:pPr>
            <w:r>
              <w:rPr>
                <w:rFonts w:ascii="Arial" w:cs="Arial" w:eastAsia="Arial" w:hAnsi="Arial"/>
                <w:sz w:val="18"/>
                <w:szCs w:val="18"/>
                <w:color w:val="auto"/>
              </w:rPr>
              <w:t>Country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-1915795</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-1915795</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3333FF"/>
        </w:rPr>
        <w:t>5. Credit Contact Information:</w:t>
      </w:r>
    </w:p>
    <w:p>
      <w:pPr>
        <w:spacing w:after="0" w:line="21" w:lineRule="exact"/>
        <w:rPr>
          <w:sz w:val="20"/>
          <w:szCs w:val="20"/>
          <w:color w:val="auto"/>
        </w:rPr>
      </w:pPr>
    </w:p>
    <w:p>
      <w:pPr>
        <w:jc w:val="both"/>
        <w:ind w:right="20" w:firstLine="1297"/>
        <w:spacing w:after="0" w:line="232" w:lineRule="auto"/>
        <w:rPr>
          <w:sz w:val="20"/>
          <w:szCs w:val="20"/>
          <w:color w:val="auto"/>
        </w:rPr>
      </w:pPr>
      <w:r>
        <w:rPr>
          <w:rFonts w:ascii="Arial" w:cs="Arial" w:eastAsia="Arial" w:hAnsi="Arial"/>
          <w:sz w:val="14"/>
          <w:szCs w:val="14"/>
          <w:b w:val="1"/>
          <w:bCs w:val="1"/>
          <w:color w:val="auto"/>
        </w:rPr>
        <w:t>Syndicate level information (which may contain material non-public information about the Borrower and its related parties or their respective securities will be made available to the Credit Contact(s). The Credit Contacts identified must be able to receive such information in accordance with his/her institution's compliance procedures and applicable laws, including Federal and State securities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Primary Credit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First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Middle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-130810</wp:posOffset>
            </wp:positionV>
            <wp:extent cx="623443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Last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Suite/Mail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Office Telephone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Office Facsimile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Work 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22860</wp:posOffset>
            </wp:positionV>
            <wp:extent cx="623443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431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40"/>
          </w:cols>
          <w:pgMar w:left="240" w:top="909" w:right="21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t>IntraLinks/SyndTrak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5715</wp:posOffset>
            </wp:positionV>
            <wp:extent cx="623443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Secondary Credit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First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Middle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-130810</wp:posOffset>
            </wp:positionV>
            <wp:extent cx="623443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Last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Suite/Mail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Office Telephone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Office Facsimile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Work 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IntraLinks/SyndTrak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-121920</wp:posOffset>
            </wp:positionV>
            <wp:extent cx="62344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14605</wp:posOffset>
            </wp:positionV>
            <wp:extent cx="623443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w w:val="92"/>
              </w:rPr>
              <w:t>Primary Operations Contact:</w:t>
            </w:r>
          </w:p>
        </w:tc>
        <w:tc>
          <w:tcPr>
            <w:tcW w:w="4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4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w w:val="89"/>
              </w:rPr>
              <w:t>Secondary Operations Contact:</w:t>
            </w:r>
          </w:p>
        </w:tc>
        <w:tc>
          <w:tcPr>
            <w:tcW w:w="29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60" w:type="dxa"/>
            <w:vAlign w:val="bottom"/>
            <w:gridSpan w:val="4"/>
          </w:tcPr>
          <w:p>
            <w:pPr>
              <w:spacing w:after="0"/>
              <w:rPr>
                <w:sz w:val="20"/>
                <w:szCs w:val="20"/>
                <w:color w:val="auto"/>
              </w:rPr>
            </w:pPr>
            <w:r>
              <w:rPr>
                <w:rFonts w:ascii="Arial" w:cs="Arial" w:eastAsia="Arial" w:hAnsi="Arial"/>
                <w:sz w:val="18"/>
                <w:szCs w:val="18"/>
                <w:color w:val="auto"/>
              </w:rPr>
              <w:t>First</w:t>
            </w:r>
          </w:p>
        </w:tc>
        <w:tc>
          <w:tcPr>
            <w:tcW w:w="560" w:type="dxa"/>
            <w:vAlign w:val="bottom"/>
            <w:gridSpan w:val="2"/>
          </w:tcPr>
          <w:p>
            <w:pPr>
              <w:spacing w:after="0"/>
              <w:rPr>
                <w:sz w:val="20"/>
                <w:szCs w:val="20"/>
                <w:color w:val="auto"/>
              </w:rPr>
            </w:pPr>
            <w:r>
              <w:rPr>
                <w:rFonts w:ascii="Arial" w:cs="Arial" w:eastAsia="Arial" w:hAnsi="Arial"/>
                <w:sz w:val="18"/>
                <w:szCs w:val="18"/>
                <w:color w:val="auto"/>
              </w:rPr>
              <w:t>MI __</w:t>
            </w:r>
          </w:p>
        </w:tc>
        <w:tc>
          <w:tcPr>
            <w:tcW w:w="1040" w:type="dxa"/>
            <w:vAlign w:val="bottom"/>
            <w:gridSpan w:val="5"/>
          </w:tcPr>
          <w:p>
            <w:pPr>
              <w:ind w:left="40"/>
              <w:spacing w:after="0"/>
              <w:rPr>
                <w:sz w:val="20"/>
                <w:szCs w:val="20"/>
                <w:color w:val="auto"/>
              </w:rPr>
            </w:pPr>
            <w:r>
              <w:rPr>
                <w:rFonts w:ascii="Arial" w:cs="Arial" w:eastAsia="Arial" w:hAnsi="Arial"/>
                <w:sz w:val="18"/>
                <w:szCs w:val="18"/>
                <w:color w:val="auto"/>
              </w:rPr>
              <w:t>Last</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40" w:type="dxa"/>
            <w:vAlign w:val="bottom"/>
            <w:gridSpan w:val="6"/>
          </w:tcPr>
          <w:p>
            <w:pPr>
              <w:spacing w:after="0"/>
              <w:rPr>
                <w:sz w:val="20"/>
                <w:szCs w:val="20"/>
                <w:color w:val="auto"/>
              </w:rPr>
            </w:pPr>
            <w:r>
              <w:rPr>
                <w:rFonts w:ascii="Arial" w:cs="Arial" w:eastAsia="Arial" w:hAnsi="Arial"/>
                <w:sz w:val="18"/>
                <w:szCs w:val="18"/>
                <w:color w:val="auto"/>
              </w:rPr>
              <w:t>First</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97"/>
              </w:rPr>
              <w:t>MI __</w:t>
            </w:r>
          </w:p>
        </w:tc>
        <w:tc>
          <w:tcPr>
            <w:tcW w:w="3760" w:type="dxa"/>
            <w:vAlign w:val="bottom"/>
            <w:gridSpan w:val="9"/>
          </w:tcPr>
          <w:p>
            <w:pPr>
              <w:ind w:left="120"/>
              <w:spacing w:after="0"/>
              <w:rPr>
                <w:sz w:val="20"/>
                <w:szCs w:val="20"/>
                <w:color w:val="auto"/>
              </w:rPr>
            </w:pPr>
            <w:r>
              <w:rPr>
                <w:rFonts w:ascii="Arial" w:cs="Arial" w:eastAsia="Arial" w:hAnsi="Arial"/>
                <w:sz w:val="18"/>
                <w:szCs w:val="18"/>
                <w:color w:val="auto"/>
              </w:rPr>
              <w:t>Last</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Street</w:t>
            </w:r>
          </w:p>
        </w:tc>
        <w:tc>
          <w:tcPr>
            <w:tcW w:w="580" w:type="dxa"/>
            <w:vAlign w:val="bottom"/>
            <w:gridSpan w:val="3"/>
          </w:tcPr>
          <w:p>
            <w:pPr>
              <w:spacing w:after="0"/>
              <w:rPr>
                <w:sz w:val="20"/>
                <w:szCs w:val="20"/>
                <w:color w:val="auto"/>
              </w:rPr>
            </w:pPr>
            <w:r>
              <w:rPr>
                <w:rFonts w:ascii="Arial" w:cs="Arial" w:eastAsia="Arial" w:hAnsi="Arial"/>
                <w:sz w:val="18"/>
                <w:szCs w:val="18"/>
                <w:color w:val="auto"/>
                <w:w w:val="84"/>
              </w:rPr>
              <w:t>Address</w:t>
            </w: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Street</w:t>
            </w:r>
          </w:p>
        </w:tc>
        <w:tc>
          <w:tcPr>
            <w:tcW w:w="560" w:type="dxa"/>
            <w:vAlign w:val="bottom"/>
            <w:gridSpan w:val="4"/>
          </w:tcPr>
          <w:p>
            <w:pPr>
              <w:spacing w:after="0"/>
              <w:rPr>
                <w:sz w:val="20"/>
                <w:szCs w:val="20"/>
                <w:color w:val="auto"/>
              </w:rPr>
            </w:pPr>
            <w:r>
              <w:rPr>
                <w:rFonts w:ascii="Arial" w:cs="Arial" w:eastAsia="Arial" w:hAnsi="Arial"/>
                <w:sz w:val="18"/>
                <w:szCs w:val="18"/>
                <w:color w:val="auto"/>
                <w:w w:val="81"/>
              </w:rPr>
              <w:t>Address</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gridSpan w:val="6"/>
          </w:tcPr>
          <w:p>
            <w:pPr>
              <w:spacing w:after="0"/>
              <w:rPr>
                <w:sz w:val="20"/>
                <w:szCs w:val="20"/>
                <w:color w:val="auto"/>
              </w:rPr>
            </w:pPr>
            <w:r>
              <w:rPr>
                <w:rFonts w:ascii="Arial" w:cs="Arial" w:eastAsia="Arial" w:hAnsi="Arial"/>
                <w:sz w:val="18"/>
                <w:szCs w:val="18"/>
                <w:color w:val="auto"/>
              </w:rPr>
              <w:t>Suite/Mail Code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40" w:type="dxa"/>
            <w:vAlign w:val="bottom"/>
            <w:gridSpan w:val="7"/>
          </w:tcPr>
          <w:p>
            <w:pPr>
              <w:ind w:left="2400"/>
              <w:spacing w:after="0"/>
              <w:rPr>
                <w:sz w:val="20"/>
                <w:szCs w:val="20"/>
                <w:color w:val="auto"/>
              </w:rPr>
            </w:pPr>
            <w:r>
              <w:rPr>
                <w:rFonts w:ascii="Arial" w:cs="Arial" w:eastAsia="Arial" w:hAnsi="Arial"/>
                <w:sz w:val="18"/>
                <w:szCs w:val="18"/>
                <w:color w:val="auto"/>
                <w:w w:val="88"/>
              </w:rPr>
              <w:t>Suite/Mail Code</w:t>
            </w:r>
          </w:p>
        </w:tc>
        <w:tc>
          <w:tcPr>
            <w:tcW w:w="2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80" w:type="dxa"/>
            <w:vAlign w:val="bottom"/>
            <w:gridSpan w:val="2"/>
            <w:vMerge w:val="restart"/>
          </w:tcPr>
          <w:p>
            <w:pPr>
              <w:spacing w:after="0"/>
              <w:rPr>
                <w:sz w:val="20"/>
                <w:szCs w:val="20"/>
                <w:color w:val="auto"/>
              </w:rPr>
            </w:pPr>
            <w:r>
              <w:rPr>
                <w:rFonts w:ascii="Arial" w:cs="Arial" w:eastAsia="Arial" w:hAnsi="Arial"/>
                <w:sz w:val="18"/>
                <w:szCs w:val="18"/>
                <w:color w:val="auto"/>
              </w:rPr>
              <w:t>State</w:t>
            </w:r>
          </w:p>
        </w:tc>
        <w:tc>
          <w:tcPr>
            <w:tcW w:w="1820" w:type="dxa"/>
            <w:vAlign w:val="bottom"/>
            <w:gridSpan w:val="3"/>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City</w:t>
            </w:r>
          </w:p>
        </w:tc>
        <w:tc>
          <w:tcPr>
            <w:tcW w:w="580" w:type="dxa"/>
            <w:vAlign w:val="bottom"/>
            <w:tcBorders>
              <w:bottom w:val="single" w:sz="8" w:color="auto"/>
            </w:tcBorders>
            <w:gridSpan w:val="3"/>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rPr>
              <w:t>City</w:t>
            </w:r>
          </w:p>
        </w:tc>
        <w:tc>
          <w:tcPr>
            <w:tcW w:w="460" w:type="dxa"/>
            <w:vAlign w:val="bottom"/>
            <w:tcBorders>
              <w:bottom w:val="single" w:sz="8" w:color="auto"/>
            </w:tcBorders>
            <w:gridSpan w:val="3"/>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8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gridSpan w:val="2"/>
            <w:vMerge w:val="restart"/>
          </w:tcPr>
          <w:p>
            <w:pPr>
              <w:spacing w:after="0"/>
              <w:rPr>
                <w:sz w:val="20"/>
                <w:szCs w:val="20"/>
                <w:color w:val="auto"/>
              </w:rPr>
            </w:pPr>
            <w:r>
              <w:rPr>
                <w:rFonts w:ascii="Arial" w:cs="Arial" w:eastAsia="Arial" w:hAnsi="Arial"/>
                <w:sz w:val="18"/>
                <w:szCs w:val="18"/>
                <w:color w:val="auto"/>
              </w:rPr>
              <w:t>Country</w:t>
            </w: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40" w:type="dxa"/>
            <w:vAlign w:val="bottom"/>
            <w:gridSpan w:val="6"/>
            <w:vMerge w:val="restart"/>
          </w:tcPr>
          <w:p>
            <w:pPr>
              <w:spacing w:after="0"/>
              <w:rPr>
                <w:sz w:val="20"/>
                <w:szCs w:val="20"/>
                <w:color w:val="auto"/>
              </w:rPr>
            </w:pPr>
            <w:r>
              <w:rPr>
                <w:rFonts w:ascii="Arial" w:cs="Arial" w:eastAsia="Arial" w:hAnsi="Arial"/>
                <w:sz w:val="18"/>
                <w:szCs w:val="18"/>
                <w:color w:val="auto"/>
              </w:rPr>
              <w:t>Postal Code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900" w:type="dxa"/>
            <w:vAlign w:val="bottom"/>
            <w:gridSpan w:val="4"/>
            <w:vMerge w:val="restart"/>
          </w:tcPr>
          <w:p>
            <w:pPr>
              <w:spacing w:after="0"/>
              <w:rPr>
                <w:sz w:val="20"/>
                <w:szCs w:val="20"/>
                <w:color w:val="auto"/>
              </w:rPr>
            </w:pPr>
            <w:r>
              <w:rPr>
                <w:rFonts w:ascii="Arial" w:cs="Arial" w:eastAsia="Arial" w:hAnsi="Arial"/>
                <w:sz w:val="18"/>
                <w:szCs w:val="18"/>
                <w:color w:val="auto"/>
              </w:rPr>
              <w:t>Country</w:t>
            </w:r>
          </w:p>
        </w:tc>
        <w:tc>
          <w:tcPr>
            <w:tcW w:w="16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gridSpan w:val="3"/>
          </w:tcPr>
          <w:p>
            <w:pPr>
              <w:spacing w:after="0"/>
              <w:rPr>
                <w:sz w:val="20"/>
                <w:szCs w:val="20"/>
                <w:color w:val="auto"/>
              </w:rPr>
            </w:pPr>
            <w:r>
              <w:rPr>
                <w:rFonts w:ascii="Arial" w:cs="Arial" w:eastAsia="Arial" w:hAnsi="Arial"/>
                <w:sz w:val="18"/>
                <w:szCs w:val="18"/>
                <w:color w:val="auto"/>
                <w:w w:val="91"/>
              </w:rPr>
              <w:t>Postal Code</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140" w:type="dxa"/>
            <w:vAlign w:val="bottom"/>
            <w:gridSpan w:val="6"/>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00" w:type="dxa"/>
            <w:vAlign w:val="bottom"/>
            <w:gridSpan w:val="4"/>
            <w:vMerge w:val="continue"/>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140" w:type="dxa"/>
            <w:vAlign w:val="bottom"/>
            <w:gridSpan w:val="6"/>
            <w:vMerge w:val="restart"/>
          </w:tcPr>
          <w:p>
            <w:pPr>
              <w:spacing w:after="0"/>
              <w:rPr>
                <w:sz w:val="20"/>
                <w:szCs w:val="20"/>
                <w:color w:val="auto"/>
              </w:rPr>
            </w:pPr>
            <w:r>
              <w:rPr>
                <w:rFonts w:ascii="Arial" w:cs="Arial" w:eastAsia="Arial" w:hAnsi="Arial"/>
                <w:sz w:val="18"/>
                <w:szCs w:val="18"/>
                <w:color w:val="auto"/>
              </w:rPr>
              <w:t>Telephone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840" w:type="dxa"/>
            <w:vAlign w:val="bottom"/>
            <w:gridSpan w:val="7"/>
            <w:vMerge w:val="restart"/>
          </w:tcPr>
          <w:p>
            <w:pPr>
              <w:spacing w:after="0"/>
              <w:rPr>
                <w:sz w:val="20"/>
                <w:szCs w:val="20"/>
                <w:color w:val="auto"/>
              </w:rPr>
            </w:pPr>
            <w:r>
              <w:rPr>
                <w:rFonts w:ascii="Arial" w:cs="Arial" w:eastAsia="Arial" w:hAnsi="Arial"/>
                <w:sz w:val="18"/>
                <w:szCs w:val="18"/>
                <w:color w:val="auto"/>
              </w:rPr>
              <w:t>Facsimilie</w:t>
            </w:r>
          </w:p>
        </w:tc>
        <w:tc>
          <w:tcPr>
            <w:tcW w:w="0" w:type="dxa"/>
            <w:vAlign w:val="bottom"/>
          </w:tcPr>
          <w:p>
            <w:pPr>
              <w:spacing w:after="0"/>
              <w:rPr>
                <w:sz w:val="1"/>
                <w:szCs w:val="1"/>
                <w:color w:val="auto"/>
              </w:rPr>
            </w:pPr>
          </w:p>
        </w:tc>
      </w:tr>
      <w:tr>
        <w:trPr>
          <w:trHeight w:val="210"/>
        </w:trPr>
        <w:tc>
          <w:tcPr>
            <w:tcW w:w="1160" w:type="dxa"/>
            <w:vAlign w:val="bottom"/>
            <w:gridSpan w:val="4"/>
          </w:tcPr>
          <w:p>
            <w:pPr>
              <w:spacing w:after="0"/>
              <w:rPr>
                <w:sz w:val="20"/>
                <w:szCs w:val="20"/>
                <w:color w:val="auto"/>
              </w:rPr>
            </w:pPr>
            <w:r>
              <w:rPr>
                <w:rFonts w:ascii="Arial" w:cs="Arial" w:eastAsia="Arial" w:hAnsi="Arial"/>
                <w:sz w:val="18"/>
                <w:szCs w:val="18"/>
                <w:color w:val="auto"/>
              </w:rPr>
              <w:t>Telephone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4"/>
          </w:tcPr>
          <w:p>
            <w:pPr>
              <w:ind w:left="20"/>
              <w:spacing w:after="0"/>
              <w:rPr>
                <w:sz w:val="20"/>
                <w:szCs w:val="20"/>
                <w:color w:val="auto"/>
              </w:rPr>
            </w:pPr>
            <w:r>
              <w:rPr>
                <w:rFonts w:ascii="Arial" w:cs="Arial" w:eastAsia="Arial" w:hAnsi="Arial"/>
                <w:sz w:val="18"/>
                <w:szCs w:val="18"/>
                <w:color w:val="auto"/>
                <w:w w:val="97"/>
              </w:rPr>
              <w:t>Facsimilie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40" w:type="dxa"/>
            <w:vAlign w:val="bottom"/>
            <w:gridSpan w:val="6"/>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84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160" w:type="dxa"/>
            <w:vAlign w:val="bottom"/>
            <w:gridSpan w:val="4"/>
          </w:tcPr>
          <w:p>
            <w:pPr>
              <w:spacing w:after="0"/>
              <w:rPr>
                <w:sz w:val="20"/>
                <w:szCs w:val="20"/>
                <w:color w:val="auto"/>
              </w:rPr>
            </w:pPr>
            <w:r>
              <w:rPr>
                <w:rFonts w:ascii="Arial" w:cs="Arial" w:eastAsia="Arial" w:hAnsi="Arial"/>
                <w:sz w:val="18"/>
                <w:szCs w:val="18"/>
                <w:color w:val="auto"/>
                <w:w w:val="93"/>
              </w:rPr>
              <w:t>E-Mail Address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7"/>
          </w:tcPr>
          <w:p>
            <w:pPr>
              <w:ind w:left="2400"/>
              <w:spacing w:after="0"/>
              <w:rPr>
                <w:sz w:val="20"/>
                <w:szCs w:val="20"/>
                <w:color w:val="auto"/>
              </w:rPr>
            </w:pPr>
            <w:r>
              <w:rPr>
                <w:rFonts w:ascii="Arial" w:cs="Arial" w:eastAsia="Arial" w:hAnsi="Arial"/>
                <w:sz w:val="18"/>
                <w:szCs w:val="18"/>
                <w:color w:val="auto"/>
                <w:w w:val="91"/>
              </w:rPr>
              <w:t>E-Mail Address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320" w:type="dxa"/>
            <w:vAlign w:val="bottom"/>
            <w:vMerge w:val="restart"/>
          </w:tcPr>
          <w:p>
            <w:pPr>
              <w:spacing w:after="0"/>
              <w:rPr>
                <w:sz w:val="18"/>
                <w:szCs w:val="18"/>
                <w:color w:val="auto"/>
              </w:rPr>
            </w:pPr>
          </w:p>
        </w:tc>
        <w:tc>
          <w:tcPr>
            <w:tcW w:w="5020" w:type="dxa"/>
            <w:vAlign w:val="bottom"/>
            <w:gridSpan w:val="16"/>
            <w:vMerge w:val="restart"/>
          </w:tcPr>
          <w:p>
            <w:pPr>
              <w:jc w:val="center"/>
              <w:ind w:right="2960"/>
              <w:spacing w:after="0"/>
              <w:rPr>
                <w:sz w:val="20"/>
                <w:szCs w:val="20"/>
                <w:color w:val="auto"/>
              </w:rPr>
            </w:pPr>
            <w:r>
              <w:rPr>
                <w:rFonts w:ascii="Arial" w:cs="Arial" w:eastAsia="Arial" w:hAnsi="Arial"/>
                <w:sz w:val="18"/>
                <w:szCs w:val="18"/>
                <w:color w:val="auto"/>
                <w:w w:val="95"/>
              </w:rPr>
              <w:t>IntraLinks/SyndTrak E-Mail</w:t>
            </w:r>
          </w:p>
        </w:tc>
        <w:tc>
          <w:tcPr>
            <w:tcW w:w="0" w:type="dxa"/>
            <w:vAlign w:val="bottom"/>
          </w:tcPr>
          <w:p>
            <w:pPr>
              <w:spacing w:after="0"/>
              <w:rPr>
                <w:sz w:val="1"/>
                <w:szCs w:val="1"/>
                <w:color w:val="auto"/>
              </w:rPr>
            </w:pPr>
          </w:p>
        </w:tc>
      </w:tr>
      <w:tr>
        <w:trPr>
          <w:trHeight w:val="195"/>
        </w:trPr>
        <w:tc>
          <w:tcPr>
            <w:tcW w:w="2760" w:type="dxa"/>
            <w:vAlign w:val="bottom"/>
            <w:gridSpan w:val="11"/>
          </w:tcPr>
          <w:p>
            <w:pPr>
              <w:spacing w:after="0" w:line="195" w:lineRule="exact"/>
              <w:rPr>
                <w:sz w:val="20"/>
                <w:szCs w:val="20"/>
                <w:color w:val="auto"/>
              </w:rPr>
            </w:pPr>
            <w:r>
              <w:rPr>
                <w:rFonts w:ascii="Arial" w:cs="Arial" w:eastAsia="Arial" w:hAnsi="Arial"/>
                <w:sz w:val="18"/>
                <w:szCs w:val="18"/>
                <w:color w:val="auto"/>
              </w:rPr>
              <w:t>IntraLinks/SyndTrak E-Mail</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5020" w:type="dxa"/>
            <w:vAlign w:val="bottom"/>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gridSpan w:val="4"/>
          </w:tcPr>
          <w:p>
            <w:pPr>
              <w:spacing w:after="0"/>
              <w:rPr>
                <w:sz w:val="20"/>
                <w:szCs w:val="20"/>
                <w:color w:val="auto"/>
              </w:rPr>
            </w:pPr>
            <w:r>
              <w:rPr>
                <w:rFonts w:ascii="Arial" w:cs="Arial" w:eastAsia="Arial" w:hAnsi="Arial"/>
                <w:sz w:val="18"/>
                <w:szCs w:val="18"/>
                <w:color w:val="auto"/>
              </w:rPr>
              <w:t>Address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5"/>
          </w:tcPr>
          <w:p>
            <w:pPr>
              <w:spacing w:after="0"/>
              <w:rPr>
                <w:sz w:val="20"/>
                <w:szCs w:val="20"/>
                <w:color w:val="auto"/>
              </w:rPr>
            </w:pPr>
            <w:r>
              <w:rPr>
                <w:rFonts w:ascii="Arial" w:cs="Arial" w:eastAsia="Arial" w:hAnsi="Arial"/>
                <w:sz w:val="18"/>
                <w:szCs w:val="18"/>
                <w:color w:val="auto"/>
              </w:rPr>
              <w:t>Address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40" w:type="dxa"/>
            <w:vAlign w:val="bottom"/>
            <w:gridSpan w:val="20"/>
          </w:tcPr>
          <w:p>
            <w:pPr>
              <w:ind w:left="40"/>
              <w:spacing w:after="0"/>
              <w:rPr>
                <w:sz w:val="20"/>
                <w:szCs w:val="20"/>
                <w:color w:val="auto"/>
              </w:rPr>
            </w:pPr>
            <w:r>
              <w:rPr>
                <w:rFonts w:ascii="Arial" w:cs="Arial" w:eastAsia="Arial" w:hAnsi="Arial"/>
                <w:sz w:val="18"/>
                <w:szCs w:val="18"/>
                <w:b w:val="1"/>
                <w:bCs w:val="1"/>
                <w:i w:val="1"/>
                <w:iCs w:val="1"/>
                <w:color w:val="FF0000"/>
              </w:rPr>
              <w:t xml:space="preserve">Does Secondary Operations Contact need copy of notices? </w:t>
            </w:r>
            <w:r>
              <w:rPr>
                <w:rFonts w:ascii="Arial" w:cs="Arial" w:eastAsia="Arial" w:hAnsi="Arial"/>
                <w:sz w:val="18"/>
                <w:szCs w:val="18"/>
                <w:color w:val="000000"/>
              </w:rPr>
              <w:t>___YES ___ NO</w:t>
            </w:r>
          </w:p>
        </w:tc>
        <w:tc>
          <w:tcPr>
            <w:tcW w:w="0" w:type="dxa"/>
            <w:vAlign w:val="bottom"/>
          </w:tcPr>
          <w:p>
            <w:pPr>
              <w:spacing w:after="0"/>
              <w:rPr>
                <w:sz w:val="1"/>
                <w:szCs w:val="1"/>
                <w:color w:val="auto"/>
              </w:rPr>
            </w:pPr>
          </w:p>
        </w:tc>
      </w:tr>
      <w:tr>
        <w:trPr>
          <w:trHeight w:val="392"/>
        </w:trPr>
        <w:tc>
          <w:tcPr>
            <w:tcW w:w="19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2"/>
              </w:rPr>
              <w:t>Letter of Credit Contact:</w:t>
            </w:r>
          </w:p>
        </w:tc>
        <w:tc>
          <w:tcPr>
            <w:tcW w:w="8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720" w:type="dxa"/>
            <w:vAlign w:val="bottom"/>
            <w:tcBorders>
              <w:bottom w:val="single" w:sz="8" w:color="auto"/>
            </w:tcBorders>
            <w:gridSpan w:val="15"/>
          </w:tcPr>
          <w:p>
            <w:pPr>
              <w:spacing w:after="0"/>
              <w:rPr>
                <w:sz w:val="20"/>
                <w:szCs w:val="20"/>
                <w:color w:val="auto"/>
              </w:rPr>
            </w:pPr>
            <w:r>
              <w:rPr>
                <w:rFonts w:ascii="Arial" w:cs="Arial" w:eastAsia="Arial" w:hAnsi="Arial"/>
                <w:sz w:val="18"/>
                <w:szCs w:val="18"/>
                <w:b w:val="1"/>
                <w:bCs w:val="1"/>
                <w:color w:val="auto"/>
                <w:w w:val="90"/>
              </w:rPr>
              <w:t>Draft Documentation Contact or Legal Counsel:</w:t>
            </w:r>
          </w:p>
        </w:tc>
        <w:tc>
          <w:tcPr>
            <w:tcW w:w="16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gridSpan w:val="4"/>
          </w:tcPr>
          <w:p>
            <w:pPr>
              <w:spacing w:after="0"/>
              <w:rPr>
                <w:sz w:val="20"/>
                <w:szCs w:val="20"/>
                <w:color w:val="auto"/>
              </w:rPr>
            </w:pPr>
            <w:r>
              <w:rPr>
                <w:rFonts w:ascii="Arial" w:cs="Arial" w:eastAsia="Arial" w:hAnsi="Arial"/>
                <w:sz w:val="18"/>
                <w:szCs w:val="18"/>
                <w:color w:val="auto"/>
              </w:rPr>
              <w:t>First</w:t>
            </w:r>
          </w:p>
        </w:tc>
        <w:tc>
          <w:tcPr>
            <w:tcW w:w="560" w:type="dxa"/>
            <w:vAlign w:val="bottom"/>
            <w:gridSpan w:val="2"/>
          </w:tcPr>
          <w:p>
            <w:pPr>
              <w:spacing w:after="0"/>
              <w:rPr>
                <w:sz w:val="20"/>
                <w:szCs w:val="20"/>
                <w:color w:val="auto"/>
              </w:rPr>
            </w:pPr>
            <w:r>
              <w:rPr>
                <w:rFonts w:ascii="Arial" w:cs="Arial" w:eastAsia="Arial" w:hAnsi="Arial"/>
                <w:sz w:val="18"/>
                <w:szCs w:val="18"/>
                <w:color w:val="auto"/>
              </w:rPr>
              <w:t>MI __</w:t>
            </w:r>
          </w:p>
        </w:tc>
        <w:tc>
          <w:tcPr>
            <w:tcW w:w="1040" w:type="dxa"/>
            <w:vAlign w:val="bottom"/>
            <w:gridSpan w:val="5"/>
          </w:tcPr>
          <w:p>
            <w:pPr>
              <w:ind w:left="40"/>
              <w:spacing w:after="0"/>
              <w:rPr>
                <w:sz w:val="20"/>
                <w:szCs w:val="20"/>
                <w:color w:val="auto"/>
              </w:rPr>
            </w:pPr>
            <w:r>
              <w:rPr>
                <w:rFonts w:ascii="Arial" w:cs="Arial" w:eastAsia="Arial" w:hAnsi="Arial"/>
                <w:sz w:val="18"/>
                <w:szCs w:val="18"/>
                <w:color w:val="auto"/>
              </w:rPr>
              <w:t>Last</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40" w:type="dxa"/>
            <w:vAlign w:val="bottom"/>
            <w:gridSpan w:val="6"/>
          </w:tcPr>
          <w:p>
            <w:pPr>
              <w:spacing w:after="0"/>
              <w:rPr>
                <w:sz w:val="20"/>
                <w:szCs w:val="20"/>
                <w:color w:val="auto"/>
              </w:rPr>
            </w:pPr>
            <w:r>
              <w:rPr>
                <w:rFonts w:ascii="Arial" w:cs="Arial" w:eastAsia="Arial" w:hAnsi="Arial"/>
                <w:sz w:val="18"/>
                <w:szCs w:val="18"/>
                <w:color w:val="auto"/>
              </w:rPr>
              <w:t>First</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97"/>
              </w:rPr>
              <w:t>MI __</w:t>
            </w:r>
          </w:p>
        </w:tc>
        <w:tc>
          <w:tcPr>
            <w:tcW w:w="3760" w:type="dxa"/>
            <w:vAlign w:val="bottom"/>
            <w:gridSpan w:val="9"/>
          </w:tcPr>
          <w:p>
            <w:pPr>
              <w:ind w:left="120"/>
              <w:spacing w:after="0"/>
              <w:rPr>
                <w:sz w:val="20"/>
                <w:szCs w:val="20"/>
                <w:color w:val="auto"/>
              </w:rPr>
            </w:pPr>
            <w:r>
              <w:rPr>
                <w:rFonts w:ascii="Arial" w:cs="Arial" w:eastAsia="Arial" w:hAnsi="Arial"/>
                <w:sz w:val="18"/>
                <w:szCs w:val="18"/>
                <w:color w:val="auto"/>
              </w:rPr>
              <w:t>Last</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80" w:type="dxa"/>
            <w:vAlign w:val="bottom"/>
            <w:tcBorders>
              <w:top w:val="single" w:sz="8" w:color="auto"/>
              <w:bottom w:val="single" w:sz="8" w:color="auto"/>
            </w:tcBorders>
            <w:gridSpan w:val="3"/>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560" w:type="dxa"/>
            <w:vAlign w:val="bottom"/>
            <w:tcBorders>
              <w:top w:val="single" w:sz="8" w:color="auto"/>
              <w:bottom w:val="single" w:sz="8" w:color="auto"/>
            </w:tcBorders>
            <w:gridSpan w:val="4"/>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Street</w:t>
            </w:r>
          </w:p>
        </w:tc>
        <w:tc>
          <w:tcPr>
            <w:tcW w:w="580" w:type="dxa"/>
            <w:vAlign w:val="bottom"/>
            <w:gridSpan w:val="3"/>
          </w:tcPr>
          <w:p>
            <w:pPr>
              <w:spacing w:after="0"/>
              <w:rPr>
                <w:sz w:val="20"/>
                <w:szCs w:val="20"/>
                <w:color w:val="auto"/>
              </w:rPr>
            </w:pPr>
            <w:r>
              <w:rPr>
                <w:rFonts w:ascii="Arial" w:cs="Arial" w:eastAsia="Arial" w:hAnsi="Arial"/>
                <w:sz w:val="18"/>
                <w:szCs w:val="18"/>
                <w:color w:val="auto"/>
                <w:w w:val="84"/>
              </w:rPr>
              <w:t>Address</w:t>
            </w: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Street</w:t>
            </w:r>
          </w:p>
        </w:tc>
        <w:tc>
          <w:tcPr>
            <w:tcW w:w="560" w:type="dxa"/>
            <w:vAlign w:val="bottom"/>
            <w:gridSpan w:val="4"/>
          </w:tcPr>
          <w:p>
            <w:pPr>
              <w:spacing w:after="0"/>
              <w:rPr>
                <w:sz w:val="20"/>
                <w:szCs w:val="20"/>
                <w:color w:val="auto"/>
              </w:rPr>
            </w:pPr>
            <w:r>
              <w:rPr>
                <w:rFonts w:ascii="Arial" w:cs="Arial" w:eastAsia="Arial" w:hAnsi="Arial"/>
                <w:sz w:val="18"/>
                <w:szCs w:val="18"/>
                <w:color w:val="auto"/>
                <w:w w:val="81"/>
              </w:rPr>
              <w:t>Address</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40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6" w:right="239" w:bottom="1440" w:gutter="0" w:footer="0" w:header="0"/>
        </w:sectPr>
      </w:pPr>
    </w:p>
    <w:bookmarkStart w:id="181" w:name="page182"/>
    <w:bookmarkEnd w:id="1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4"/>
          </w:tcPr>
          <w:p>
            <w:pPr>
              <w:spacing w:after="0"/>
              <w:rPr>
                <w:sz w:val="20"/>
                <w:szCs w:val="20"/>
                <w:color w:val="auto"/>
              </w:rPr>
            </w:pPr>
            <w:r>
              <w:rPr>
                <w:rFonts w:ascii="Arial" w:cs="Arial" w:eastAsia="Arial" w:hAnsi="Arial"/>
                <w:sz w:val="18"/>
                <w:szCs w:val="18"/>
                <w:color w:val="auto"/>
              </w:rPr>
              <w:t>Suite/Mail Code</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60" w:type="dxa"/>
            <w:vAlign w:val="bottom"/>
            <w:gridSpan w:val="5"/>
          </w:tcPr>
          <w:p>
            <w:pPr>
              <w:ind w:left="2400"/>
              <w:spacing w:after="0"/>
              <w:rPr>
                <w:sz w:val="20"/>
                <w:szCs w:val="20"/>
                <w:color w:val="auto"/>
              </w:rPr>
            </w:pPr>
            <w:r>
              <w:rPr>
                <w:rFonts w:ascii="Arial" w:cs="Arial" w:eastAsia="Arial" w:hAnsi="Arial"/>
                <w:sz w:val="18"/>
                <w:szCs w:val="18"/>
                <w:color w:val="auto"/>
              </w:rPr>
              <w:t>Suite/Mail Code</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920" w:type="dxa"/>
            <w:vAlign w:val="bottom"/>
            <w:vMerge w:val="restart"/>
          </w:tcPr>
          <w:p>
            <w:pPr>
              <w:spacing w:after="0"/>
              <w:rPr>
                <w:sz w:val="18"/>
                <w:szCs w:val="18"/>
                <w:color w:val="auto"/>
              </w:rPr>
            </w:pPr>
          </w:p>
        </w:tc>
        <w:tc>
          <w:tcPr>
            <w:tcW w:w="340" w:type="dxa"/>
            <w:vAlign w:val="bottom"/>
            <w:vMerge w:val="restart"/>
          </w:tcPr>
          <w:p>
            <w:pPr>
              <w:spacing w:after="0"/>
              <w:rPr>
                <w:sz w:val="18"/>
                <w:szCs w:val="18"/>
                <w:color w:val="auto"/>
              </w:rPr>
            </w:pPr>
          </w:p>
        </w:tc>
        <w:tc>
          <w:tcPr>
            <w:tcW w:w="680" w:type="dxa"/>
            <w:vAlign w:val="bottom"/>
            <w:gridSpan w:val="2"/>
            <w:vMerge w:val="restart"/>
          </w:tcPr>
          <w:p>
            <w:pPr>
              <w:spacing w:after="0"/>
              <w:rPr>
                <w:sz w:val="20"/>
                <w:szCs w:val="20"/>
                <w:color w:val="auto"/>
              </w:rPr>
            </w:pPr>
            <w:r>
              <w:rPr>
                <w:rFonts w:ascii="Arial" w:cs="Arial" w:eastAsia="Arial" w:hAnsi="Arial"/>
                <w:sz w:val="18"/>
                <w:szCs w:val="18"/>
                <w:color w:val="auto"/>
              </w:rPr>
              <w:t>State</w:t>
            </w:r>
          </w:p>
        </w:tc>
        <w:tc>
          <w:tcPr>
            <w:tcW w:w="1820" w:type="dxa"/>
            <w:vAlign w:val="bottom"/>
            <w:gridSpan w:val="2"/>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City</w:t>
            </w:r>
          </w:p>
        </w:tc>
        <w:tc>
          <w:tcPr>
            <w:tcW w:w="1140" w:type="dxa"/>
            <w:vAlign w:val="bottom"/>
            <w:tcBorders>
              <w:bottom w:val="single" w:sz="8" w:color="auto"/>
            </w:tcBorders>
            <w:gridSpan w:val="3"/>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City</w:t>
            </w:r>
          </w:p>
        </w:tc>
        <w:tc>
          <w:tcPr>
            <w:tcW w:w="680" w:type="dxa"/>
            <w:vAlign w:val="bottom"/>
            <w:tcBorders>
              <w:bottom w:val="single" w:sz="8" w:color="auto"/>
            </w:tcBorders>
            <w:gridSpan w:val="3"/>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8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00" w:type="dxa"/>
            <w:vAlign w:val="bottom"/>
            <w:gridSpan w:val="2"/>
            <w:vMerge w:val="restart"/>
          </w:tcPr>
          <w:p>
            <w:pPr>
              <w:spacing w:after="0"/>
              <w:rPr>
                <w:sz w:val="20"/>
                <w:szCs w:val="20"/>
                <w:color w:val="auto"/>
              </w:rPr>
            </w:pPr>
            <w:r>
              <w:rPr>
                <w:rFonts w:ascii="Arial" w:cs="Arial" w:eastAsia="Arial" w:hAnsi="Arial"/>
                <w:sz w:val="18"/>
                <w:szCs w:val="18"/>
                <w:color w:val="auto"/>
              </w:rPr>
              <w:t>Country</w:t>
            </w: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40" w:type="dxa"/>
            <w:vAlign w:val="bottom"/>
            <w:gridSpan w:val="3"/>
            <w:vMerge w:val="restart"/>
          </w:tcPr>
          <w:p>
            <w:pPr>
              <w:spacing w:after="0"/>
              <w:rPr>
                <w:sz w:val="20"/>
                <w:szCs w:val="20"/>
                <w:color w:val="auto"/>
              </w:rPr>
            </w:pPr>
            <w:r>
              <w:rPr>
                <w:rFonts w:ascii="Arial" w:cs="Arial" w:eastAsia="Arial" w:hAnsi="Arial"/>
                <w:sz w:val="18"/>
                <w:szCs w:val="18"/>
                <w:color w:val="auto"/>
              </w:rPr>
              <w:t>Postal Code</w:t>
            </w:r>
          </w:p>
        </w:tc>
        <w:tc>
          <w:tcPr>
            <w:tcW w:w="2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920" w:type="dxa"/>
            <w:vAlign w:val="bottom"/>
            <w:vMerge w:val="restart"/>
          </w:tcPr>
          <w:p>
            <w:pPr>
              <w:spacing w:after="0"/>
              <w:rPr>
                <w:sz w:val="18"/>
                <w:szCs w:val="18"/>
                <w:color w:val="auto"/>
              </w:rPr>
            </w:pPr>
          </w:p>
        </w:tc>
        <w:tc>
          <w:tcPr>
            <w:tcW w:w="340" w:type="dxa"/>
            <w:vAlign w:val="bottom"/>
            <w:vMerge w:val="restart"/>
          </w:tcPr>
          <w:p>
            <w:pPr>
              <w:spacing w:after="0"/>
              <w:rPr>
                <w:sz w:val="18"/>
                <w:szCs w:val="18"/>
                <w:color w:val="auto"/>
              </w:rPr>
            </w:pPr>
          </w:p>
        </w:tc>
        <w:tc>
          <w:tcPr>
            <w:tcW w:w="900" w:type="dxa"/>
            <w:vAlign w:val="bottom"/>
            <w:gridSpan w:val="3"/>
            <w:vMerge w:val="restart"/>
          </w:tcPr>
          <w:p>
            <w:pPr>
              <w:spacing w:after="0"/>
              <w:rPr>
                <w:sz w:val="20"/>
                <w:szCs w:val="20"/>
                <w:color w:val="auto"/>
              </w:rPr>
            </w:pPr>
            <w:r>
              <w:rPr>
                <w:rFonts w:ascii="Arial" w:cs="Arial" w:eastAsia="Arial" w:hAnsi="Arial"/>
                <w:sz w:val="18"/>
                <w:szCs w:val="18"/>
                <w:color w:val="auto"/>
              </w:rPr>
              <w:t>Country</w:t>
            </w:r>
          </w:p>
        </w:tc>
        <w:tc>
          <w:tcPr>
            <w:tcW w:w="16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w w:val="91"/>
              </w:rPr>
              <w:t>Postal Code</w:t>
            </w:r>
          </w:p>
        </w:tc>
        <w:tc>
          <w:tcPr>
            <w:tcW w:w="80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360" w:type="dxa"/>
            <w:vAlign w:val="bottom"/>
            <w:gridSpan w:val="4"/>
            <w:vMerge w:val="restart"/>
          </w:tcPr>
          <w:p>
            <w:pPr>
              <w:spacing w:after="0"/>
              <w:rPr>
                <w:sz w:val="20"/>
                <w:szCs w:val="20"/>
                <w:color w:val="auto"/>
              </w:rPr>
            </w:pPr>
            <w:r>
              <w:rPr>
                <w:rFonts w:ascii="Arial" w:cs="Arial" w:eastAsia="Arial" w:hAnsi="Arial"/>
                <w:sz w:val="18"/>
                <w:szCs w:val="18"/>
                <w:color w:val="auto"/>
              </w:rPr>
              <w:t>Telephone</w:t>
            </w:r>
          </w:p>
        </w:tc>
        <w:tc>
          <w:tcPr>
            <w:tcW w:w="220" w:type="dxa"/>
            <w:vAlign w:val="bottom"/>
            <w:vMerge w:val="restart"/>
          </w:tcPr>
          <w:p>
            <w:pPr>
              <w:spacing w:after="0"/>
              <w:rPr>
                <w:sz w:val="18"/>
                <w:szCs w:val="18"/>
                <w:color w:val="auto"/>
              </w:rPr>
            </w:pPr>
          </w:p>
        </w:tc>
        <w:tc>
          <w:tcPr>
            <w:tcW w:w="920" w:type="dxa"/>
            <w:vAlign w:val="bottom"/>
            <w:vMerge w:val="restart"/>
          </w:tcPr>
          <w:p>
            <w:pPr>
              <w:spacing w:after="0"/>
              <w:rPr>
                <w:sz w:val="18"/>
                <w:szCs w:val="18"/>
                <w:color w:val="auto"/>
              </w:rPr>
            </w:pPr>
          </w:p>
        </w:tc>
        <w:tc>
          <w:tcPr>
            <w:tcW w:w="2840" w:type="dxa"/>
            <w:vAlign w:val="bottom"/>
            <w:gridSpan w:val="5"/>
            <w:vMerge w:val="restart"/>
          </w:tcPr>
          <w:p>
            <w:pPr>
              <w:spacing w:after="0"/>
              <w:rPr>
                <w:sz w:val="20"/>
                <w:szCs w:val="20"/>
                <w:color w:val="auto"/>
              </w:rPr>
            </w:pPr>
            <w:r>
              <w:rPr>
                <w:rFonts w:ascii="Arial" w:cs="Arial" w:eastAsia="Arial" w:hAnsi="Arial"/>
                <w:sz w:val="18"/>
                <w:szCs w:val="18"/>
                <w:color w:val="auto"/>
              </w:rPr>
              <w:t>Facsimilie</w:t>
            </w:r>
          </w:p>
        </w:tc>
        <w:tc>
          <w:tcPr>
            <w:tcW w:w="0" w:type="dxa"/>
            <w:vAlign w:val="bottom"/>
          </w:tcPr>
          <w:p>
            <w:pPr>
              <w:spacing w:after="0"/>
              <w:rPr>
                <w:sz w:val="1"/>
                <w:szCs w:val="1"/>
                <w:color w:val="auto"/>
              </w:rPr>
            </w:pPr>
          </w:p>
        </w:tc>
      </w:tr>
      <w:tr>
        <w:trPr>
          <w:trHeight w:val="210"/>
        </w:trPr>
        <w:tc>
          <w:tcPr>
            <w:tcW w:w="1720" w:type="dxa"/>
            <w:vAlign w:val="bottom"/>
            <w:gridSpan w:val="4"/>
          </w:tcPr>
          <w:p>
            <w:pPr>
              <w:spacing w:after="0"/>
              <w:rPr>
                <w:sz w:val="20"/>
                <w:szCs w:val="20"/>
                <w:color w:val="auto"/>
              </w:rPr>
            </w:pPr>
            <w:r>
              <w:rPr>
                <w:rFonts w:ascii="Arial" w:cs="Arial" w:eastAsia="Arial" w:hAnsi="Arial"/>
                <w:sz w:val="18"/>
                <w:szCs w:val="18"/>
                <w:color w:val="auto"/>
              </w:rPr>
              <w:t>Telephone</w:t>
            </w:r>
          </w:p>
        </w:tc>
        <w:tc>
          <w:tcPr>
            <w:tcW w:w="1740" w:type="dxa"/>
            <w:vAlign w:val="bottom"/>
            <w:gridSpan w:val="4"/>
          </w:tcPr>
          <w:p>
            <w:pPr>
              <w:ind w:left="240"/>
              <w:spacing w:after="0"/>
              <w:rPr>
                <w:sz w:val="20"/>
                <w:szCs w:val="20"/>
                <w:color w:val="auto"/>
              </w:rPr>
            </w:pPr>
            <w:r>
              <w:rPr>
                <w:rFonts w:ascii="Arial" w:cs="Arial" w:eastAsia="Arial" w:hAnsi="Arial"/>
                <w:sz w:val="18"/>
                <w:szCs w:val="18"/>
                <w:color w:val="auto"/>
              </w:rPr>
              <w:t>Facsimilie</w:t>
            </w: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60" w:type="dxa"/>
            <w:vAlign w:val="bottom"/>
            <w:gridSpan w:val="4"/>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8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720" w:type="dxa"/>
            <w:vAlign w:val="bottom"/>
            <w:gridSpan w:val="4"/>
          </w:tcPr>
          <w:p>
            <w:pPr>
              <w:spacing w:after="0"/>
              <w:rPr>
                <w:sz w:val="20"/>
                <w:szCs w:val="20"/>
                <w:color w:val="auto"/>
              </w:rPr>
            </w:pPr>
            <w:r>
              <w:rPr>
                <w:rFonts w:ascii="Arial" w:cs="Arial" w:eastAsia="Arial" w:hAnsi="Arial"/>
                <w:sz w:val="18"/>
                <w:szCs w:val="18"/>
                <w:color w:val="auto"/>
              </w:rPr>
              <w:t>E-Mail Address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60" w:type="dxa"/>
            <w:vAlign w:val="bottom"/>
            <w:gridSpan w:val="5"/>
          </w:tcPr>
          <w:p>
            <w:pPr>
              <w:ind w:left="2400"/>
              <w:spacing w:after="0"/>
              <w:rPr>
                <w:sz w:val="20"/>
                <w:szCs w:val="20"/>
                <w:color w:val="auto"/>
              </w:rPr>
            </w:pPr>
            <w:r>
              <w:rPr>
                <w:rFonts w:ascii="Arial" w:cs="Arial" w:eastAsia="Arial" w:hAnsi="Arial"/>
                <w:sz w:val="18"/>
                <w:szCs w:val="18"/>
                <w:color w:val="auto"/>
              </w:rPr>
              <w:t>E-Mail Address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3333FF"/>
        </w:rPr>
        <w:t>6. Lender’s Fed Wire Payment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Pay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5715</wp:posOffset>
            </wp:positionV>
            <wp:extent cx="613156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131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14605</wp:posOffset>
            </wp:positionV>
            <wp:extent cx="613156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31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11150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14605</wp:posOffset>
            </wp:positionV>
            <wp:extent cx="61315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131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111506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32"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14605</wp:posOffset>
            </wp:positionV>
            <wp:extent cx="61315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131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46736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14605</wp:posOffset>
            </wp:positionV>
            <wp:extent cx="61315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131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46736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46736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6736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14605</wp:posOffset>
            </wp:positionV>
            <wp:extent cx="613156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131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46736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6736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799465</wp:posOffset>
            </wp:positionV>
            <wp:extent cx="72891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3333FF"/>
        </w:rPr>
        <w:t>7. Lender’s Standby Letter of Credit, Commercial Letter of Credit, and Bankers’ Acceptance Fed Wire Payment Instructions (if applicable):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Pay to:</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5715</wp:posOffset>
            </wp:positionV>
            <wp:extent cx="622617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751840</wp:posOffset>
            </wp:positionV>
            <wp:extent cx="7246620" cy="431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2" w:name="page183"/>
    <w:bookmarkEnd w:id="182"/>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741045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t>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14605</wp:posOffset>
            </wp:positionV>
            <wp:extent cx="61315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131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111506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14605</wp:posOffset>
            </wp:positionV>
            <wp:extent cx="61315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131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11150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32" w:lineRule="exact"/>
        <w:rPr>
          <w:sz w:val="20"/>
          <w:szCs w:val="20"/>
          <w:color w:val="auto"/>
        </w:rPr>
      </w:pPr>
    </w:p>
    <w:p>
      <w:pPr>
        <w:jc w:val="right"/>
        <w:ind w:right="2480"/>
        <w:spacing w:after="0"/>
        <w:rPr>
          <w:sz w:val="20"/>
          <w:szCs w:val="20"/>
          <w:color w:val="auto"/>
        </w:rPr>
      </w:pP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14605</wp:posOffset>
            </wp:positionV>
            <wp:extent cx="61315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131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46736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14605</wp:posOffset>
            </wp:positionV>
            <wp:extent cx="61315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131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46736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46736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6736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14605</wp:posOffset>
            </wp:positionV>
            <wp:extent cx="61315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131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46736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Can the Lender’s Fed Wire Payment Instructions in Section 6 be used? ___YES ___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2891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3333FF"/>
        </w:rPr>
        <w:t>8. Lender’s Organizational Structure and Tax Status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refer to the enclosed withholding tax instructions below and then complete this section accordingly: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Lender Taxpayer Identification Number (TIN):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160020</wp:posOffset>
            </wp:positionV>
            <wp:extent cx="6604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6604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14605</wp:posOffset>
            </wp:positionV>
            <wp:extent cx="65862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-130810</wp:posOffset>
            </wp:positionV>
            <wp:extent cx="252984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40" w:type="dxa"/>
            <w:vAlign w:val="bottom"/>
            <w:gridSpan w:val="9"/>
          </w:tcPr>
          <w:p>
            <w:pPr>
              <w:spacing w:after="0"/>
              <w:rPr>
                <w:sz w:val="20"/>
                <w:szCs w:val="20"/>
                <w:color w:val="auto"/>
              </w:rPr>
            </w:pPr>
            <w:r>
              <w:rPr>
                <w:rFonts w:ascii="Arial" w:cs="Arial" w:eastAsia="Arial" w:hAnsi="Arial"/>
                <w:sz w:val="18"/>
                <w:szCs w:val="18"/>
                <w:color w:val="auto"/>
                <w:w w:val="93"/>
              </w:rPr>
              <w:t>Tax Withholding Form Delivered to Bank of America (check applicable one):</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W-9</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W-8BEN</w:t>
            </w: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b w:val="1"/>
                <w:bCs w:val="1"/>
                <w:color w:val="auto"/>
              </w:rPr>
              <w:t>W-8ECI</w:t>
            </w: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W-8EXP</w:t>
            </w:r>
          </w:p>
        </w:tc>
        <w:tc>
          <w:tcPr>
            <w:tcW w:w="1600" w:type="dxa"/>
            <w:vAlign w:val="bottom"/>
            <w:gridSpan w:val="2"/>
          </w:tcPr>
          <w:p>
            <w:pPr>
              <w:ind w:left="900"/>
              <w:spacing w:after="0"/>
              <w:rPr>
                <w:sz w:val="20"/>
                <w:szCs w:val="20"/>
                <w:color w:val="auto"/>
              </w:rPr>
            </w:pPr>
            <w:r>
              <w:rPr>
                <w:rFonts w:ascii="Arial" w:cs="Arial" w:eastAsia="Arial" w:hAnsi="Arial"/>
                <w:sz w:val="18"/>
                <w:szCs w:val="18"/>
                <w:b w:val="1"/>
                <w:bCs w:val="1"/>
                <w:color w:val="auto"/>
              </w:rPr>
              <w:t>W-8IMY</w:t>
            </w:r>
          </w:p>
        </w:tc>
      </w:tr>
      <w:tr>
        <w:trPr>
          <w:trHeight w:val="20"/>
        </w:trPr>
        <w:tc>
          <w:tcPr>
            <w:tcW w:w="7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3020" w:type="dxa"/>
            <w:vAlign w:val="bottom"/>
            <w:gridSpan w:val="6"/>
          </w:tcPr>
          <w:p>
            <w:pPr>
              <w:spacing w:after="0"/>
              <w:rPr>
                <w:sz w:val="20"/>
                <w:szCs w:val="20"/>
                <w:color w:val="auto"/>
              </w:rPr>
            </w:pPr>
            <w:r>
              <w:rPr>
                <w:rFonts w:ascii="Arial" w:cs="Arial" w:eastAsia="Arial" w:hAnsi="Arial"/>
                <w:sz w:val="18"/>
                <w:szCs w:val="18"/>
                <w:b w:val="1"/>
                <w:bCs w:val="1"/>
                <w:color w:val="auto"/>
              </w:rPr>
              <w:t>Tax Contact:</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380" w:type="dxa"/>
            <w:vAlign w:val="bottom"/>
          </w:tcPr>
          <w:p>
            <w:pPr>
              <w:spacing w:after="0" w:line="196" w:lineRule="exact"/>
              <w:rPr>
                <w:sz w:val="20"/>
                <w:szCs w:val="20"/>
                <w:color w:val="auto"/>
              </w:rPr>
            </w:pPr>
            <w:r>
              <w:rPr>
                <w:rFonts w:ascii="Arial" w:cs="Arial" w:eastAsia="Arial" w:hAnsi="Arial"/>
                <w:sz w:val="18"/>
                <w:szCs w:val="18"/>
                <w:color w:val="auto"/>
              </w:rPr>
              <w:t>First</w:t>
            </w:r>
          </w:p>
        </w:tc>
        <w:tc>
          <w:tcPr>
            <w:tcW w:w="360" w:type="dxa"/>
            <w:vAlign w:val="bottom"/>
            <w:tcBorders>
              <w:bottom w:val="single" w:sz="8" w:color="auto"/>
            </w:tcBorders>
          </w:tcPr>
          <w:p>
            <w:pPr>
              <w:spacing w:after="0"/>
              <w:rPr>
                <w:sz w:val="17"/>
                <w:szCs w:val="17"/>
                <w:color w:val="auto"/>
              </w:rPr>
            </w:pPr>
          </w:p>
        </w:tc>
        <w:tc>
          <w:tcPr>
            <w:tcW w:w="2280" w:type="dxa"/>
            <w:vAlign w:val="bottom"/>
            <w:gridSpan w:val="4"/>
          </w:tcPr>
          <w:p>
            <w:pPr>
              <w:spacing w:after="0" w:line="196" w:lineRule="exact"/>
              <w:rPr>
                <w:sz w:val="20"/>
                <w:szCs w:val="20"/>
                <w:color w:val="auto"/>
              </w:rPr>
            </w:pPr>
            <w:r>
              <w:rPr>
                <w:rFonts w:ascii="Arial" w:cs="Arial" w:eastAsia="Arial" w:hAnsi="Arial"/>
                <w:sz w:val="18"/>
                <w:szCs w:val="18"/>
                <w:color w:val="auto"/>
              </w:rPr>
              <w:t>MI __Last ______________</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-427990</wp:posOffset>
            </wp:positionV>
            <wp:extent cx="2857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-10160</wp:posOffset>
            </wp:positionV>
            <wp:extent cx="151447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-19050</wp:posOffset>
            </wp:positionV>
            <wp:extent cx="13716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Suite/ Mail Code 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 _____________ State 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Postal Code Country 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___________ Facsimile 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-19050</wp:posOffset>
            </wp:positionV>
            <wp:extent cx="1028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LENDER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431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880"/>
          </w:cols>
          <w:pgMar w:left="240" w:top="1395" w:right="77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0000FF"/>
        </w:rPr>
        <w:t>1. Corporations: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your institution is incorporated outside of the United States for U.S. federal income tax purposes, and is the beneficial owner of the interest and other income it receives, you must complete one of the following three tax forms, as applicable to your institution: a.) Form W-8BEN (Certificate of Foreign Status of Beneficial Owner), b.) Form W-8ECI (Income Effectively Connected to a U.S. Trade or Business), or c.) Form W-8EXP (Certificate of Foreign Government or Governmental Agency).</w:t>
      </w:r>
    </w:p>
    <w:p>
      <w:pPr>
        <w:spacing w:after="0" w:line="19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 xml:space="preserve">A U.S. taxpayer identification number is required for any institution submitting a Form W-8 ECI. It is also required on Form W-8BEN for certain institutions claiming the benefits of a tax treaty with the U.S. Please refer to the instructions when completing the form applicable to your institution. In addition, please be advised that U.S. tax regulations do not permit the acceptance of faxed forms. </w:t>
      </w:r>
      <w:r>
        <w:rPr>
          <w:rFonts w:ascii="Arial" w:cs="Arial" w:eastAsia="Arial" w:hAnsi="Arial"/>
          <w:sz w:val="17"/>
          <w:szCs w:val="17"/>
          <w:b w:val="1"/>
          <w:bCs w:val="1"/>
          <w:color w:val="auto"/>
        </w:rPr>
        <w:t>An original tax form must be submitted.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000FF"/>
        </w:rPr>
        <w:t>2. Flow-Through Entities</w:t>
      </w:r>
    </w:p>
    <w:p>
      <w:pPr>
        <w:spacing w:after="0" w:line="23"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If your institution is organized outside the U.S., and is classified for U.S. federal income tax purposes as either a Partnership, Trust, Qualified or Non-Qualified Intermediary, or other non-U.S. flow-through entity, an original Form</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W-8IMY (Certificate of Foreign Intermediary, Foreign Flow-Through Entity, or Certain U.S. branches for United States Tax Withholding) must be completed by the intermediary together with a withholding statement. Flow-through entities other than Qualified Intermediaries are required to include tax forms for each of the underlying beneficial owners.</w:t>
      </w:r>
    </w:p>
    <w:p>
      <w:pPr>
        <w:spacing w:after="0" w:line="19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Please refer to the instructions when completing this form. In addition, please be advised that U.S. tax regulations do not permit the acceptance of faxed forms. </w:t>
      </w:r>
      <w:r>
        <w:rPr>
          <w:rFonts w:ascii="Arial" w:cs="Arial" w:eastAsia="Arial" w:hAnsi="Arial"/>
          <w:sz w:val="18"/>
          <w:szCs w:val="18"/>
          <w:b w:val="1"/>
          <w:bCs w:val="1"/>
          <w:color w:val="auto"/>
        </w:rPr>
        <w:t>Original tax form(s) must be submitted</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LENDER INSTITUTIONS:</w:t>
      </w:r>
    </w:p>
    <w:p>
      <w:pPr>
        <w:spacing w:after="0" w:line="27"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 xml:space="preserve">If your institution is incorporated or organized within the United States, you must complete and return Form W-9 (Request for Taxpayer Identification Number and Certification). </w:t>
      </w:r>
      <w:r>
        <w:rPr>
          <w:rFonts w:ascii="Arial" w:cs="Arial" w:eastAsia="Arial" w:hAnsi="Arial"/>
          <w:sz w:val="18"/>
          <w:szCs w:val="18"/>
          <w:b w:val="1"/>
          <w:bCs w:val="1"/>
          <w:color w:val="auto"/>
        </w:rPr>
        <w:t>Please be advised that we require an original form W-9</w:t>
      </w:r>
      <w:r>
        <w:rPr>
          <w:rFonts w:ascii="Arial" w:cs="Arial" w:eastAsia="Arial" w:hAnsi="Arial"/>
          <w:sz w:val="18"/>
          <w:szCs w:val="18"/>
          <w:color w:val="auto"/>
        </w:rPr>
        <w:t>.</w:t>
      </w:r>
    </w:p>
    <w:p>
      <w:pPr>
        <w:spacing w:after="0" w:line="18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Pursuant to the language contained in the tax section of the Credit Agreement, the applicable tax form for your institution must be completed and returned on or prior to the date on which your institution becomes a lender under this Credit Agreement. Failure to provide the proper tax form when requested will subject your institution to U.S. tax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2891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3333FF"/>
        </w:rPr>
        <w:t>9. Bank of America’s Payment Instructions: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Pay to:</w:t>
            </w:r>
          </w:p>
        </w:tc>
        <w:tc>
          <w:tcPr>
            <w:tcW w:w="10640" w:type="dxa"/>
            <w:vAlign w:val="bottom"/>
          </w:tcPr>
          <w:p>
            <w:pPr>
              <w:ind w:left="260"/>
              <w:spacing w:after="0"/>
              <w:rPr>
                <w:sz w:val="20"/>
                <w:szCs w:val="20"/>
                <w:color w:val="auto"/>
              </w:rPr>
            </w:pPr>
            <w:r>
              <w:rPr>
                <w:rFonts w:ascii="Arial" w:cs="Arial" w:eastAsia="Arial" w:hAnsi="Arial"/>
                <w:sz w:val="18"/>
                <w:szCs w:val="18"/>
                <w:color w:val="auto"/>
              </w:rPr>
              <w:t>Bank of America, N.A.</w:t>
            </w:r>
          </w:p>
        </w:tc>
      </w:tr>
      <w:tr>
        <w:trPr>
          <w:trHeight w:val="216"/>
        </w:trPr>
        <w:tc>
          <w:tcPr>
            <w:tcW w:w="7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rPr>
              <w:t>ABA # 026009593</w:t>
            </w:r>
          </w:p>
        </w:tc>
      </w:tr>
      <w:tr>
        <w:trPr>
          <w:trHeight w:val="216"/>
        </w:trPr>
        <w:tc>
          <w:tcPr>
            <w:tcW w:w="7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rPr>
              <w:t>New York, NY</w:t>
            </w:r>
          </w:p>
        </w:tc>
      </w:tr>
      <w:tr>
        <w:trPr>
          <w:trHeight w:val="216"/>
        </w:trPr>
        <w:tc>
          <w:tcPr>
            <w:tcW w:w="7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rPr>
              <w:t>Account #</w:t>
            </w:r>
          </w:p>
        </w:tc>
      </w:tr>
      <w:tr>
        <w:trPr>
          <w:trHeight w:val="216"/>
        </w:trPr>
        <w:tc>
          <w:tcPr>
            <w:tcW w:w="7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rPr>
              <w:t>Attn: Corporate Credit Services</w:t>
            </w:r>
          </w:p>
        </w:tc>
      </w:tr>
      <w:tr>
        <w:trPr>
          <w:trHeight w:val="230"/>
        </w:trPr>
        <w:tc>
          <w:tcPr>
            <w:tcW w:w="780" w:type="dxa"/>
            <w:vAlign w:val="bottom"/>
          </w:tcPr>
          <w:p>
            <w:pPr>
              <w:spacing w:after="0"/>
              <w:rPr>
                <w:sz w:val="20"/>
                <w:szCs w:val="20"/>
                <w:color w:val="auto"/>
              </w:rPr>
            </w:pPr>
          </w:p>
        </w:tc>
        <w:tc>
          <w:tcPr>
            <w:tcW w:w="10640" w:type="dxa"/>
            <w:vAlign w:val="bottom"/>
          </w:tcPr>
          <w:p>
            <w:pPr>
              <w:ind w:left="260"/>
              <w:spacing w:after="0"/>
              <w:rPr>
                <w:sz w:val="20"/>
                <w:szCs w:val="20"/>
                <w:color w:val="auto"/>
              </w:rPr>
            </w:pPr>
            <w:r>
              <w:rPr>
                <w:rFonts w:ascii="Arial" w:cs="Arial" w:eastAsia="Arial" w:hAnsi="Arial"/>
                <w:sz w:val="18"/>
                <w:szCs w:val="18"/>
                <w:color w:val="auto"/>
              </w:rPr>
              <w:t>Ref:</w:t>
            </w:r>
          </w:p>
        </w:tc>
      </w:tr>
      <w:tr>
        <w:trPr>
          <w:trHeight w:val="891"/>
        </w:trPr>
        <w:tc>
          <w:tcPr>
            <w:tcW w:w="780" w:type="dxa"/>
            <w:vAlign w:val="bottom"/>
          </w:tcPr>
          <w:p>
            <w:pPr>
              <w:spacing w:after="0"/>
              <w:rPr>
                <w:sz w:val="24"/>
                <w:szCs w:val="24"/>
                <w:color w:val="auto"/>
              </w:rPr>
            </w:pPr>
          </w:p>
        </w:tc>
        <w:tc>
          <w:tcPr>
            <w:tcW w:w="10640" w:type="dxa"/>
            <w:vAlign w:val="bottom"/>
          </w:tcPr>
          <w:p>
            <w:pPr>
              <w:spacing w:after="0"/>
              <w:rPr>
                <w:sz w:val="24"/>
                <w:szCs w:val="24"/>
                <w:color w:val="auto"/>
              </w:rPr>
            </w:pPr>
          </w:p>
        </w:tc>
      </w:tr>
      <w:tr>
        <w:trPr>
          <w:trHeight w:val="68"/>
        </w:trPr>
        <w:tc>
          <w:tcPr>
            <w:tcW w:w="780" w:type="dxa"/>
            <w:vAlign w:val="bottom"/>
            <w:shd w:val="clear" w:color="auto" w:fill="000000"/>
          </w:tcPr>
          <w:p>
            <w:pPr>
              <w:spacing w:after="0"/>
              <w:rPr>
                <w:sz w:val="5"/>
                <w:szCs w:val="5"/>
                <w:color w:val="auto"/>
              </w:rPr>
            </w:pPr>
          </w:p>
        </w:tc>
        <w:tc>
          <w:tcPr>
            <w:tcW w:w="106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909" w:right="239" w:bottom="1440" w:gutter="0" w:footer="0" w:header="0"/>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80" w:type="dxa"/>
            <w:vAlign w:val="bottom"/>
          </w:tcPr>
          <w:p>
            <w:pPr>
              <w:ind w:left="4160"/>
              <w:spacing w:after="0"/>
              <w:rPr>
                <w:sz w:val="20"/>
                <w:szCs w:val="20"/>
                <w:color w:val="auto"/>
              </w:rPr>
            </w:pPr>
            <w:r>
              <w:rPr>
                <w:rFonts w:ascii="Arial" w:cs="Arial" w:eastAsia="Arial" w:hAnsi="Arial"/>
                <w:sz w:val="18"/>
                <w:szCs w:val="18"/>
                <w:b w:val="1"/>
                <w:bCs w:val="1"/>
                <w:i w:val="1"/>
                <w:iCs w:val="1"/>
                <w:color w:val="auto"/>
              </w:rPr>
              <w:t>EXHIBIT F</w:t>
            </w:r>
          </w:p>
        </w:tc>
      </w:tr>
      <w:tr>
        <w:trPr>
          <w:trHeight w:val="432"/>
        </w:trPr>
        <w:tc>
          <w:tcPr>
            <w:tcW w:w="920" w:type="dxa"/>
            <w:vAlign w:val="bottom"/>
          </w:tcPr>
          <w:p>
            <w:pPr>
              <w:spacing w:after="0"/>
              <w:rPr>
                <w:sz w:val="24"/>
                <w:szCs w:val="24"/>
                <w:color w:val="auto"/>
              </w:rPr>
            </w:pPr>
          </w:p>
        </w:tc>
        <w:tc>
          <w:tcPr>
            <w:tcW w:w="10500" w:type="dxa"/>
            <w:vAlign w:val="bottom"/>
            <w:gridSpan w:val="3"/>
          </w:tcPr>
          <w:p>
            <w:pPr>
              <w:ind w:left="2460"/>
              <w:spacing w:after="0"/>
              <w:rPr>
                <w:sz w:val="20"/>
                <w:szCs w:val="20"/>
                <w:color w:val="auto"/>
              </w:rPr>
            </w:pPr>
            <w:r>
              <w:rPr>
                <w:rFonts w:ascii="Arial" w:cs="Arial" w:eastAsia="Arial" w:hAnsi="Arial"/>
                <w:sz w:val="18"/>
                <w:szCs w:val="18"/>
                <w:b w:val="1"/>
                <w:bCs w:val="1"/>
                <w:color w:val="auto"/>
              </w:rPr>
              <w:t>[FORM OF] AUTHORIZATION TO SHARE INSURANCE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TO:</w:t>
            </w:r>
          </w:p>
        </w:tc>
        <w:tc>
          <w:tcPr>
            <w:tcW w:w="10500" w:type="dxa"/>
            <w:vAlign w:val="bottom"/>
            <w:gridSpan w:val="3"/>
          </w:tcPr>
          <w:p>
            <w:pPr>
              <w:ind w:left="380"/>
              <w:spacing w:after="0"/>
              <w:rPr>
                <w:sz w:val="20"/>
                <w:szCs w:val="20"/>
                <w:color w:val="auto"/>
              </w:rPr>
            </w:pPr>
            <w:r>
              <w:rPr>
                <w:rFonts w:ascii="Arial" w:cs="Arial" w:eastAsia="Arial" w:hAnsi="Arial"/>
                <w:sz w:val="18"/>
                <w:szCs w:val="18"/>
                <w:color w:val="auto"/>
              </w:rPr>
              <w:t>Insurance Agent</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RE:</w:t>
            </w:r>
          </w:p>
        </w:tc>
        <w:tc>
          <w:tcPr>
            <w:tcW w:w="10500" w:type="dxa"/>
            <w:vAlign w:val="bottom"/>
            <w:gridSpan w:val="3"/>
          </w:tcPr>
          <w:p>
            <w:pPr>
              <w:ind w:left="380"/>
              <w:spacing w:after="0"/>
              <w:rPr>
                <w:sz w:val="20"/>
                <w:szCs w:val="20"/>
                <w:color w:val="auto"/>
              </w:rPr>
            </w:pPr>
            <w:r>
              <w:rPr>
                <w:rFonts w:ascii="Arial" w:cs="Arial" w:eastAsia="Arial" w:hAnsi="Arial"/>
                <w:sz w:val="18"/>
                <w:szCs w:val="18"/>
                <w:color w:val="auto"/>
                <w:w w:val="97"/>
              </w:rPr>
              <w:t>Third Amended and Restated Credit Agreement, dated as of April [__], 2017, by and among Harvard Bioscience, Inc., a Delaware</w:t>
            </w:r>
          </w:p>
        </w:tc>
      </w:tr>
      <w:tr>
        <w:trPr>
          <w:trHeight w:val="216"/>
        </w:trPr>
        <w:tc>
          <w:tcPr>
            <w:tcW w:w="920" w:type="dxa"/>
            <w:vAlign w:val="bottom"/>
          </w:tcPr>
          <w:p>
            <w:pPr>
              <w:spacing w:after="0"/>
              <w:rPr>
                <w:sz w:val="18"/>
                <w:szCs w:val="18"/>
                <w:color w:val="auto"/>
              </w:rPr>
            </w:pPr>
          </w:p>
        </w:tc>
        <w:tc>
          <w:tcPr>
            <w:tcW w:w="10500" w:type="dxa"/>
            <w:vAlign w:val="bottom"/>
            <w:gridSpan w:val="3"/>
          </w:tcPr>
          <w:p>
            <w:pPr>
              <w:ind w:left="380"/>
              <w:spacing w:after="0"/>
              <w:rPr>
                <w:sz w:val="20"/>
                <w:szCs w:val="20"/>
                <w:color w:val="auto"/>
              </w:rPr>
            </w:pPr>
            <w:r>
              <w:rPr>
                <w:rFonts w:ascii="Arial" w:cs="Arial" w:eastAsia="Arial" w:hAnsi="Arial"/>
                <w:sz w:val="18"/>
                <w:szCs w:val="18"/>
                <w:color w:val="auto"/>
                <w:w w:val="92"/>
              </w:rPr>
              <w:t>corporation, the Lenders from time to time party thereto, and Bank of America, N.A., as Agent (as amended, modified, extended, restated,</w:t>
            </w:r>
          </w:p>
        </w:tc>
      </w:tr>
      <w:tr>
        <w:trPr>
          <w:trHeight w:val="190"/>
        </w:trPr>
        <w:tc>
          <w:tcPr>
            <w:tcW w:w="920" w:type="dxa"/>
            <w:vAlign w:val="bottom"/>
          </w:tcPr>
          <w:p>
            <w:pPr>
              <w:spacing w:after="0"/>
              <w:rPr>
                <w:sz w:val="16"/>
                <w:szCs w:val="16"/>
                <w:color w:val="auto"/>
              </w:rPr>
            </w:pPr>
          </w:p>
        </w:tc>
        <w:tc>
          <w:tcPr>
            <w:tcW w:w="10500" w:type="dxa"/>
            <w:vAlign w:val="bottom"/>
            <w:gridSpan w:val="3"/>
          </w:tcPr>
          <w:p>
            <w:pPr>
              <w:ind w:left="380"/>
              <w:spacing w:after="0" w:line="190" w:lineRule="exact"/>
              <w:rPr>
                <w:sz w:val="20"/>
                <w:szCs w:val="20"/>
                <w:color w:val="auto"/>
              </w:rPr>
            </w:pPr>
            <w:r>
              <w:rPr>
                <w:rFonts w:ascii="Arial" w:cs="Arial" w:eastAsia="Arial" w:hAnsi="Arial"/>
                <w:sz w:val="18"/>
                <w:szCs w:val="18"/>
                <w:color w:val="auto"/>
                <w:w w:val="92"/>
              </w:rPr>
              <w:t>replaced, or supplemented from time to time, the “Credit Agreement”; capitalized terms used herein and not otherwise defined shall have</w:t>
            </w:r>
          </w:p>
        </w:tc>
      </w:tr>
      <w:tr>
        <w:trPr>
          <w:trHeight w:val="237"/>
        </w:trPr>
        <w:tc>
          <w:tcPr>
            <w:tcW w:w="92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w w:val="98"/>
              </w:rPr>
              <w:t>the meanings set forth in the Credit Agreement)</w:t>
            </w:r>
          </w:p>
        </w:tc>
        <w:tc>
          <w:tcPr>
            <w:tcW w:w="1300" w:type="dxa"/>
            <w:vAlign w:val="bottom"/>
            <w:tcBorders>
              <w:top w:val="single" w:sz="8" w:color="auto"/>
            </w:tcBorders>
          </w:tcPr>
          <w:p>
            <w:pPr>
              <w:spacing w:after="0"/>
              <w:rPr>
                <w:sz w:val="20"/>
                <w:szCs w:val="20"/>
                <w:color w:val="auto"/>
              </w:rPr>
            </w:pPr>
          </w:p>
        </w:tc>
        <w:tc>
          <w:tcPr>
            <w:tcW w:w="5080" w:type="dxa"/>
            <w:vAlign w:val="bottom"/>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10500" w:type="dxa"/>
            <w:vAlign w:val="bottom"/>
            <w:gridSpan w:val="3"/>
          </w:tcPr>
          <w:p>
            <w:pPr>
              <w:ind w:left="380"/>
              <w:spacing w:after="0"/>
              <w:rPr>
                <w:sz w:val="20"/>
                <w:szCs w:val="20"/>
                <w:color w:val="auto"/>
              </w:rPr>
            </w:pPr>
            <w:r>
              <w:rPr>
                <w:rFonts w:ascii="Arial" w:cs="Arial" w:eastAsia="Arial" w:hAnsi="Arial"/>
                <w:sz w:val="18"/>
                <w:szCs w:val="18"/>
                <w:color w:val="auto"/>
              </w:rPr>
              <w:t>[Date]</w:t>
            </w:r>
          </w:p>
        </w:tc>
      </w:tr>
      <w:tr>
        <w:trPr>
          <w:trHeight w:val="270"/>
        </w:trPr>
        <w:tc>
          <w:tcPr>
            <w:tcW w:w="920" w:type="dxa"/>
            <w:vAlign w:val="bottom"/>
            <w:tcBorders>
              <w:bottom w:val="single" w:sz="8" w:color="auto"/>
            </w:tcBorders>
          </w:tcPr>
          <w:p>
            <w:pPr>
              <w:spacing w:after="0"/>
              <w:rPr>
                <w:sz w:val="23"/>
                <w:szCs w:val="23"/>
                <w:color w:val="auto"/>
              </w:rPr>
            </w:pPr>
          </w:p>
        </w:tc>
        <w:tc>
          <w:tcPr>
            <w:tcW w:w="4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5080" w:type="dxa"/>
            <w:vAlign w:val="bottom"/>
            <w:tcBorders>
              <w:bottom w:val="single" w:sz="8" w:color="auto"/>
            </w:tcBorders>
          </w:tcPr>
          <w:p>
            <w:pPr>
              <w:spacing w:after="0"/>
              <w:rPr>
                <w:sz w:val="23"/>
                <w:szCs w:val="23"/>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auto"/>
                <w:w w:val="90"/>
              </w:rPr>
              <w:t>Grantor:</w:t>
            </w:r>
          </w:p>
        </w:tc>
        <w:tc>
          <w:tcPr>
            <w:tcW w:w="2120" w:type="dxa"/>
            <w:vAlign w:val="bottom"/>
            <w:gridSpan w:val="7"/>
          </w:tcPr>
          <w:p>
            <w:pPr>
              <w:spacing w:after="0"/>
              <w:rPr>
                <w:sz w:val="17"/>
                <w:szCs w:val="17"/>
                <w:color w:val="auto"/>
              </w:rPr>
            </w:pPr>
          </w:p>
        </w:tc>
        <w:tc>
          <w:tcPr>
            <w:tcW w:w="7560" w:type="dxa"/>
            <w:vAlign w:val="bottom"/>
            <w:gridSpan w:val="7"/>
          </w:tcPr>
          <w:p>
            <w:pPr>
              <w:ind w:left="140"/>
              <w:spacing w:after="0"/>
              <w:rPr>
                <w:sz w:val="20"/>
                <w:szCs w:val="20"/>
                <w:color w:val="auto"/>
              </w:rPr>
            </w:pPr>
            <w:r>
              <w:rPr>
                <w:rFonts w:ascii="Arial" w:cs="Arial" w:eastAsia="Arial" w:hAnsi="Arial"/>
                <w:sz w:val="18"/>
                <w:szCs w:val="18"/>
                <w:color w:val="auto"/>
              </w:rPr>
              <w:t>[Insert Applicable Loan Party Name] (the “Grantor”)</w:t>
            </w:r>
          </w:p>
        </w:tc>
      </w:tr>
      <w:tr>
        <w:trPr>
          <w:trHeight w:val="20"/>
        </w:trPr>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38"/>
        </w:trPr>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60" w:type="dxa"/>
            <w:vAlign w:val="bottom"/>
            <w:gridSpan w:val="7"/>
          </w:tcPr>
          <w:p>
            <w:pPr>
              <w:ind w:left="140"/>
              <w:spacing w:after="0"/>
              <w:rPr>
                <w:sz w:val="20"/>
                <w:szCs w:val="20"/>
                <w:color w:val="auto"/>
              </w:rPr>
            </w:pPr>
            <w:r>
              <w:rPr>
                <w:rFonts w:ascii="Arial" w:cs="Arial" w:eastAsia="Arial" w:hAnsi="Arial"/>
                <w:sz w:val="18"/>
                <w:szCs w:val="18"/>
                <w:color w:val="auto"/>
                <w:w w:val="93"/>
              </w:rPr>
              <w:t>Bank of America, N.A., as Administrative Agent for the Secured Parties, I.S.A.O.A., A.T.I.M.A. * (the</w:t>
            </w:r>
          </w:p>
        </w:tc>
      </w:tr>
      <w:tr>
        <w:trPr>
          <w:trHeight w:val="190"/>
        </w:trPr>
        <w:tc>
          <w:tcPr>
            <w:tcW w:w="2740" w:type="dxa"/>
            <w:vAlign w:val="bottom"/>
            <w:gridSpan w:val="8"/>
          </w:tcPr>
          <w:p>
            <w:pPr>
              <w:spacing w:after="0" w:line="190" w:lineRule="exact"/>
              <w:rPr>
                <w:sz w:val="20"/>
                <w:szCs w:val="20"/>
                <w:color w:val="auto"/>
              </w:rPr>
            </w:pPr>
            <w:r>
              <w:rPr>
                <w:rFonts w:ascii="Arial" w:cs="Arial" w:eastAsia="Arial" w:hAnsi="Arial"/>
                <w:sz w:val="18"/>
                <w:szCs w:val="18"/>
                <w:color w:val="auto"/>
              </w:rPr>
              <w:t>Administrative Agent:</w:t>
            </w:r>
          </w:p>
        </w:tc>
        <w:tc>
          <w:tcPr>
            <w:tcW w:w="7560" w:type="dxa"/>
            <w:vAlign w:val="bottom"/>
            <w:gridSpan w:val="7"/>
          </w:tcPr>
          <w:p>
            <w:pPr>
              <w:ind w:left="140"/>
              <w:spacing w:after="0" w:line="190" w:lineRule="exact"/>
              <w:rPr>
                <w:sz w:val="20"/>
                <w:szCs w:val="20"/>
                <w:color w:val="auto"/>
              </w:rPr>
            </w:pPr>
            <w:r>
              <w:rPr>
                <w:rFonts w:ascii="Arial" w:cs="Arial" w:eastAsia="Arial" w:hAnsi="Arial"/>
                <w:sz w:val="18"/>
                <w:szCs w:val="18"/>
                <w:color w:val="auto"/>
              </w:rPr>
              <w:t>“Administrative Agent”)</w:t>
            </w:r>
          </w:p>
        </w:tc>
      </w:tr>
      <w:tr>
        <w:trPr>
          <w:trHeight w:val="20"/>
        </w:trPr>
        <w:tc>
          <w:tcPr>
            <w:tcW w:w="6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560" w:type="dxa"/>
            <w:vAlign w:val="bottom"/>
            <w:gridSpan w:val="7"/>
          </w:tcPr>
          <w:p>
            <w:pPr>
              <w:ind w:left="140"/>
              <w:spacing w:after="0"/>
              <w:rPr>
                <w:sz w:val="20"/>
                <w:szCs w:val="20"/>
                <w:color w:val="auto"/>
              </w:rPr>
            </w:pPr>
            <w:r>
              <w:rPr>
                <w:rFonts w:ascii="Arial" w:cs="Arial" w:eastAsia="Arial" w:hAnsi="Arial"/>
                <w:sz w:val="18"/>
                <w:szCs w:val="18"/>
                <w:color w:val="auto"/>
              </w:rPr>
              <w:t>Attn: MAC Legal Collateral Administration</w:t>
            </w:r>
          </w:p>
        </w:tc>
      </w:tr>
      <w:tr>
        <w:trPr>
          <w:trHeight w:val="216"/>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60" w:type="dxa"/>
            <w:vAlign w:val="bottom"/>
            <w:gridSpan w:val="7"/>
          </w:tcPr>
          <w:p>
            <w:pPr>
              <w:ind w:left="140"/>
              <w:spacing w:after="0"/>
              <w:rPr>
                <w:sz w:val="20"/>
                <w:szCs w:val="20"/>
                <w:color w:val="auto"/>
              </w:rPr>
            </w:pPr>
            <w:r>
              <w:rPr>
                <w:rFonts w:ascii="Arial" w:cs="Arial" w:eastAsia="Arial" w:hAnsi="Arial"/>
                <w:sz w:val="18"/>
                <w:szCs w:val="18"/>
                <w:color w:val="auto"/>
              </w:rPr>
              <w:t>Mail Code CA4-702-02-25</w:t>
            </w:r>
          </w:p>
        </w:tc>
      </w:tr>
      <w:tr>
        <w:trPr>
          <w:trHeight w:val="216"/>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60" w:type="dxa"/>
            <w:vAlign w:val="bottom"/>
            <w:gridSpan w:val="7"/>
          </w:tcPr>
          <w:p>
            <w:pPr>
              <w:ind w:left="140"/>
              <w:spacing w:after="0"/>
              <w:rPr>
                <w:sz w:val="20"/>
                <w:szCs w:val="20"/>
                <w:color w:val="auto"/>
              </w:rPr>
            </w:pPr>
            <w:r>
              <w:rPr>
                <w:rFonts w:ascii="Arial" w:cs="Arial" w:eastAsia="Arial" w:hAnsi="Arial"/>
                <w:sz w:val="18"/>
                <w:szCs w:val="18"/>
                <w:color w:val="auto"/>
              </w:rPr>
              <w:t>2001 Clayton Road, 2nd Floor</w:t>
            </w:r>
          </w:p>
        </w:tc>
      </w:tr>
      <w:tr>
        <w:trPr>
          <w:trHeight w:val="230"/>
        </w:trPr>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560" w:type="dxa"/>
            <w:vAlign w:val="bottom"/>
            <w:gridSpan w:val="7"/>
          </w:tcPr>
          <w:p>
            <w:pPr>
              <w:ind w:left="140"/>
              <w:spacing w:after="0"/>
              <w:rPr>
                <w:sz w:val="20"/>
                <w:szCs w:val="20"/>
                <w:color w:val="auto"/>
              </w:rPr>
            </w:pPr>
            <w:r>
              <w:rPr>
                <w:rFonts w:ascii="Arial" w:cs="Arial" w:eastAsia="Arial" w:hAnsi="Arial"/>
                <w:sz w:val="18"/>
                <w:szCs w:val="18"/>
                <w:color w:val="auto"/>
              </w:rPr>
              <w:t>Concord, CA 94520</w:t>
            </w:r>
          </w:p>
        </w:tc>
      </w:tr>
      <w:tr>
        <w:trPr>
          <w:trHeight w:val="392"/>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Policy Number:</w:t>
            </w:r>
          </w:p>
        </w:tc>
        <w:tc>
          <w:tcPr>
            <w:tcW w:w="1580" w:type="dxa"/>
            <w:vAlign w:val="bottom"/>
            <w:gridSpan w:val="6"/>
          </w:tcPr>
          <w:p>
            <w:pPr>
              <w:spacing w:after="0"/>
              <w:rPr>
                <w:sz w:val="24"/>
                <w:szCs w:val="24"/>
                <w:color w:val="auto"/>
              </w:rPr>
            </w:pPr>
          </w:p>
        </w:tc>
        <w:tc>
          <w:tcPr>
            <w:tcW w:w="7560" w:type="dxa"/>
            <w:vAlign w:val="bottom"/>
            <w:gridSpan w:val="7"/>
          </w:tcPr>
          <w:p>
            <w:pPr>
              <w:ind w:left="140"/>
              <w:spacing w:after="0"/>
              <w:rPr>
                <w:sz w:val="20"/>
                <w:szCs w:val="20"/>
                <w:color w:val="auto"/>
              </w:rPr>
            </w:pPr>
            <w:r>
              <w:rPr>
                <w:rFonts w:ascii="Arial" w:cs="Arial" w:eastAsia="Arial" w:hAnsi="Arial"/>
                <w:sz w:val="18"/>
                <w:szCs w:val="18"/>
                <w:color w:val="auto"/>
              </w:rPr>
              <w:t>[Insert Applicable Policy Number]</w:t>
            </w:r>
          </w:p>
        </w:tc>
      </w:tr>
      <w:tr>
        <w:trPr>
          <w:trHeight w:val="412"/>
        </w:trPr>
        <w:tc>
          <w:tcPr>
            <w:tcW w:w="2000" w:type="dxa"/>
            <w:vAlign w:val="bottom"/>
            <w:gridSpan w:val="4"/>
          </w:tcPr>
          <w:p>
            <w:pPr>
              <w:spacing w:after="0"/>
              <w:rPr>
                <w:sz w:val="20"/>
                <w:szCs w:val="20"/>
                <w:color w:val="auto"/>
              </w:rPr>
            </w:pPr>
            <w:r>
              <w:rPr>
                <w:rFonts w:ascii="Arial" w:cs="Arial" w:eastAsia="Arial" w:hAnsi="Arial"/>
                <w:sz w:val="18"/>
                <w:szCs w:val="18"/>
                <w:color w:val="auto"/>
                <w:w w:val="90"/>
              </w:rPr>
              <w:t>Insurance Company/Agent:</w:t>
            </w:r>
          </w:p>
        </w:tc>
        <w:tc>
          <w:tcPr>
            <w:tcW w:w="740" w:type="dxa"/>
            <w:vAlign w:val="bottom"/>
            <w:gridSpan w:val="4"/>
          </w:tcPr>
          <w:p>
            <w:pPr>
              <w:spacing w:after="0"/>
              <w:rPr>
                <w:sz w:val="24"/>
                <w:szCs w:val="24"/>
                <w:color w:val="auto"/>
              </w:rPr>
            </w:pPr>
          </w:p>
        </w:tc>
        <w:tc>
          <w:tcPr>
            <w:tcW w:w="7560" w:type="dxa"/>
            <w:vAlign w:val="bottom"/>
            <w:gridSpan w:val="7"/>
          </w:tcPr>
          <w:p>
            <w:pPr>
              <w:ind w:left="140"/>
              <w:spacing w:after="0"/>
              <w:rPr>
                <w:sz w:val="20"/>
                <w:szCs w:val="20"/>
                <w:color w:val="auto"/>
              </w:rPr>
            </w:pPr>
            <w:r>
              <w:rPr>
                <w:rFonts w:ascii="Arial" w:cs="Arial" w:eastAsia="Arial" w:hAnsi="Arial"/>
                <w:sz w:val="18"/>
                <w:szCs w:val="18"/>
                <w:color w:val="auto"/>
              </w:rPr>
              <w:t>[Insert Applicable Insurance Company/Agent] (the “Insurance Agent”)</w:t>
            </w:r>
          </w:p>
        </w:tc>
      </w:tr>
      <w:tr>
        <w:trPr>
          <w:trHeight w:val="20"/>
        </w:trPr>
        <w:tc>
          <w:tcPr>
            <w:tcW w:w="200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12"/>
        </w:trPr>
        <w:tc>
          <w:tcPr>
            <w:tcW w:w="21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Insurance Company Address:</w:t>
            </w:r>
          </w:p>
        </w:tc>
        <w:tc>
          <w:tcPr>
            <w:tcW w:w="600" w:type="dxa"/>
            <w:vAlign w:val="bottom"/>
            <w:gridSpan w:val="2"/>
          </w:tcPr>
          <w:p>
            <w:pPr>
              <w:spacing w:after="0"/>
              <w:rPr>
                <w:sz w:val="24"/>
                <w:szCs w:val="24"/>
                <w:color w:val="auto"/>
              </w:rPr>
            </w:pPr>
          </w:p>
        </w:tc>
        <w:tc>
          <w:tcPr>
            <w:tcW w:w="7560" w:type="dxa"/>
            <w:vAlign w:val="bottom"/>
            <w:gridSpan w:val="7"/>
          </w:tcPr>
          <w:p>
            <w:pPr>
              <w:ind w:left="140"/>
              <w:spacing w:after="0"/>
              <w:rPr>
                <w:sz w:val="20"/>
                <w:szCs w:val="20"/>
                <w:color w:val="auto"/>
              </w:rPr>
            </w:pPr>
            <w:r>
              <w:rPr>
                <w:rFonts w:ascii="Arial" w:cs="Arial" w:eastAsia="Arial" w:hAnsi="Arial"/>
                <w:sz w:val="18"/>
                <w:szCs w:val="18"/>
                <w:color w:val="auto"/>
              </w:rPr>
              <w:t>[Insert Insurance Company’s Address]</w:t>
            </w:r>
          </w:p>
        </w:tc>
      </w:tr>
      <w:tr>
        <w:trPr>
          <w:trHeight w:val="412"/>
        </w:trPr>
        <w:tc>
          <w:tcPr>
            <w:tcW w:w="2740" w:type="dxa"/>
            <w:vAlign w:val="bottom"/>
            <w:gridSpan w:val="8"/>
          </w:tcPr>
          <w:p>
            <w:pPr>
              <w:spacing w:after="0"/>
              <w:rPr>
                <w:sz w:val="20"/>
                <w:szCs w:val="20"/>
                <w:color w:val="auto"/>
              </w:rPr>
            </w:pPr>
            <w:r>
              <w:rPr>
                <w:rFonts w:ascii="Arial" w:cs="Arial" w:eastAsia="Arial" w:hAnsi="Arial"/>
                <w:sz w:val="18"/>
                <w:szCs w:val="18"/>
                <w:color w:val="auto"/>
                <w:w w:val="94"/>
              </w:rPr>
              <w:t>Insurance Company Telephone No.:</w:t>
            </w:r>
          </w:p>
        </w:tc>
        <w:tc>
          <w:tcPr>
            <w:tcW w:w="7560" w:type="dxa"/>
            <w:vAlign w:val="bottom"/>
            <w:gridSpan w:val="7"/>
          </w:tcPr>
          <w:p>
            <w:pPr>
              <w:ind w:left="140"/>
              <w:spacing w:after="0"/>
              <w:rPr>
                <w:sz w:val="20"/>
                <w:szCs w:val="20"/>
                <w:color w:val="auto"/>
              </w:rPr>
            </w:pPr>
            <w:r>
              <w:rPr>
                <w:rFonts w:ascii="Arial" w:cs="Arial" w:eastAsia="Arial" w:hAnsi="Arial"/>
                <w:sz w:val="18"/>
                <w:szCs w:val="18"/>
                <w:color w:val="auto"/>
              </w:rPr>
              <w:t>[Insert Insurance Company’s Telephone No.]</w:t>
            </w:r>
          </w:p>
        </w:tc>
      </w:tr>
      <w:tr>
        <w:trPr>
          <w:trHeight w:val="412"/>
        </w:trPr>
        <w:tc>
          <w:tcPr>
            <w:tcW w:w="26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Insurance Company Fax No.:</w:t>
            </w:r>
          </w:p>
        </w:tc>
        <w:tc>
          <w:tcPr>
            <w:tcW w:w="140" w:type="dxa"/>
            <w:vAlign w:val="bottom"/>
          </w:tcPr>
          <w:p>
            <w:pPr>
              <w:spacing w:after="0"/>
              <w:rPr>
                <w:sz w:val="24"/>
                <w:szCs w:val="24"/>
                <w:color w:val="auto"/>
              </w:rPr>
            </w:pPr>
          </w:p>
        </w:tc>
        <w:tc>
          <w:tcPr>
            <w:tcW w:w="7560" w:type="dxa"/>
            <w:vAlign w:val="bottom"/>
            <w:gridSpan w:val="7"/>
          </w:tcPr>
          <w:p>
            <w:pPr>
              <w:ind w:left="140"/>
              <w:spacing w:after="0"/>
              <w:rPr>
                <w:sz w:val="20"/>
                <w:szCs w:val="20"/>
                <w:color w:val="auto"/>
              </w:rPr>
            </w:pPr>
            <w:r>
              <w:rPr>
                <w:rFonts w:ascii="Arial" w:cs="Arial" w:eastAsia="Arial" w:hAnsi="Arial"/>
                <w:sz w:val="18"/>
                <w:szCs w:val="18"/>
                <w:color w:val="auto"/>
              </w:rPr>
              <w:t>[Insert Insurance Company’s Fax No.]</w:t>
            </w:r>
          </w:p>
        </w:tc>
      </w:tr>
      <w:tr>
        <w:trPr>
          <w:trHeight w:val="20"/>
        </w:trPr>
        <w:tc>
          <w:tcPr>
            <w:tcW w:w="6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Grantor hereby authorizes the Insurance Agent to send evidence of all insurance to the Agent, as may be requested by the Agent, together with requested insurance policies, certificates of insurance, declarations and endorsements.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I.S.A.O.A. stands for “its successors and/or assigns.” A.T.I.M.A. stands for “as their interest may appear.”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431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5" w:name="page186"/>
    <w:bookmarkEnd w:id="185"/>
    <w:p>
      <w:pPr>
        <w:ind w:firstLine="648"/>
        <w:spacing w:after="0" w:line="277" w:lineRule="auto"/>
        <w:rPr>
          <w:sz w:val="20"/>
          <w:szCs w:val="20"/>
          <w:color w:val="auto"/>
        </w:rPr>
      </w:pPr>
      <w:r>
        <w:rPr>
          <w:rFonts w:ascii="Arial" w:cs="Arial" w:eastAsia="Arial" w:hAnsi="Arial"/>
          <w:sz w:val="18"/>
          <w:szCs w:val="18"/>
          <w:color w:val="auto"/>
        </w:rPr>
        <w:t>Delivery of an executed counterpart of a signature page of this Certificate by fax transmission or other electronic mail transmission (e.g. “pdf” or “tif”) shall be effective as delivery of a manually executed counterpart of this Certificate.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3050540</wp:posOffset>
            </wp:positionV>
            <wp:extent cx="7246620" cy="431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6" w:name="page187"/>
    <w:bookmarkEnd w:id="186"/>
    <w:p>
      <w:pPr>
        <w:ind w:left="4520"/>
        <w:spacing w:after="0"/>
        <w:rPr>
          <w:sz w:val="20"/>
          <w:szCs w:val="20"/>
          <w:color w:val="auto"/>
        </w:rPr>
      </w:pPr>
      <w:r>
        <w:rPr>
          <w:rFonts w:ascii="Arial" w:cs="Arial" w:eastAsia="Arial" w:hAnsi="Arial"/>
          <w:sz w:val="18"/>
          <w:szCs w:val="18"/>
          <w:color w:val="auto"/>
        </w:rPr>
        <w:t>[GRANTOR NAME],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 [Jurisdiction and Type of</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Organization]</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14490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30480</wp:posOffset>
            </wp:positionV>
            <wp:extent cx="14490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-114935</wp:posOffset>
            </wp:positionV>
            <wp:extent cx="144907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2251075</wp:posOffset>
            </wp:positionV>
            <wp:extent cx="7246620" cy="431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87" w:name="page188"/>
    <w:bookmarkEnd w:id="187"/>
    <w:p>
      <w:pPr>
        <w:ind w:left="10340"/>
        <w:spacing w:after="0"/>
        <w:rPr>
          <w:sz w:val="20"/>
          <w:szCs w:val="20"/>
          <w:color w:val="auto"/>
        </w:rPr>
      </w:pPr>
      <w:r>
        <w:rPr>
          <w:rFonts w:ascii="Arial" w:cs="Arial" w:eastAsia="Arial" w:hAnsi="Arial"/>
          <w:sz w:val="18"/>
          <w:szCs w:val="18"/>
          <w:b w:val="1"/>
          <w:bCs w:val="1"/>
          <w:i w:val="1"/>
          <w:iCs w:val="1"/>
          <w:color w:val="auto"/>
        </w:rPr>
        <w:t>EXHIBIT G-1</w:t>
      </w:r>
    </w:p>
    <w:p>
      <w:pPr>
        <w:spacing w:after="0" w:line="221"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[FORM OF] U.S. TAX COMPLIANCE CERTIFICATE</w:t>
      </w:r>
    </w:p>
    <w:p>
      <w:pPr>
        <w:spacing w:after="0" w:line="22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2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Reference is hereby made to the Third Amended and Restated Credit Agreement dated as of April [__], 2017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Harvard Bioscience, Inc</w:t>
      </w:r>
      <w:r>
        <w:rPr>
          <w:rFonts w:ascii="Arial" w:cs="Arial" w:eastAsia="Arial" w:hAnsi="Arial"/>
          <w:sz w:val="18"/>
          <w:szCs w:val="18"/>
          <w:b w:val="1"/>
          <w:bCs w:val="1"/>
          <w:color w:val="auto"/>
        </w:rPr>
        <w:t>.</w:t>
      </w:r>
      <w:r>
        <w:rPr>
          <w:rFonts w:ascii="Arial" w:cs="Arial" w:eastAsia="Arial" w:hAnsi="Arial"/>
          <w:sz w:val="18"/>
          <w:szCs w:val="18"/>
          <w:color w:val="auto"/>
        </w:rPr>
        <w:t xml:space="preserve">,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and Bank of America,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90"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Pursuant to the provisions of </w:t>
      </w:r>
      <w:r>
        <w:rPr>
          <w:rFonts w:ascii="Arial" w:cs="Arial" w:eastAsia="Arial" w:hAnsi="Arial"/>
          <w:sz w:val="17"/>
          <w:szCs w:val="17"/>
          <w:u w:val="single" w:color="auto"/>
          <w:color w:val="auto"/>
        </w:rPr>
        <w:t>Section 3.01(c)</w:t>
      </w:r>
      <w:r>
        <w:rPr>
          <w:rFonts w:ascii="Arial" w:cs="Arial" w:eastAsia="Arial" w:hAnsi="Arial"/>
          <w:sz w:val="17"/>
          <w:szCs w:val="17"/>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7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W-8BENE (or W-8BEN,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LENDER]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________________________</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w:t>
      </w:r>
      <w:r>
        <w:rPr>
          <w:rFonts w:ascii="Arial" w:cs="Arial" w:eastAsia="Arial" w:hAnsi="Arial"/>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431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8" w:name="page189"/>
    <w:bookmarkEnd w:id="188"/>
    <w:p>
      <w:pPr>
        <w:ind w:left="10340"/>
        <w:spacing w:after="0"/>
        <w:rPr>
          <w:sz w:val="20"/>
          <w:szCs w:val="20"/>
          <w:color w:val="auto"/>
        </w:rPr>
      </w:pPr>
      <w:r>
        <w:rPr>
          <w:rFonts w:ascii="Arial" w:cs="Arial" w:eastAsia="Arial" w:hAnsi="Arial"/>
          <w:sz w:val="18"/>
          <w:szCs w:val="18"/>
          <w:b w:val="1"/>
          <w:bCs w:val="1"/>
          <w:i w:val="1"/>
          <w:iCs w:val="1"/>
          <w:color w:val="auto"/>
        </w:rPr>
        <w:t>EXHIBIT G-2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U.S. TAX COMPLIANCE CERTIFICATE</w:t>
      </w:r>
    </w:p>
    <w:p>
      <w:pPr>
        <w:spacing w:after="0" w:line="22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2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Reference is hereby made to the Third Amended and Restated Credit Agreement dated as of April [__], 2017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among Harvard Bioscience,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and Bank of America,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9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undersigned has furnished its participating Lender with a certificate of its non-U.S. Person status on IRS Form W-8BENE (or W-8BEN,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PARTICIPANT]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________________________</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w:t>
      </w:r>
      <w:r>
        <w:rPr>
          <w:rFonts w:ascii="Arial" w:cs="Arial" w:eastAsia="Arial" w:hAnsi="Arial"/>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431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9" w:name="page190"/>
    <w:bookmarkEnd w:id="189"/>
    <w:p>
      <w:pPr>
        <w:ind w:left="10340"/>
        <w:spacing w:after="0"/>
        <w:rPr>
          <w:sz w:val="20"/>
          <w:szCs w:val="20"/>
          <w:color w:val="auto"/>
        </w:rPr>
      </w:pPr>
      <w:r>
        <w:rPr>
          <w:rFonts w:ascii="Arial" w:cs="Arial" w:eastAsia="Arial" w:hAnsi="Arial"/>
          <w:sz w:val="18"/>
          <w:szCs w:val="18"/>
          <w:b w:val="1"/>
          <w:bCs w:val="1"/>
          <w:i w:val="1"/>
          <w:iCs w:val="1"/>
          <w:color w:val="auto"/>
        </w:rPr>
        <w:t>EXHIBIT G-3</w:t>
      </w:r>
    </w:p>
    <w:p>
      <w:pPr>
        <w:spacing w:after="0" w:line="221"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[FORM OF] U.S. TAX COMPLIANCE CERTIFICATE</w:t>
      </w:r>
    </w:p>
    <w:p>
      <w:pPr>
        <w:spacing w:after="0" w:line="22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Reference is hereby made to the Third Amended and Restated Credit Agreement dated as of April [__], 2017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among Harvard Bioscience,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and Bank of America,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1"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6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The undersigned has furnished its participating Lender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PARTICIPANT]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________________________</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w:t>
      </w:r>
      <w:r>
        <w:rPr>
          <w:rFonts w:ascii="Arial" w:cs="Arial" w:eastAsia="Arial" w:hAnsi="Arial"/>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431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0" w:name="page191"/>
    <w:bookmarkEnd w:id="190"/>
    <w:p>
      <w:pPr>
        <w:ind w:left="10340"/>
        <w:spacing w:after="0"/>
        <w:rPr>
          <w:sz w:val="20"/>
          <w:szCs w:val="20"/>
          <w:color w:val="auto"/>
        </w:rPr>
      </w:pPr>
      <w:r>
        <w:rPr>
          <w:rFonts w:ascii="Arial" w:cs="Arial" w:eastAsia="Arial" w:hAnsi="Arial"/>
          <w:sz w:val="18"/>
          <w:szCs w:val="18"/>
          <w:b w:val="1"/>
          <w:bCs w:val="1"/>
          <w:i w:val="1"/>
          <w:iCs w:val="1"/>
          <w:color w:val="auto"/>
        </w:rPr>
        <w:t>EXHIBIT G-4</w:t>
      </w:r>
    </w:p>
    <w:p>
      <w:pPr>
        <w:spacing w:after="0" w:line="200" w:lineRule="exact"/>
        <w:rPr>
          <w:sz w:val="20"/>
          <w:szCs w:val="20"/>
          <w:color w:val="auto"/>
        </w:rPr>
      </w:pPr>
    </w:p>
    <w:p>
      <w:pPr>
        <w:spacing w:after="0" w:line="23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[FORM OF] U.S. TAX COMPLIANCE CERTIFICATE</w:t>
      </w:r>
    </w:p>
    <w:p>
      <w:pPr>
        <w:spacing w:after="0" w:line="22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22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Reference is hereby made to the Third Amended and Restated Credit Agreement dated as of April [__], 2017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Harvard Bioscience, Inc</w:t>
      </w:r>
      <w:r>
        <w:rPr>
          <w:rFonts w:ascii="Arial" w:cs="Arial" w:eastAsia="Arial" w:hAnsi="Arial"/>
          <w:sz w:val="18"/>
          <w:szCs w:val="18"/>
          <w:b w:val="1"/>
          <w:bCs w:val="1"/>
          <w:color w:val="auto"/>
        </w:rPr>
        <w:t>.</w:t>
      </w:r>
      <w:r>
        <w:rPr>
          <w:rFonts w:ascii="Arial" w:cs="Arial" w:eastAsia="Arial" w:hAnsi="Arial"/>
          <w:sz w:val="18"/>
          <w:szCs w:val="18"/>
          <w:color w:val="auto"/>
        </w:rPr>
        <w:t xml:space="preserve">,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and Bank of America,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jc w:val="both"/>
        <w:ind w:firstLine="1297"/>
        <w:spacing w:after="0" w:line="288"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69"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The undersigned has furnished the Administrative Agent and the Borrower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LENDER]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________________________</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w:t>
      </w:r>
      <w:r>
        <w:rPr>
          <w:rFonts w:ascii="Arial" w:cs="Arial" w:eastAsia="Arial" w:hAnsi="Arial"/>
          <w:sz w:val="18"/>
          <w:szCs w:val="18"/>
          <w:b w:val="1"/>
          <w:bCs w:val="1"/>
          <w:color w:val="auto"/>
        </w:rPr>
        <w:t>[ ]</w:t>
      </w:r>
    </w:p>
    <w:p>
      <w:pPr>
        <w:sectPr>
          <w:pgSz w:w="11900" w:h="16838" w:orient="portrait"/>
          <w:cols w:equalWidth="0" w:num="1">
            <w:col w:w="11420"/>
          </w:cols>
          <w:pgMar w:left="240" w:top="908"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E. Gagnon, certify that:</w:t>
      </w:r>
    </w:p>
    <w:p>
      <w:pPr>
        <w:spacing w:after="0" w:line="225" w:lineRule="exact"/>
        <w:rPr>
          <w:sz w:val="20"/>
          <w:szCs w:val="20"/>
          <w:color w:val="auto"/>
        </w:rPr>
      </w:pPr>
    </w:p>
    <w:p>
      <w:pPr>
        <w:ind w:left="180" w:hanging="172"/>
        <w:spacing w:after="0"/>
        <w:tabs>
          <w:tab w:leader="none" w:pos="1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449"/>
        <w:spacing w:after="0" w:line="264" w:lineRule="auto"/>
        <w:tabs>
          <w:tab w:leader="none" w:pos="61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60" w:firstLine="449"/>
        <w:spacing w:after="0" w:line="264" w:lineRule="auto"/>
        <w:tabs>
          <w:tab w:leader="none" w:pos="62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20" w:firstLine="449"/>
        <w:spacing w:after="0" w:line="277" w:lineRule="auto"/>
        <w:tabs>
          <w:tab w:leader="none" w:pos="61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40" w:firstLine="449"/>
        <w:spacing w:after="0" w:line="264" w:lineRule="auto"/>
        <w:tabs>
          <w:tab w:leader="none" w:pos="62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0" w:firstLine="449"/>
        <w:spacing w:after="0" w:line="277" w:lineRule="auto"/>
        <w:tabs>
          <w:tab w:leader="none" w:pos="61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80" w:firstLine="449"/>
        <w:spacing w:after="0" w:line="277" w:lineRule="auto"/>
        <w:tabs>
          <w:tab w:leader="none" w:pos="62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May 5, 2017</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E. GAGNON</w:t>
            </w:r>
          </w:p>
        </w:tc>
      </w:tr>
      <w:tr>
        <w:trPr>
          <w:trHeight w:val="195"/>
        </w:trPr>
        <w:tc>
          <w:tcPr>
            <w:tcW w:w="572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Robert E. Gagnon</w:t>
            </w:r>
          </w:p>
        </w:tc>
      </w:tr>
      <w:tr>
        <w:trPr>
          <w:trHeight w:val="230"/>
        </w:trPr>
        <w:tc>
          <w:tcPr>
            <w:tcW w:w="57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A. Duchemin, certify that:</w:t>
      </w:r>
    </w:p>
    <w:p>
      <w:pPr>
        <w:spacing w:after="0" w:line="225" w:lineRule="exact"/>
        <w:rPr>
          <w:sz w:val="20"/>
          <w:szCs w:val="20"/>
          <w:color w:val="auto"/>
        </w:rPr>
      </w:pPr>
    </w:p>
    <w:p>
      <w:pPr>
        <w:ind w:left="180" w:hanging="172"/>
        <w:spacing w:after="0"/>
        <w:tabs>
          <w:tab w:leader="none" w:pos="1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449"/>
        <w:spacing w:after="0" w:line="264" w:lineRule="auto"/>
        <w:tabs>
          <w:tab w:leader="none" w:pos="61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60" w:firstLine="449"/>
        <w:spacing w:after="0" w:line="264" w:lineRule="auto"/>
        <w:tabs>
          <w:tab w:leader="none" w:pos="62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20" w:firstLine="449"/>
        <w:spacing w:after="0" w:line="277" w:lineRule="auto"/>
        <w:tabs>
          <w:tab w:leader="none" w:pos="61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40" w:firstLine="449"/>
        <w:spacing w:after="0" w:line="264" w:lineRule="auto"/>
        <w:tabs>
          <w:tab w:leader="none" w:pos="62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0" w:firstLine="449"/>
        <w:spacing w:after="0" w:line="277" w:lineRule="auto"/>
        <w:tabs>
          <w:tab w:leader="none" w:pos="61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80" w:firstLine="449"/>
        <w:spacing w:after="0" w:line="277" w:lineRule="auto"/>
        <w:tabs>
          <w:tab w:leader="none" w:pos="62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May 5, 2017</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 DUCHEMIN</w:t>
            </w:r>
          </w:p>
        </w:tc>
      </w:tr>
      <w:tr>
        <w:trPr>
          <w:trHeight w:val="195"/>
        </w:trPr>
        <w:tc>
          <w:tcPr>
            <w:tcW w:w="572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Jeffrey A. Duchemin</w:t>
            </w:r>
          </w:p>
        </w:tc>
      </w:tr>
      <w:tr>
        <w:trPr>
          <w:trHeight w:val="230"/>
        </w:trPr>
        <w:tc>
          <w:tcPr>
            <w:tcW w:w="57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The undersigned officer of Harvard Bioscience, Inc. (the “Company”) hereby certifies to his knowledge that the Company’s Quarterly Report on Form 10-Q for the quarterly period ended March 31, 2017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May 5, 2017</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E. GAGNON</w:t>
            </w:r>
          </w:p>
        </w:tc>
      </w:tr>
      <w:tr>
        <w:trPr>
          <w:trHeight w:val="195"/>
        </w:trPr>
        <w:tc>
          <w:tcPr>
            <w:tcW w:w="572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Name: Robert E. Gagnon</w:t>
            </w:r>
          </w:p>
        </w:tc>
      </w:tr>
      <w:tr>
        <w:trPr>
          <w:trHeight w:val="230"/>
        </w:trPr>
        <w:tc>
          <w:tcPr>
            <w:tcW w:w="57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ectPr>
          <w:pgSz w:w="11900" w:h="16838" w:orient="portrait"/>
          <w:cols w:equalWidth="0" w:num="1">
            <w:col w:w="11420"/>
          </w:cols>
          <w:pgMar w:left="240" w:top="121"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The undersigned officer of Harvard Bioscience, Inc. (the “Company”) hereby certifies to his knowledge that the Company’s Quarterly Report on Form 10-Q for the quarterly period ended March 31, 2017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May 5, 2017</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 DUCHEMIN</w:t>
            </w:r>
          </w:p>
        </w:tc>
      </w:tr>
      <w:tr>
        <w:trPr>
          <w:trHeight w:val="195"/>
        </w:trPr>
        <w:tc>
          <w:tcPr>
            <w:tcW w:w="572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Name: Jeffrey A. Duchemin</w:t>
            </w:r>
          </w:p>
        </w:tc>
      </w:tr>
      <w:tr>
        <w:trPr>
          <w:trHeight w:val="230"/>
        </w:trPr>
        <w:tc>
          <w:tcPr>
            <w:tcW w:w="57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C75AF8"/>
    <w:multiLevelType w:val="hybridMultilevel"/>
    <w:lvl w:ilvl="0">
      <w:lvlJc w:val="left"/>
      <w:lvlText w:val="x"/>
      <w:numFmt w:val="bullet"/>
      <w:start w:val="1"/>
    </w:lvl>
  </w:abstractNum>
  <w:abstractNum w:abstractNumId="1">
    <w:nsid w:val="6A5F7029"/>
    <w:multiLevelType w:val="hybridMultilevel"/>
    <w:lvl w:ilvl="0">
      <w:lvlJc w:val="left"/>
      <w:lvlText w:val="☐"/>
      <w:numFmt w:val="bullet"/>
      <w:start w:val="1"/>
    </w:lvl>
  </w:abstractNum>
  <w:abstractNum w:abstractNumId="2">
    <w:nsid w:val="7D5E18F8"/>
    <w:multiLevelType w:val="hybridMultilevel"/>
    <w:lvl w:ilvl="0">
      <w:lvlJc w:val="left"/>
      <w:lvlText w:val="(%1)"/>
      <w:numFmt w:val="decimal"/>
      <w:start w:val="268"/>
    </w:lvl>
  </w:abstractNum>
  <w:abstractNum w:abstractNumId="3">
    <w:nsid w:val="5F3534A4"/>
    <w:multiLevelType w:val="hybridMultilevel"/>
    <w:lvl w:ilvl="0">
      <w:lvlJc w:val="left"/>
      <w:lvlText w:val="%1."/>
      <w:numFmt w:val="decimal"/>
      <w:start w:val="1"/>
    </w:lvl>
  </w:abstractNum>
  <w:abstractNum w:abstractNumId="4">
    <w:nsid w:val="73A1821B"/>
    <w:multiLevelType w:val="hybridMultilevel"/>
    <w:lvl w:ilvl="0">
      <w:lvlJc w:val="left"/>
      <w:lvlText w:val="%1."/>
      <w:numFmt w:val="decimal"/>
      <w:start w:val="2"/>
    </w:lvl>
  </w:abstractNum>
  <w:abstractNum w:abstractNumId="5">
    <w:nsid w:val="7DE67713"/>
    <w:multiLevelType w:val="hybridMultilevel"/>
    <w:lvl w:ilvl="0">
      <w:lvlJc w:val="left"/>
      <w:lvlText w:val="%1."/>
      <w:numFmt w:val="decimal"/>
      <w:start w:val="3"/>
    </w:lvl>
  </w:abstractNum>
  <w:abstractNum w:abstractNumId="6">
    <w:nsid w:val="555C55B5"/>
    <w:multiLevelType w:val="hybridMultilevel"/>
    <w:lvl w:ilvl="0">
      <w:lvlJc w:val="left"/>
      <w:lvlText w:val="%1."/>
      <w:numFmt w:val="decimal"/>
      <w:start w:val="5"/>
    </w:lvl>
  </w:abstractNum>
  <w:abstractNum w:abstractNumId="7">
    <w:nsid w:val="3FA62ACA"/>
    <w:multiLevelType w:val="hybridMultilevel"/>
    <w:lvl w:ilvl="0">
      <w:lvlJc w:val="left"/>
      <w:lvlText w:val="%1."/>
      <w:numFmt w:val="decimal"/>
      <w:start w:val="6"/>
    </w:lvl>
  </w:abstractNum>
  <w:abstractNum w:abstractNumId="8">
    <w:nsid w:val="14FCE74E"/>
    <w:multiLevelType w:val="hybridMultilevel"/>
    <w:lvl w:ilvl="0">
      <w:lvlJc w:val="left"/>
      <w:lvlText w:val="%1."/>
      <w:numFmt w:val="decimal"/>
      <w:start w:val="7"/>
    </w:lvl>
  </w:abstractNum>
  <w:abstractNum w:abstractNumId="9">
    <w:nsid w:val="6A3DD3E8"/>
    <w:multiLevelType w:val="hybridMultilevel"/>
    <w:lvl w:ilvl="0">
      <w:lvlJc w:val="left"/>
      <w:lvlText w:val="%1."/>
      <w:numFmt w:val="decimal"/>
      <w:start w:val="8"/>
    </w:lvl>
  </w:abstractNum>
  <w:abstractNum w:abstractNumId="10">
    <w:nsid w:val="71C91298"/>
    <w:multiLevelType w:val="hybridMultilevel"/>
    <w:lvl w:ilvl="0">
      <w:lvlJc w:val="left"/>
      <w:lvlText w:val="%1."/>
      <w:numFmt w:val="decimal"/>
      <w:start w:val="9"/>
    </w:lvl>
  </w:abstractNum>
  <w:abstractNum w:abstractNumId="11">
    <w:nsid w:val="9DAF632"/>
    <w:multiLevelType w:val="hybridMultilevel"/>
    <w:lvl w:ilvl="0">
      <w:lvlJc w:val="left"/>
      <w:lvlText w:val="%1."/>
      <w:numFmt w:val="decimal"/>
      <w:start w:val="10"/>
    </w:lvl>
  </w:abstractNum>
  <w:abstractNum w:abstractNumId="12">
    <w:nsid w:val="53299938"/>
    <w:multiLevelType w:val="hybridMultilevel"/>
    <w:lvl w:ilvl="0">
      <w:lvlJc w:val="left"/>
      <w:lvlText w:val="%1."/>
      <w:numFmt w:val="decimal"/>
      <w:start w:val="12"/>
    </w:lvl>
  </w:abstractNum>
  <w:abstractNum w:abstractNumId="13">
    <w:nsid w:val="1FBFE8E0"/>
    <w:multiLevelType w:val="hybridMultilevel"/>
    <w:lvl w:ilvl="0">
      <w:lvlJc w:val="left"/>
      <w:lvlText w:val="·"/>
      <w:numFmt w:val="bullet"/>
      <w:start w:val="1"/>
    </w:lvl>
  </w:abstractNum>
  <w:abstractNum w:abstractNumId="14">
    <w:nsid w:val="5092CA79"/>
    <w:multiLevelType w:val="hybridMultilevel"/>
    <w:lvl w:ilvl="0">
      <w:lvlJc w:val="left"/>
      <w:lvlText w:val="%1."/>
      <w:numFmt w:val="decimal"/>
      <w:start w:val="13"/>
    </w:lvl>
  </w:abstractNum>
  <w:abstractNum w:abstractNumId="15">
    <w:nsid w:val="1D545C4D"/>
    <w:multiLevelType w:val="hybridMultilevel"/>
    <w:lvl w:ilvl="0">
      <w:lvlJc w:val="left"/>
      <w:lvlText w:val="(%1)"/>
      <w:numFmt w:val="lowerLetter"/>
      <w:start w:val="1"/>
    </w:lvl>
  </w:abstractNum>
  <w:abstractNum w:abstractNumId="16">
    <w:nsid w:val="59ADEA3D"/>
    <w:multiLevelType w:val="hybridMultilevel"/>
    <w:lvl w:ilvl="0">
      <w:lvlJc w:val="left"/>
      <w:lvlText w:val="%1."/>
      <w:numFmt w:val="decimal"/>
      <w:start w:val="14"/>
    </w:lvl>
  </w:abstractNum>
  <w:abstractNum w:abstractNumId="17">
    <w:nsid w:val="288F1A34"/>
    <w:multiLevelType w:val="hybridMultilevel"/>
    <w:lvl w:ilvl="0">
      <w:lvlJc w:val="left"/>
      <w:lvlText w:val="%1."/>
      <w:numFmt w:val="decimal"/>
      <w:start w:val="15"/>
    </w:lvl>
  </w:abstractNum>
  <w:abstractNum w:abstractNumId="18">
    <w:nsid w:val="2A155DBC"/>
    <w:multiLevelType w:val="hybridMultilevel"/>
    <w:lvl w:ilvl="0">
      <w:lvlJc w:val="left"/>
      <w:lvlText w:val="%1."/>
      <w:numFmt w:val="decimal"/>
      <w:start w:val="16"/>
    </w:lvl>
  </w:abstractNum>
  <w:abstractNum w:abstractNumId="19">
    <w:nsid w:val="1D9F6E5F"/>
    <w:multiLevelType w:val="hybridMultilevel"/>
    <w:lvl w:ilvl="0">
      <w:lvlJc w:val="left"/>
      <w:lvlText w:val="Ÿ"/>
      <w:numFmt w:val="bullet"/>
      <w:start w:val="1"/>
    </w:lvl>
  </w:abstractNum>
  <w:abstractNum w:abstractNumId="20">
    <w:nsid w:val="97E1B4E"/>
    <w:multiLevelType w:val="hybridMultilevel"/>
    <w:lvl w:ilvl="0">
      <w:lvlJc w:val="left"/>
      <w:lvlText w:val="(%1)"/>
      <w:numFmt w:val="decimal"/>
      <w:start w:val="198"/>
    </w:lvl>
  </w:abstractNum>
  <w:abstractNum w:abstractNumId="21">
    <w:nsid w:val="51088277"/>
    <w:multiLevelType w:val="hybridMultilevel"/>
    <w:lvl w:ilvl="0">
      <w:lvlJc w:val="left"/>
      <w:lvlText w:val="(%1)"/>
      <w:numFmt w:val="decimal"/>
      <w:start w:val="228"/>
    </w:lvl>
  </w:abstractNum>
  <w:abstractNum w:abstractNumId="22">
    <w:nsid w:val="1CA0C5FA"/>
    <w:multiLevelType w:val="hybridMultilevel"/>
    <w:lvl w:ilvl="0">
      <w:lvlJc w:val="left"/>
      <w:lvlText w:val="(%1)"/>
      <w:numFmt w:val="decimal"/>
      <w:start w:val="113"/>
    </w:lvl>
  </w:abstractNum>
  <w:abstractNum w:abstractNumId="23">
    <w:nsid w:val="53584BCB"/>
    <w:multiLevelType w:val="hybridMultilevel"/>
    <w:lvl w:ilvl="0">
      <w:lvlJc w:val="left"/>
      <w:lvlText w:val="(%1)"/>
      <w:numFmt w:val="decimal"/>
      <w:start w:val="155"/>
    </w:lvl>
  </w:abstractNum>
  <w:abstractNum w:abstractNumId="24">
    <w:nsid w:val="415E286C"/>
    <w:multiLevelType w:val="hybridMultilevel"/>
    <w:lvl w:ilvl="0">
      <w:lvlJc w:val="left"/>
      <w:lvlText w:val="(%1)"/>
      <w:numFmt w:val="decimal"/>
      <w:start w:val="268"/>
    </w:lvl>
  </w:abstractNum>
  <w:abstractNum w:abstractNumId="25">
    <w:nsid w:val="7C58FD05"/>
    <w:multiLevelType w:val="hybridMultilevel"/>
    <w:lvl w:ilvl="0">
      <w:lvlJc w:val="left"/>
      <w:lvlText w:val="·"/>
      <w:numFmt w:val="bullet"/>
      <w:start w:val="1"/>
    </w:lvl>
  </w:abstractNum>
  <w:abstractNum w:abstractNumId="26">
    <w:nsid w:val="23D86AAC"/>
    <w:multiLevelType w:val="hybridMultilevel"/>
    <w:lvl w:ilvl="0">
      <w:lvlJc w:val="left"/>
      <w:lvlText w:val="%1."/>
      <w:numFmt w:val="decimal"/>
      <w:start w:val="815"/>
    </w:lvl>
    <w:lvl w:ilvl="1">
      <w:lvlJc w:val="left"/>
      <w:lvlText w:val="-"/>
      <w:numFmt w:val="bullet"/>
      <w:start w:val="1"/>
    </w:lvl>
  </w:abstractNum>
  <w:abstractNum w:abstractNumId="27">
    <w:nsid w:val="45E6D486"/>
    <w:multiLevelType w:val="hybridMultilevel"/>
    <w:lvl w:ilvl="0">
      <w:lvlJc w:val="left"/>
      <w:lvlText w:val="*"/>
      <w:numFmt w:val="bullet"/>
      <w:start w:val="1"/>
    </w:lvl>
    <w:lvl w:ilvl="1">
      <w:lvlJc w:val="left"/>
      <w:lvlText w:val="-"/>
      <w:numFmt w:val="bullet"/>
      <w:start w:val="1"/>
    </w:lvl>
  </w:abstractNum>
  <w:abstractNum w:abstractNumId="28">
    <w:nsid w:val="5C10FE21"/>
    <w:multiLevelType w:val="hybridMultilevel"/>
    <w:lvl w:ilvl="0">
      <w:lvlJc w:val="left"/>
      <w:lvlText w:val="*"/>
      <w:numFmt w:val="bullet"/>
      <w:start w:val="1"/>
    </w:lvl>
    <w:lvl w:ilvl="1">
      <w:lvlJc w:val="left"/>
      <w:lvlText w:val="-"/>
      <w:numFmt w:val="bullet"/>
      <w:start w:val="1"/>
    </w:lvl>
  </w:abstractNum>
  <w:abstractNum w:abstractNumId="29">
    <w:nsid w:val="E7FFA2B"/>
    <w:multiLevelType w:val="hybridMultilevel"/>
    <w:lvl w:ilvl="0">
      <w:lvlJc w:val="left"/>
      <w:lvlText w:val="A"/>
      <w:numFmt w:val="bullet"/>
      <w:start w:val="1"/>
    </w:lvl>
  </w:abstractNum>
  <w:abstractNum w:abstractNumId="30">
    <w:nsid w:val="3C5991AA"/>
    <w:multiLevelType w:val="hybridMultilevel"/>
    <w:lvl w:ilvl="0">
      <w:lvlJc w:val="left"/>
      <w:lvlText w:val="B"/>
      <w:numFmt w:val="bullet"/>
      <w:start w:val="1"/>
    </w:lvl>
  </w:abstractNum>
  <w:abstractNum w:abstractNumId="31">
    <w:nsid w:val="4BD8591A"/>
    <w:multiLevelType w:val="hybridMultilevel"/>
    <w:lvl w:ilvl="0">
      <w:lvlJc w:val="left"/>
      <w:lvlText w:val="C"/>
      <w:numFmt w:val="bullet"/>
      <w:start w:val="1"/>
    </w:lvl>
  </w:abstractNum>
  <w:abstractNum w:abstractNumId="32">
    <w:nsid w:val="78DF6A55"/>
    <w:multiLevelType w:val="hybridMultilevel"/>
    <w:lvl w:ilvl="0">
      <w:lvlJc w:val="left"/>
      <w:lvlText w:val="D"/>
      <w:numFmt w:val="bullet"/>
      <w:start w:val="1"/>
    </w:lvl>
  </w:abstractNum>
  <w:abstractNum w:abstractNumId="33">
    <w:nsid w:val="39B7AAA2"/>
    <w:multiLevelType w:val="hybridMultilevel"/>
    <w:lvl w:ilvl="0">
      <w:lvlJc w:val="left"/>
      <w:lvlText w:val="F"/>
      <w:numFmt w:val="bullet"/>
      <w:start w:val="1"/>
    </w:lvl>
  </w:abstractNum>
  <w:abstractNum w:abstractNumId="34">
    <w:nsid w:val="2B0D8DBE"/>
    <w:multiLevelType w:val="hybridMultilevel"/>
    <w:lvl w:ilvl="0">
      <w:lvlJc w:val="left"/>
      <w:lvlText w:val="(%1)"/>
      <w:numFmt w:val="lowerLetter"/>
      <w:start w:val="1"/>
    </w:lvl>
  </w:abstractNum>
  <w:abstractNum w:abstractNumId="35">
    <w:nsid w:val="6C80EC70"/>
    <w:multiLevelType w:val="hybridMultilevel"/>
    <w:lvl w:ilvl="0">
      <w:lvlJc w:val="left"/>
      <w:lvlText w:val="(%1)"/>
      <w:numFmt w:val="lowerRoman"/>
      <w:start w:val="1"/>
    </w:lvl>
  </w:abstractNum>
  <w:abstractNum w:abstractNumId="36">
    <w:nsid w:val="379E21B5"/>
    <w:multiLevelType w:val="hybridMultilevel"/>
    <w:lvl w:ilvl="0">
      <w:lvlJc w:val="left"/>
      <w:lvlText w:val="(%1)"/>
      <w:numFmt w:val="lowerLetter"/>
      <w:start w:val="1"/>
    </w:lvl>
  </w:abstractNum>
  <w:abstractNum w:abstractNumId="37">
    <w:nsid w:val="69E373"/>
    <w:multiLevelType w:val="hybridMultilevel"/>
    <w:lvl w:ilvl="0">
      <w:lvlJc w:val="left"/>
      <w:lvlText w:val="(%1)"/>
      <w:numFmt w:val="lowerLetter"/>
      <w:start w:val="4"/>
    </w:lvl>
  </w:abstractNum>
  <w:abstractNum w:abstractNumId="38">
    <w:nsid w:val="2C27173B"/>
    <w:multiLevelType w:val="hybridMultilevel"/>
    <w:lvl w:ilvl="0">
      <w:lvlJc w:val="left"/>
      <w:lvlText w:val="(%1)"/>
      <w:numFmt w:val="lowerLetter"/>
      <w:start w:val="1"/>
    </w:lvl>
  </w:abstractNum>
  <w:abstractNum w:abstractNumId="39">
    <w:nsid w:val="4C9B0904"/>
    <w:multiLevelType w:val="hybridMultilevel"/>
    <w:lvl w:ilvl="0">
      <w:lvlJc w:val="left"/>
      <w:lvlText w:val="(%1)"/>
      <w:numFmt w:val="lowerLetter"/>
      <w:start w:val="8"/>
    </w:lvl>
  </w:abstractNum>
  <w:abstractNum w:abstractNumId="40">
    <w:nsid w:val="6AA7B75C"/>
    <w:multiLevelType w:val="hybridMultilevel"/>
    <w:lvl w:ilvl="0">
      <w:lvlJc w:val="left"/>
      <w:lvlText w:val="(%1)"/>
      <w:numFmt w:val="lowerLetter"/>
      <w:start w:val="1"/>
    </w:lvl>
  </w:abstractNum>
  <w:abstractNum w:abstractNumId="41">
    <w:nsid w:val="1DF029D3"/>
    <w:multiLevelType w:val="hybridMultilevel"/>
    <w:lvl w:ilvl="0">
      <w:lvlJc w:val="left"/>
      <w:lvlText w:val="(%1)"/>
      <w:numFmt w:val="lowerLetter"/>
      <w:start w:val="1"/>
    </w:lvl>
  </w:abstractNum>
  <w:abstractNum w:abstractNumId="42">
    <w:nsid w:val="5675FF36"/>
    <w:multiLevelType w:val="hybridMultilevel"/>
    <w:lvl w:ilvl="0">
      <w:lvlJc w:val="left"/>
      <w:lvlText w:val="(%1)"/>
      <w:numFmt w:val="lowerLetter"/>
      <w:start w:val="3"/>
    </w:lvl>
  </w:abstractNum>
  <w:abstractNum w:abstractNumId="43">
    <w:nsid w:val="3DD15094"/>
    <w:multiLevelType w:val="hybridMultilevel"/>
    <w:lvl w:ilvl="0">
      <w:lvlJc w:val="left"/>
      <w:lvlText w:val="(%1)"/>
      <w:numFmt w:val="lowerLetter"/>
      <w:start w:val="2"/>
    </w:lvl>
  </w:abstractNum>
  <w:abstractNum w:abstractNumId="44">
    <w:nsid w:val="3DB012B3"/>
    <w:multiLevelType w:val="hybridMultilevel"/>
    <w:lvl w:ilvl="0">
      <w:lvlJc w:val="left"/>
      <w:lvlText w:val="(%1)"/>
      <w:numFmt w:val="lowerLetter"/>
      <w:start w:val="1"/>
    </w:lvl>
  </w:abstractNum>
  <w:abstractNum w:abstractNumId="45">
    <w:nsid w:val="2708C9AF"/>
    <w:multiLevelType w:val="hybridMultilevel"/>
    <w:lvl w:ilvl="0">
      <w:lvlJc w:val="left"/>
      <w:lvlText w:val="(%1)"/>
      <w:numFmt w:val="lowerLetter"/>
      <w:start w:val="2"/>
    </w:lvl>
  </w:abstractNum>
  <w:abstractNum w:abstractNumId="46">
    <w:nsid w:val="5B25ACE2"/>
    <w:multiLevelType w:val="hybridMultilevel"/>
    <w:lvl w:ilvl="0">
      <w:lvlJc w:val="left"/>
      <w:lvlText w:val="(%1)"/>
      <w:numFmt w:val="lowerLetter"/>
      <w:start w:val="1"/>
    </w:lvl>
  </w:abstractNum>
  <w:abstractNum w:abstractNumId="47">
    <w:nsid w:val="175DFCF0"/>
    <w:multiLevelType w:val="hybridMultilevel"/>
    <w:lvl w:ilvl="0">
      <w:lvlJc w:val="left"/>
      <w:lvlText w:val="(%1)"/>
      <w:numFmt w:val="lowerLetter"/>
      <w:start w:val="2"/>
    </w:lvl>
  </w:abstractNum>
  <w:abstractNum w:abstractNumId="48">
    <w:nsid w:val="4F97E3E4"/>
    <w:multiLevelType w:val="hybridMultilevel"/>
    <w:lvl w:ilvl="0">
      <w:lvlJc w:val="left"/>
      <w:lvlText w:val="(%1)"/>
      <w:numFmt w:val="lowerLetter"/>
      <w:start w:val="1"/>
    </w:lvl>
  </w:abstractNum>
  <w:abstractNum w:abstractNumId="49">
    <w:nsid w:val="53B0A9E"/>
    <w:multiLevelType w:val="hybridMultilevel"/>
    <w:lvl w:ilvl="0">
      <w:lvlJc w:val="left"/>
      <w:lvlText w:val="(%1)"/>
      <w:numFmt w:val="lowerLetter"/>
      <w:start w:val="1"/>
    </w:lvl>
  </w:abstractNum>
  <w:abstractNum w:abstractNumId="50">
    <w:nsid w:val="34FD6B4F"/>
    <w:multiLevelType w:val="hybridMultilevel"/>
    <w:lvl w:ilvl="0">
      <w:lvlJc w:val="left"/>
      <w:lvlText w:val="(%1)"/>
      <w:numFmt w:val="lowerLetter"/>
      <w:start w:val="1"/>
    </w:lvl>
  </w:abstractNum>
  <w:abstractNum w:abstractNumId="51">
    <w:nsid w:val="5915FF32"/>
    <w:multiLevelType w:val="hybridMultilevel"/>
    <w:lvl w:ilvl="0">
      <w:lvlJc w:val="left"/>
      <w:lvlText w:val="(%1)"/>
      <w:numFmt w:val="lowerLetter"/>
      <w:start w:val="2"/>
    </w:lvl>
  </w:abstractNum>
  <w:abstractNum w:abstractNumId="52">
    <w:nsid w:val="56438D15"/>
    <w:multiLevelType w:val="hybridMultilevel"/>
    <w:lvl w:ilvl="0">
      <w:lvlJc w:val="left"/>
      <w:lvlText w:val="(%1)"/>
      <w:numFmt w:val="lowerLetter"/>
      <w:start w:val="1"/>
    </w:lvl>
    <w:lvl w:ilvl="1">
      <w:lvlJc w:val="left"/>
      <w:lvlText w:val="(%2)"/>
      <w:numFmt w:val="lowerRoman"/>
      <w:start w:val="1"/>
    </w:lvl>
  </w:abstractNum>
  <w:abstractNum w:abstractNumId="53">
    <w:nsid w:val="519E3149"/>
    <w:multiLevelType w:val="hybridMultilevel"/>
    <w:lvl w:ilvl="0">
      <w:lvlJc w:val="left"/>
      <w:lvlText w:val="(%1)"/>
      <w:numFmt w:val="upperLetter"/>
      <w:start w:val="1"/>
    </w:lvl>
    <w:lvl w:ilvl="1">
      <w:lvlJc w:val="left"/>
      <w:lvlText w:val="(%2)"/>
      <w:numFmt w:val="lowerRoman"/>
      <w:start w:val="3"/>
    </w:lvl>
  </w:abstractNum>
  <w:abstractNum w:abstractNumId="54">
    <w:nsid w:val="2C6E4AFD"/>
    <w:multiLevelType w:val="hybridMultilevel"/>
    <w:lvl w:ilvl="0">
      <w:lvlJc w:val="left"/>
      <w:lvlText w:val="(%1)"/>
      <w:numFmt w:val="upperLetter"/>
      <w:start w:val="1"/>
    </w:lvl>
  </w:abstractNum>
  <w:abstractNum w:abstractNumId="55">
    <w:nsid w:val="17A1B582"/>
    <w:multiLevelType w:val="hybridMultilevel"/>
    <w:lvl w:ilvl="0">
      <w:lvlJc w:val="left"/>
      <w:lvlText w:val="(%1)"/>
      <w:numFmt w:val="upperLetter"/>
      <w:start w:val="2"/>
    </w:lvl>
    <w:lvl w:ilvl="1">
      <w:lvlJc w:val="left"/>
      <w:lvlText w:val="(%2)"/>
      <w:numFmt w:val="lowerRoman"/>
      <w:start w:val="4"/>
    </w:lvl>
  </w:abstractNum>
  <w:abstractNum w:abstractNumId="56">
    <w:nsid w:val="4DF72E4E"/>
    <w:multiLevelType w:val="hybridMultilevel"/>
    <w:lvl w:ilvl="0">
      <w:lvlJc w:val="left"/>
      <w:lvlText w:val="(%1)"/>
      <w:numFmt w:val="lowerLetter"/>
      <w:start w:val="2"/>
    </w:lvl>
  </w:abstractNum>
  <w:abstractNum w:abstractNumId="57">
    <w:nsid w:val="5046B5A9"/>
    <w:multiLevelType w:val="hybridMultilevel"/>
    <w:lvl w:ilvl="0">
      <w:lvlJc w:val="left"/>
      <w:lvlText w:val="%1"/>
      <w:numFmt w:val="upperLetter"/>
      <w:start w:val="1"/>
    </w:lvl>
    <w:lvl w:ilvl="1">
      <w:lvlJc w:val="left"/>
      <w:lvlText w:val="(%2)"/>
      <w:numFmt w:val="lowerRoman"/>
      <w:start w:val="1"/>
    </w:lvl>
  </w:abstractNum>
  <w:abstractNum w:abstractNumId="58">
    <w:nsid w:val="5D888A08"/>
    <w:multiLevelType w:val="hybridMultilevel"/>
    <w:lvl w:ilvl="0">
      <w:lvlJc w:val="left"/>
      <w:lvlText w:val="(%1)"/>
      <w:numFmt w:val="upperLetter"/>
      <w:start w:val="3"/>
    </w:lvl>
    <w:lvl w:ilvl="1">
      <w:lvlJc w:val="left"/>
      <w:lvlText w:val="%2"/>
      <w:numFmt w:val="lowerRoman"/>
      <w:start w:val="1"/>
    </w:lvl>
  </w:abstractNum>
  <w:abstractNum w:abstractNumId="59">
    <w:nsid w:val="2A082C70"/>
    <w:multiLevelType w:val="hybridMultilevel"/>
    <w:lvl w:ilvl="0">
      <w:lvlJc w:val="left"/>
      <w:lvlText w:val="(%1)"/>
      <w:numFmt w:val="upperLetter"/>
      <w:start w:val="7"/>
    </w:lvl>
    <w:lvl w:ilvl="1">
      <w:lvlJc w:val="left"/>
      <w:lvlText w:val="(%2)"/>
      <w:numFmt w:val="lowerRoman"/>
      <w:start w:val="2"/>
    </w:lvl>
  </w:abstractNum>
  <w:abstractNum w:abstractNumId="60">
    <w:nsid w:val="5EC6AFD4"/>
    <w:multiLevelType w:val="hybridMultilevel"/>
    <w:lvl w:ilvl="0">
      <w:lvlJc w:val="left"/>
      <w:lvlText w:val="(%1)"/>
      <w:numFmt w:val="lowerLetter"/>
      <w:start w:val="3"/>
    </w:lvl>
    <w:lvl w:ilvl="1">
      <w:lvlJc w:val="left"/>
      <w:lvlText w:val="(%2)"/>
      <w:numFmt w:val="lowerRoman"/>
      <w:start w:val="2"/>
    </w:lvl>
  </w:abstractNum>
  <w:abstractNum w:abstractNumId="61">
    <w:nsid w:val="19E21BB2"/>
    <w:multiLevelType w:val="hybridMultilevel"/>
    <w:lvl w:ilvl="0">
      <w:lvlJc w:val="left"/>
      <w:lvlText w:val="%1"/>
      <w:numFmt w:val="lowerLetter"/>
      <w:start w:val="1"/>
    </w:lvl>
    <w:lvl w:ilvl="1">
      <w:lvlJc w:val="left"/>
      <w:lvlText w:val="(%2)"/>
      <w:numFmt w:val="lowerRoman"/>
      <w:start w:val="5"/>
    </w:lvl>
  </w:abstractNum>
  <w:abstractNum w:abstractNumId="62">
    <w:nsid w:val="75E0858A"/>
    <w:multiLevelType w:val="hybridMultilevel"/>
    <w:lvl w:ilvl="0">
      <w:lvlJc w:val="left"/>
      <w:lvlText w:val="(%1)"/>
      <w:numFmt w:val="lowerLetter"/>
      <w:start w:val="4"/>
    </w:lvl>
    <w:lvl w:ilvl="1">
      <w:lvlJc w:val="left"/>
      <w:lvlText w:val="%2"/>
      <w:numFmt w:val="lowerRoman"/>
      <w:start w:val="1"/>
    </w:lvl>
  </w:abstractNum>
  <w:abstractNum w:abstractNumId="63">
    <w:nsid w:val="57A61A29"/>
    <w:multiLevelType w:val="hybridMultilevel"/>
    <w:lvl w:ilvl="0">
      <w:lvlJc w:val="left"/>
      <w:lvlText w:val="%1"/>
      <w:numFmt w:val="lowerLetter"/>
      <w:start w:val="1"/>
    </w:lvl>
    <w:lvl w:ilvl="1">
      <w:lvlJc w:val="left"/>
      <w:lvlText w:val="(%2)"/>
      <w:numFmt w:val="lowerLetter"/>
      <w:start w:val="35"/>
    </w:lvl>
  </w:abstractNum>
  <w:abstractNum w:abstractNumId="64">
    <w:nsid w:val="5399C654"/>
    <w:multiLevelType w:val="hybridMultilevel"/>
    <w:lvl w:ilvl="0">
      <w:lvlJc w:val="left"/>
      <w:lvlText w:val="(%1)"/>
      <w:numFmt w:val="lowerLetter"/>
      <w:start w:val="5"/>
    </w:lvl>
    <w:lvl w:ilvl="1">
      <w:lvlJc w:val="left"/>
      <w:lvlText w:val="(%2)"/>
      <w:numFmt w:val="lowerLetter"/>
      <w:start w:val="9"/>
    </w:lvl>
  </w:abstractNum>
  <w:abstractNum w:abstractNumId="65">
    <w:nsid w:val="20EE1348"/>
    <w:multiLevelType w:val="hybridMultilevel"/>
    <w:lvl w:ilvl="0">
      <w:lvlJc w:val="left"/>
      <w:lvlText w:val="(%1)"/>
      <w:numFmt w:val="lowerRoman"/>
      <w:start w:val="2"/>
    </w:lvl>
  </w:abstractNum>
  <w:abstractNum w:abstractNumId="66">
    <w:nsid w:val="4427069A"/>
    <w:multiLevelType w:val="hybridMultilevel"/>
    <w:lvl w:ilvl="0">
      <w:lvlJc w:val="left"/>
      <w:lvlText w:val="(%1)"/>
      <w:numFmt w:val="lowerLetter"/>
      <w:start w:val="6"/>
    </w:lvl>
  </w:abstractNum>
  <w:abstractNum w:abstractNumId="67">
    <w:nsid w:val="B37E80A"/>
    <w:multiLevelType w:val="hybridMultilevel"/>
    <w:lvl w:ilvl="0">
      <w:lvlJc w:val="left"/>
      <w:lvlText w:val="(%1)"/>
      <w:numFmt w:val="lowerLetter"/>
      <w:start w:val="7"/>
    </w:lvl>
  </w:abstractNum>
  <w:abstractNum w:abstractNumId="68">
    <w:nsid w:val="2157F6BC"/>
    <w:multiLevelType w:val="hybridMultilevel"/>
    <w:lvl w:ilvl="0">
      <w:lvlJc w:val="left"/>
      <w:lvlText w:val="(%1)"/>
      <w:numFmt w:val="lowerLetter"/>
      <w:start w:val="10"/>
    </w:lvl>
  </w:abstractNum>
  <w:abstractNum w:abstractNumId="69">
    <w:nsid w:val="704E1DD5"/>
    <w:multiLevelType w:val="hybridMultilevel"/>
    <w:lvl w:ilvl="0">
      <w:lvlJc w:val="left"/>
      <w:lvlText w:val="(%1)"/>
      <w:numFmt w:val="lowerLetter"/>
      <w:start w:val="1"/>
    </w:lvl>
  </w:abstractNum>
  <w:abstractNum w:abstractNumId="70">
    <w:nsid w:val="57D2F10E"/>
    <w:multiLevelType w:val="hybridMultilevel"/>
    <w:lvl w:ilvl="0">
      <w:lvlJc w:val="left"/>
      <w:lvlText w:val="(%1)"/>
      <w:numFmt w:val="lowerLetter"/>
      <w:start w:val="2"/>
    </w:lvl>
    <w:lvl w:ilvl="1">
      <w:lvlJc w:val="left"/>
      <w:lvlText w:val="(%2)"/>
      <w:numFmt w:val="lowerRoman"/>
      <w:start w:val="2"/>
    </w:lvl>
  </w:abstractNum>
  <w:abstractNum w:abstractNumId="71">
    <w:nsid w:val="BFFAE18"/>
    <w:multiLevelType w:val="hybridMultilevel"/>
    <w:lvl w:ilvl="0">
      <w:lvlJc w:val="left"/>
      <w:lvlText w:val="%1"/>
      <w:numFmt w:val="lowerRoman"/>
      <w:start w:val="1"/>
    </w:lvl>
    <w:lvl w:ilvl="1">
      <w:lvlJc w:val="left"/>
      <w:lvlText w:val="(%2)"/>
      <w:numFmt w:val="lowerRoman"/>
      <w:start w:val="5"/>
    </w:lvl>
  </w:abstractNum>
  <w:abstractNum w:abstractNumId="72">
    <w:nsid w:val="E3E47A8"/>
    <w:multiLevelType w:val="hybridMultilevel"/>
    <w:lvl w:ilvl="0">
      <w:lvlJc w:val="left"/>
      <w:lvlText w:val="(%1)"/>
      <w:numFmt w:val="lowerRoman"/>
      <w:start w:val="5"/>
    </w:lvl>
    <w:lvl w:ilvl="1">
      <w:lvlJc w:val="left"/>
      <w:lvlText w:val="%2"/>
      <w:numFmt w:val="lowerRoman"/>
      <w:start w:val="1"/>
    </w:lvl>
  </w:abstractNum>
  <w:abstractNum w:abstractNumId="73">
    <w:nsid w:val="2E48F044"/>
    <w:multiLevelType w:val="hybridMultilevel"/>
    <w:lvl w:ilvl="0">
      <w:lvlJc w:val="left"/>
      <w:lvlText w:val="(%1)"/>
      <w:numFmt w:val="lowerLetter"/>
      <w:start w:val="1"/>
    </w:lvl>
  </w:abstractNum>
  <w:abstractNum w:abstractNumId="74">
    <w:nsid w:val="49D0FEAC"/>
    <w:multiLevelType w:val="hybridMultilevel"/>
    <w:lvl w:ilvl="0">
      <w:lvlJc w:val="left"/>
      <w:lvlText w:val="(%1)"/>
      <w:numFmt w:val="lowerLetter"/>
      <w:start w:val="2"/>
    </w:lvl>
    <w:lvl w:ilvl="1">
      <w:lvlJc w:val="left"/>
      <w:lvlText w:val="(%2)"/>
      <w:numFmt w:val="lowerRoman"/>
      <w:start w:val="1"/>
    </w:lvl>
  </w:abstractNum>
  <w:abstractNum w:abstractNumId="75">
    <w:nsid w:val="4BEE5A5B"/>
    <w:multiLevelType w:val="hybridMultilevel"/>
    <w:lvl w:ilvl="0">
      <w:lvlJc w:val="left"/>
      <w:lvlText w:val="(%1)"/>
      <w:numFmt w:val="lowerLetter"/>
      <w:start w:val="1"/>
    </w:lvl>
  </w:abstractNum>
  <w:abstractNum w:abstractNumId="76">
    <w:nsid w:val="5551B9F3"/>
    <w:multiLevelType w:val="hybridMultilevel"/>
    <w:lvl w:ilvl="0">
      <w:lvlJc w:val="left"/>
      <w:lvlText w:val="(%1)"/>
      <w:numFmt w:val="lowerLetter"/>
      <w:start w:val="1"/>
    </w:lvl>
  </w:abstractNum>
  <w:abstractNum w:abstractNumId="77">
    <w:nsid w:val="24F6AB8E"/>
    <w:multiLevelType w:val="hybridMultilevel"/>
    <w:lvl w:ilvl="0">
      <w:lvlJc w:val="left"/>
      <w:lvlText w:val="(%1)"/>
      <w:numFmt w:val="lowerLetter"/>
      <w:start w:val="2"/>
    </w:lvl>
    <w:lvl w:ilvl="1">
      <w:lvlJc w:val="left"/>
      <w:lvlText w:val="(%2)"/>
      <w:numFmt w:val="lowerRoman"/>
      <w:start w:val="2"/>
    </w:lvl>
  </w:abstractNum>
  <w:abstractNum w:abstractNumId="78">
    <w:nsid w:val="634C574C"/>
    <w:multiLevelType w:val="hybridMultilevel"/>
    <w:lvl w:ilvl="0">
      <w:lvlJc w:val="left"/>
      <w:lvlText w:val="(%1)"/>
      <w:numFmt w:val="lowerLetter"/>
      <w:start w:val="1"/>
    </w:lvl>
  </w:abstractNum>
  <w:abstractNum w:abstractNumId="79">
    <w:nsid w:val="24E99DD7"/>
    <w:multiLevelType w:val="hybridMultilevel"/>
    <w:lvl w:ilvl="0">
      <w:lvlJc w:val="left"/>
      <w:lvlText w:val="(%1)"/>
      <w:numFmt w:val="lowerLetter"/>
      <w:start w:val="2"/>
    </w:lvl>
  </w:abstractNum>
  <w:abstractNum w:abstractNumId="80">
    <w:nsid w:val="2A31B62D"/>
    <w:multiLevelType w:val="hybridMultilevel"/>
    <w:lvl w:ilvl="0">
      <w:lvlJc w:val="left"/>
      <w:lvlText w:val="(%1)"/>
      <w:numFmt w:val="lowerLetter"/>
      <w:start w:val="1"/>
    </w:lvl>
  </w:abstractNum>
  <w:abstractNum w:abstractNumId="81">
    <w:nsid w:val="1849C29B"/>
    <w:multiLevelType w:val="hybridMultilevel"/>
    <w:lvl w:ilvl="0">
      <w:lvlJc w:val="left"/>
      <w:lvlText w:val="(%1)"/>
      <w:numFmt w:val="lowerLetter"/>
      <w:start w:val="1"/>
    </w:lvl>
  </w:abstractNum>
  <w:abstractNum w:abstractNumId="82">
    <w:nsid w:val="7DFF9D09"/>
    <w:multiLevelType w:val="hybridMultilevel"/>
    <w:lvl w:ilvl="0">
      <w:lvlJc w:val="left"/>
      <w:lvlText w:val="(%1)"/>
      <w:numFmt w:val="lowerRoman"/>
      <w:start w:val="2"/>
    </w:lvl>
  </w:abstractNum>
  <w:abstractNum w:abstractNumId="83">
    <w:nsid w:val="754342"/>
    <w:multiLevelType w:val="hybridMultilevel"/>
    <w:lvl w:ilvl="0">
      <w:lvlJc w:val="left"/>
      <w:lvlText w:val="(%1)"/>
      <w:numFmt w:val="lowerLetter"/>
      <w:start w:val="3"/>
    </w:lvl>
  </w:abstractNum>
  <w:abstractNum w:abstractNumId="84">
    <w:nsid w:val="69E7F3E5"/>
    <w:multiLevelType w:val="hybridMultilevel"/>
    <w:lvl w:ilvl="0">
      <w:lvlJc w:val="left"/>
      <w:lvlText w:val="(%1)"/>
      <w:numFmt w:val="lowerRoman"/>
      <w:start w:val="2"/>
    </w:lvl>
    <w:lvl w:ilvl="1">
      <w:lvlJc w:val="left"/>
      <w:lvlText w:val="(%2)"/>
      <w:numFmt w:val="lowerRoman"/>
      <w:start w:val="1"/>
    </w:lvl>
  </w:abstractNum>
  <w:abstractNum w:abstractNumId="85">
    <w:nsid w:val="2A6DE806"/>
    <w:multiLevelType w:val="hybridMultilevel"/>
    <w:lvl w:ilvl="0">
      <w:lvlJc w:val="left"/>
      <w:lvlText w:val="(%1)"/>
      <w:numFmt w:val="lowerLetter"/>
      <w:start w:val="1"/>
    </w:lvl>
  </w:abstractNum>
  <w:abstractNum w:abstractNumId="86">
    <w:nsid w:val="1816F8C4"/>
    <w:multiLevelType w:val="hybridMultilevel"/>
    <w:lvl w:ilvl="0">
      <w:lvlJc w:val="left"/>
      <w:lvlText w:val="(%1)"/>
      <w:numFmt w:val="lowerLetter"/>
      <w:start w:val="1"/>
    </w:lvl>
    <w:lvl w:ilvl="1">
      <w:lvlJc w:val="left"/>
      <w:lvlText w:val="(%2)"/>
      <w:numFmt w:val="lowerRoman"/>
      <w:start w:val="1"/>
    </w:lvl>
  </w:abstractNum>
  <w:abstractNum w:abstractNumId="87">
    <w:nsid w:val="37DF2233"/>
    <w:multiLevelType w:val="hybridMultilevel"/>
    <w:lvl w:ilvl="0">
      <w:lvlJc w:val="left"/>
      <w:lvlText w:val="(%1)"/>
      <w:numFmt w:val="lowerRoman"/>
      <w:start w:val="3"/>
    </w:lvl>
    <w:lvl w:ilvl="1">
      <w:lvlJc w:val="left"/>
      <w:lvlText w:val="(%2)"/>
      <w:numFmt w:val="upperLetter"/>
      <w:start w:val="1"/>
    </w:lvl>
  </w:abstractNum>
  <w:abstractNum w:abstractNumId="88">
    <w:nsid w:val="7AB49DAF"/>
    <w:multiLevelType w:val="hybridMultilevel"/>
    <w:lvl w:ilvl="0">
      <w:lvlJc w:val="left"/>
      <w:lvlText w:val="%1"/>
      <w:numFmt w:val="lowerLetter"/>
      <w:start w:val="1"/>
    </w:lvl>
    <w:lvl w:ilvl="1">
      <w:lvlJc w:val="left"/>
      <w:lvlText w:val="(%2)"/>
      <w:numFmt w:val="lowerRoman"/>
      <w:start w:val="4"/>
    </w:lvl>
  </w:abstractNum>
  <w:abstractNum w:abstractNumId="89">
    <w:nsid w:val="759F82CD"/>
    <w:multiLevelType w:val="hybridMultilevel"/>
    <w:lvl w:ilvl="0">
      <w:lvlJc w:val="left"/>
      <w:lvlText w:val="(%1)"/>
      <w:numFmt w:val="lowerLetter"/>
      <w:start w:val="2"/>
    </w:lvl>
    <w:lvl w:ilvl="1">
      <w:lvlJc w:val="left"/>
      <w:lvlText w:val="%2"/>
      <w:numFmt w:val="lowerRoman"/>
      <w:start w:val="1"/>
    </w:lvl>
  </w:abstractNum>
  <w:abstractNum w:abstractNumId="90">
    <w:nsid w:val="61E74EA3"/>
    <w:multiLevelType w:val="hybridMultilevel"/>
    <w:lvl w:ilvl="0">
      <w:lvlJc w:val="left"/>
      <w:lvlText w:val="(%1)"/>
      <w:numFmt w:val="lowerLetter"/>
      <w:start w:val="1"/>
    </w:lvl>
  </w:abstractNum>
  <w:abstractNum w:abstractNumId="91">
    <w:nsid w:val="597B4D84"/>
    <w:multiLevelType w:val="hybridMultilevel"/>
    <w:lvl w:ilvl="0">
      <w:lvlJc w:val="left"/>
      <w:lvlText w:val="%1"/>
      <w:numFmt w:val="lowerLetter"/>
      <w:start w:val="1"/>
    </w:lvl>
    <w:lvl w:ilvl="1">
      <w:lvlJc w:val="left"/>
      <w:lvlText w:val="(%2)"/>
      <w:numFmt w:val="lowerLetter"/>
      <w:start w:val="35"/>
    </w:lvl>
  </w:abstractNum>
  <w:abstractNum w:abstractNumId="92">
    <w:nsid w:val="F819E7F"/>
    <w:multiLevelType w:val="hybridMultilevel"/>
    <w:lvl w:ilvl="0">
      <w:lvlJc w:val="left"/>
      <w:lvlText w:val="(%1)"/>
      <w:numFmt w:val="lowerLetter"/>
      <w:start w:val="2"/>
    </w:lvl>
    <w:lvl w:ilvl="1">
      <w:lvlJc w:val="left"/>
      <w:lvlText w:val="%2"/>
      <w:numFmt w:val="lowerLetter"/>
      <w:start w:val="1"/>
    </w:lvl>
  </w:abstractNum>
  <w:abstractNum w:abstractNumId="93">
    <w:nsid w:val="57C7D42D"/>
    <w:multiLevelType w:val="hybridMultilevel"/>
    <w:lvl w:ilvl="0">
      <w:lvlJc w:val="left"/>
      <w:lvlText w:val="%1"/>
      <w:numFmt w:val="lowerLetter"/>
      <w:start w:val="1"/>
    </w:lvl>
    <w:lvl w:ilvl="1">
      <w:lvlJc w:val="left"/>
      <w:lvlText w:val="(%2)"/>
      <w:numFmt w:val="lowerLetter"/>
      <w:start w:val="35"/>
    </w:lvl>
  </w:abstractNum>
  <w:abstractNum w:abstractNumId="94">
    <w:nsid w:val="312167AD"/>
    <w:multiLevelType w:val="hybridMultilevel"/>
    <w:lvl w:ilvl="0">
      <w:lvlJc w:val="left"/>
      <w:lvlText w:val="(%1)"/>
      <w:numFmt w:val="lowerLetter"/>
      <w:start w:val="4"/>
    </w:lvl>
    <w:lvl w:ilvl="1">
      <w:lvlJc w:val="left"/>
      <w:lvlText w:val="(%2)"/>
      <w:numFmt w:val="lowerLetter"/>
      <w:start w:val="35"/>
    </w:lvl>
  </w:abstractNum>
  <w:abstractNum w:abstractNumId="95">
    <w:nsid w:val="631B64D4"/>
    <w:multiLevelType w:val="hybridMultilevel"/>
    <w:lvl w:ilvl="0">
      <w:lvlJc w:val="left"/>
      <w:lvlText w:val="(%1)"/>
      <w:numFmt w:val="upperLetter"/>
      <w:start w:val="1"/>
    </w:lvl>
    <w:lvl w:ilvl="1">
      <w:lvlJc w:val="left"/>
      <w:lvlText w:val="(%2)"/>
      <w:numFmt w:val="upperLetter"/>
      <w:start w:val="9"/>
    </w:lvl>
  </w:abstractNum>
  <w:abstractNum w:abstractNumId="96">
    <w:nsid w:val="78B5E776"/>
    <w:multiLevelType w:val="hybridMultilevel"/>
    <w:lvl w:ilvl="0">
      <w:lvlJc w:val="left"/>
      <w:lvlText w:val="(%1)"/>
      <w:numFmt w:val="upperLetter"/>
      <w:start w:val="35"/>
    </w:lvl>
  </w:abstractNum>
  <w:abstractNum w:abstractNumId="97">
    <w:nsid w:val="75486E47"/>
    <w:multiLevelType w:val="hybridMultilevel"/>
    <w:lvl w:ilvl="0">
      <w:lvlJc w:val="left"/>
      <w:lvlText w:val="(%1)"/>
      <w:numFmt w:val="upperLetter"/>
      <w:start w:val="61"/>
    </w:lvl>
  </w:abstractNum>
  <w:abstractNum w:abstractNumId="98">
    <w:nsid w:val="6E534CDE"/>
    <w:multiLevelType w:val="hybridMultilevel"/>
    <w:lvl w:ilvl="0">
      <w:lvlJc w:val="left"/>
      <w:lvlText w:val="(%1)"/>
      <w:numFmt w:val="upperLetter"/>
      <w:start w:val="22"/>
    </w:lvl>
  </w:abstractNum>
  <w:abstractNum w:abstractNumId="99">
    <w:nsid w:val="1A0DDE32"/>
    <w:multiLevelType w:val="hybridMultilevel"/>
    <w:lvl w:ilvl="0">
      <w:lvlJc w:val="left"/>
      <w:lvlText w:val="(%1)"/>
      <w:numFmt w:val="lowerRoman"/>
      <w:start w:val="3"/>
    </w:lvl>
    <w:lvl w:ilvl="1">
      <w:lvlJc w:val="left"/>
      <w:lvlText w:val="(%2)"/>
      <w:numFmt w:val="upperLetter"/>
      <w:start w:val="1"/>
    </w:lvl>
  </w:abstractNum>
  <w:abstractNum w:abstractNumId="100">
    <w:nsid w:val="65968C1C"/>
    <w:multiLevelType w:val="hybridMultilevel"/>
    <w:lvl w:ilvl="0">
      <w:lvlJc w:val="left"/>
      <w:lvlText w:val="(%1)"/>
      <w:numFmt w:val="lowerLetter"/>
      <w:start w:val="6"/>
    </w:lvl>
  </w:abstractNum>
  <w:abstractNum w:abstractNumId="101">
    <w:nsid w:val="46263DEC"/>
    <w:multiLevelType w:val="hybridMultilevel"/>
    <w:lvl w:ilvl="0">
      <w:lvlJc w:val="left"/>
      <w:lvlText w:val="(%1)"/>
      <w:numFmt w:val="lowerLetter"/>
      <w:start w:val="1"/>
    </w:lvl>
    <w:lvl w:ilvl="1">
      <w:lvlJc w:val="left"/>
      <w:lvlText w:val="(%2)"/>
      <w:numFmt w:val="lowerLetter"/>
      <w:start w:val="9"/>
    </w:lvl>
  </w:abstractNum>
  <w:abstractNum w:abstractNumId="102">
    <w:nsid w:val="260D8C4A"/>
    <w:multiLevelType w:val="hybridMultilevel"/>
    <w:lvl w:ilvl="0">
      <w:lvlJc w:val="left"/>
      <w:lvlText w:val="(%1)"/>
      <w:numFmt w:val="lowerRoman"/>
      <w:start w:val="2"/>
    </w:lvl>
  </w:abstractNum>
  <w:abstractNum w:abstractNumId="103">
    <w:nsid w:val="73D4D3C4"/>
    <w:multiLevelType w:val="hybridMultilevel"/>
    <w:lvl w:ilvl="0">
      <w:lvlJc w:val="left"/>
      <w:lvlText w:val="(%1)"/>
      <w:numFmt w:val="lowerLetter"/>
      <w:start w:val="2"/>
    </w:lvl>
  </w:abstractNum>
  <w:abstractNum w:abstractNumId="104">
    <w:nsid w:val="746F2E30"/>
    <w:multiLevelType w:val="hybridMultilevel"/>
    <w:lvl w:ilvl="0">
      <w:lvlJc w:val="left"/>
      <w:lvlText w:val="(%1)"/>
      <w:numFmt w:val="lowerLetter"/>
      <w:start w:val="4"/>
    </w:lvl>
  </w:abstractNum>
  <w:abstractNum w:abstractNumId="105">
    <w:nsid w:val="6FDE8AF6"/>
    <w:multiLevelType w:val="hybridMultilevel"/>
    <w:lvl w:ilvl="0">
      <w:lvlJc w:val="left"/>
      <w:lvlText w:val="(%1)"/>
      <w:numFmt w:val="lowerLetter"/>
      <w:start w:val="1"/>
    </w:lvl>
  </w:abstractNum>
  <w:abstractNum w:abstractNumId="106">
    <w:nsid w:val="3FC32E20"/>
    <w:multiLevelType w:val="hybridMultilevel"/>
    <w:lvl w:ilvl="0">
      <w:lvlJc w:val="left"/>
      <w:lvlText w:val="(%1)"/>
      <w:numFmt w:val="lowerLetter"/>
      <w:start w:val="1"/>
    </w:lvl>
  </w:abstractNum>
  <w:abstractNum w:abstractNumId="107">
    <w:nsid w:val="49C0E823"/>
    <w:multiLevelType w:val="hybridMultilevel"/>
    <w:lvl w:ilvl="0">
      <w:lvlJc w:val="left"/>
      <w:lvlText w:val="(%1)"/>
      <w:numFmt w:val="lowerLetter"/>
      <w:start w:val="2"/>
    </w:lvl>
  </w:abstractNum>
  <w:abstractNum w:abstractNumId="108">
    <w:nsid w:val="14D53685"/>
    <w:multiLevelType w:val="hybridMultilevel"/>
    <w:lvl w:ilvl="0">
      <w:lvlJc w:val="left"/>
      <w:lvlText w:val="(%1)"/>
      <w:numFmt w:val="lowerLetter"/>
      <w:start w:val="1"/>
    </w:lvl>
    <w:lvl w:ilvl="1">
      <w:lvlJc w:val="left"/>
      <w:lvlText w:val="(%2)"/>
      <w:numFmt w:val="lowerRoman"/>
      <w:start w:val="1"/>
    </w:lvl>
  </w:abstractNum>
  <w:abstractNum w:abstractNumId="109">
    <w:nsid w:val="230F856C"/>
    <w:multiLevelType w:val="hybridMultilevel"/>
    <w:lvl w:ilvl="0">
      <w:lvlJc w:val="left"/>
      <w:lvlText w:val="%1"/>
      <w:numFmt w:val="lowerLetter"/>
      <w:start w:val="1"/>
    </w:lvl>
    <w:lvl w:ilvl="1">
      <w:lvlJc w:val="left"/>
      <w:lvlText w:val="(%2)"/>
      <w:numFmt w:val="lowerRoman"/>
      <w:start w:val="4"/>
    </w:lvl>
  </w:abstractNum>
  <w:abstractNum w:abstractNumId="110">
    <w:nsid w:val="6EAA85FB"/>
    <w:multiLevelType w:val="hybridMultilevel"/>
    <w:lvl w:ilvl="0">
      <w:lvlJc w:val="left"/>
      <w:lvlText w:val="(%1)"/>
      <w:numFmt w:val="lowerLetter"/>
      <w:start w:val="2"/>
    </w:lvl>
    <w:lvl w:ilvl="1">
      <w:lvlJc w:val="left"/>
      <w:lvlText w:val="%2"/>
      <w:numFmt w:val="lowerRoman"/>
      <w:start w:val="1"/>
    </w:lvl>
  </w:abstractNum>
  <w:abstractNum w:abstractNumId="111">
    <w:nsid w:val="3F06ECB2"/>
    <w:multiLevelType w:val="hybridMultilevel"/>
    <w:lvl w:ilvl="0">
      <w:lvlJc w:val="left"/>
      <w:lvlText w:val="(%1)"/>
      <w:numFmt w:val="lowerLetter"/>
      <w:start w:val="1"/>
    </w:lvl>
  </w:abstractNum>
  <w:abstractNum w:abstractNumId="112">
    <w:nsid w:val="3B594807"/>
    <w:multiLevelType w:val="hybridMultilevel"/>
    <w:lvl w:ilvl="0">
      <w:lvlJc w:val="left"/>
      <w:lvlText w:val="(%1)"/>
      <w:numFmt w:val="lowerLetter"/>
      <w:start w:val="1"/>
    </w:lvl>
  </w:abstractNum>
  <w:abstractNum w:abstractNumId="113">
    <w:nsid w:val="6CAA2304"/>
    <w:multiLevelType w:val="hybridMultilevel"/>
    <w:lvl w:ilvl="0">
      <w:lvlJc w:val="left"/>
      <w:lvlText w:val="(%1)"/>
      <w:numFmt w:val="lowerLetter"/>
      <w:start w:val="1"/>
    </w:lvl>
  </w:abstractNum>
  <w:abstractNum w:abstractNumId="114">
    <w:nsid w:val="3F7C2FF4"/>
    <w:multiLevelType w:val="hybridMultilevel"/>
    <w:lvl w:ilvl="0">
      <w:lvlJc w:val="left"/>
      <w:lvlText w:val="(%1)"/>
      <w:numFmt w:val="lowerLetter"/>
      <w:start w:val="4"/>
    </w:lvl>
    <w:lvl w:ilvl="1">
      <w:lvlJc w:val="left"/>
      <w:lvlText w:val="(%2)"/>
      <w:numFmt w:val="lowerLetter"/>
      <w:start w:val="35"/>
    </w:lvl>
  </w:abstractNum>
  <w:abstractNum w:abstractNumId="115">
    <w:nsid w:val="25413BEC"/>
    <w:multiLevelType w:val="hybridMultilevel"/>
    <w:lvl w:ilvl="0">
      <w:lvlJc w:val="left"/>
      <w:lvlText w:val="%1"/>
      <w:numFmt w:val="lowerLetter"/>
      <w:start w:val="1"/>
    </w:lvl>
    <w:lvl w:ilvl="1">
      <w:lvlJc w:val="left"/>
      <w:lvlText w:val="(%2)"/>
      <w:numFmt w:val="lowerLetter"/>
      <w:start w:val="1"/>
    </w:lvl>
  </w:abstractNum>
  <w:abstractNum w:abstractNumId="116">
    <w:nsid w:val="17180B0B"/>
    <w:multiLevelType w:val="hybridMultilevel"/>
    <w:lvl w:ilvl="0">
      <w:lvlJc w:val="left"/>
      <w:lvlText w:val="(%1)"/>
      <w:numFmt w:val="lowerLetter"/>
      <w:start w:val="61"/>
    </w:lvl>
    <w:lvl w:ilvl="1">
      <w:lvlJc w:val="left"/>
      <w:lvlText w:val="%2"/>
      <w:numFmt w:val="lowerLetter"/>
      <w:start w:val="1"/>
    </w:lvl>
  </w:abstractNum>
  <w:abstractNum w:abstractNumId="117">
    <w:nsid w:val="579328B9"/>
    <w:multiLevelType w:val="hybridMultilevel"/>
    <w:lvl w:ilvl="0">
      <w:lvlJc w:val="left"/>
      <w:lvlText w:val="(%1)"/>
      <w:numFmt w:val="lowerLetter"/>
      <w:start w:val="1"/>
    </w:lvl>
  </w:abstractNum>
  <w:abstractNum w:abstractNumId="118">
    <w:nsid w:val="5D205E20"/>
    <w:multiLevelType w:val="hybridMultilevel"/>
    <w:lvl w:ilvl="0">
      <w:lvlJc w:val="left"/>
      <w:lvlText w:val="(%1)"/>
      <w:numFmt w:val="lowerLetter"/>
      <w:start w:val="2"/>
    </w:lvl>
  </w:abstractNum>
  <w:abstractNum w:abstractNumId="119">
    <w:nsid w:val="11CCA8BA"/>
    <w:multiLevelType w:val="hybridMultilevel"/>
    <w:lvl w:ilvl="0">
      <w:lvlJc w:val="left"/>
      <w:lvlText w:val="(%1)"/>
      <w:numFmt w:val="lowerLetter"/>
      <w:start w:val="1"/>
    </w:lvl>
  </w:abstractNum>
  <w:abstractNum w:abstractNumId="120">
    <w:nsid w:val="4D32AB86"/>
    <w:multiLevelType w:val="hybridMultilevel"/>
    <w:lvl w:ilvl="0">
      <w:lvlJc w:val="left"/>
      <w:lvlText w:val="(%1)"/>
      <w:numFmt w:val="lowerLetter"/>
      <w:start w:val="1"/>
    </w:lvl>
  </w:abstractNum>
  <w:abstractNum w:abstractNumId="121">
    <w:nsid w:val="3F07ACC3"/>
    <w:multiLevelType w:val="hybridMultilevel"/>
    <w:lvl w:ilvl="0">
      <w:lvlJc w:val="left"/>
      <w:lvlText w:val="(%1)"/>
      <w:numFmt w:val="lowerLetter"/>
      <w:start w:val="4"/>
    </w:lvl>
  </w:abstractNum>
  <w:abstractNum w:abstractNumId="122">
    <w:nsid w:val="6B47F63E"/>
    <w:multiLevelType w:val="hybridMultilevel"/>
    <w:lvl w:ilvl="0">
      <w:lvlJc w:val="left"/>
      <w:lvlText w:val="(%1)"/>
      <w:numFmt w:val="lowerLetter"/>
      <w:start w:val="1"/>
    </w:lvl>
  </w:abstractNum>
  <w:abstractNum w:abstractNumId="123">
    <w:nsid w:val="5CB44A05"/>
    <w:multiLevelType w:val="hybridMultilevel"/>
    <w:lvl w:ilvl="0">
      <w:lvlJc w:val="left"/>
      <w:lvlText w:val="(%1)"/>
      <w:numFmt w:val="lowerLetter"/>
      <w:start w:val="4"/>
    </w:lvl>
  </w:abstractNum>
  <w:abstractNum w:abstractNumId="124">
    <w:nsid w:val="16CF80F1"/>
    <w:multiLevelType w:val="hybridMultilevel"/>
    <w:lvl w:ilvl="0">
      <w:lvlJc w:val="left"/>
      <w:lvlText w:val="(%1)"/>
      <w:numFmt w:val="lowerLetter"/>
      <w:start w:val="1"/>
    </w:lvl>
  </w:abstractNum>
  <w:abstractNum w:abstractNumId="125">
    <w:nsid w:val="1C695DEC"/>
    <w:multiLevelType w:val="hybridMultilevel"/>
    <w:lvl w:ilvl="0">
      <w:lvlJc w:val="left"/>
      <w:lvlText w:val="(%1)"/>
      <w:numFmt w:val="lowerLetter"/>
      <w:start w:val="1"/>
    </w:lvl>
  </w:abstractNum>
  <w:abstractNum w:abstractNumId="126">
    <w:nsid w:val="3FCFAED9"/>
    <w:multiLevelType w:val="hybridMultilevel"/>
    <w:lvl w:ilvl="0">
      <w:lvlJc w:val="left"/>
      <w:lvlText w:val="(%1)"/>
      <w:numFmt w:val="lowerLetter"/>
      <w:start w:val="1"/>
    </w:lvl>
  </w:abstractNum>
  <w:abstractNum w:abstractNumId="127">
    <w:nsid w:val="F856867"/>
    <w:multiLevelType w:val="hybridMultilevel"/>
    <w:lvl w:ilvl="0">
      <w:lvlJc w:val="left"/>
      <w:lvlText w:val="(%1)"/>
      <w:numFmt w:val="lowerLetter"/>
      <w:start w:val="1"/>
    </w:lvl>
    <w:lvl w:ilvl="1">
      <w:lvlJc w:val="left"/>
      <w:lvlText w:val="(%2)"/>
      <w:numFmt w:val="lowerRoman"/>
      <w:start w:val="1"/>
    </w:lvl>
  </w:abstractNum>
  <w:abstractNum w:abstractNumId="128">
    <w:nsid w:val="11B1CC33"/>
    <w:multiLevelType w:val="hybridMultilevel"/>
    <w:lvl w:ilvl="0">
      <w:lvlJc w:val="left"/>
      <w:lvlText w:val="%1"/>
      <w:numFmt w:val="lowerRoman"/>
      <w:start w:val="1"/>
    </w:lvl>
    <w:lvl w:ilvl="1">
      <w:lvlJc w:val="left"/>
      <w:lvlText w:val="(%2)"/>
      <w:numFmt w:val="lowerRoman"/>
      <w:start w:val="5"/>
    </w:lvl>
  </w:abstractNum>
  <w:abstractNum w:abstractNumId="129">
    <w:nsid w:val="2E22FBB7"/>
    <w:multiLevelType w:val="hybridMultilevel"/>
    <w:lvl w:ilvl="0">
      <w:lvlJc w:val="left"/>
      <w:lvlText w:val="(%1)"/>
      <w:numFmt w:val="lowerRoman"/>
      <w:start w:val="3"/>
    </w:lvl>
    <w:lvl w:ilvl="1">
      <w:lvlJc w:val="left"/>
      <w:lvlText w:val="(%2)"/>
      <w:numFmt w:val="lowerRoman"/>
      <w:start w:val="6"/>
    </w:lvl>
  </w:abstractNum>
  <w:abstractNum w:abstractNumId="130">
    <w:nsid w:val="29934699"/>
    <w:multiLevelType w:val="hybridMultilevel"/>
    <w:lvl w:ilvl="0">
      <w:lvlJc w:val="left"/>
      <w:lvlText w:val="(%1)"/>
      <w:numFmt w:val="lowerLetter"/>
      <w:start w:val="2"/>
    </w:lvl>
    <w:lvl w:ilvl="1">
      <w:lvlJc w:val="left"/>
      <w:lvlText w:val="(%2)"/>
      <w:numFmt w:val="lowerRoman"/>
      <w:start w:val="1"/>
    </w:lvl>
  </w:abstractNum>
  <w:abstractNum w:abstractNumId="131">
    <w:nsid w:val="77485850"/>
    <w:multiLevelType w:val="hybridMultilevel"/>
    <w:lvl w:ilvl="0">
      <w:lvlJc w:val="left"/>
      <w:lvlText w:val="%1"/>
      <w:numFmt w:val="lowerLetter"/>
      <w:start w:val="1"/>
    </w:lvl>
    <w:lvl w:ilvl="1">
      <w:lvlJc w:val="left"/>
      <w:lvlText w:val="(%2)"/>
      <w:numFmt w:val="lowerRoman"/>
      <w:start w:val="3"/>
    </w:lvl>
  </w:abstractNum>
  <w:abstractNum w:abstractNumId="132">
    <w:nsid w:val="744939A3"/>
    <w:multiLevelType w:val="hybridMultilevel"/>
    <w:lvl w:ilvl="0">
      <w:lvlJc w:val="left"/>
      <w:lvlText w:val="(%1)"/>
      <w:numFmt w:val="lowerLetter"/>
      <w:start w:val="3"/>
    </w:lvl>
    <w:lvl w:ilvl="1">
      <w:lvlJc w:val="left"/>
      <w:lvlText w:val="(%2)"/>
      <w:numFmt w:val="lowerRoman"/>
      <w:start w:val="1"/>
    </w:lvl>
  </w:abstractNum>
  <w:abstractNum w:abstractNumId="133">
    <w:nsid w:val="4FA0D2E3"/>
    <w:multiLevelType w:val="hybridMultilevel"/>
    <w:lvl w:ilvl="0">
      <w:lvlJc w:val="left"/>
      <w:lvlText w:val="%1"/>
      <w:numFmt w:val="lowerLetter"/>
      <w:start w:val="1"/>
    </w:lvl>
    <w:lvl w:ilvl="1">
      <w:lvlJc w:val="left"/>
      <w:lvlText w:val="(%2)"/>
      <w:numFmt w:val="lowerRoman"/>
      <w:start w:val="3"/>
    </w:lvl>
  </w:abstractNum>
  <w:abstractNum w:abstractNumId="134">
    <w:nsid w:val="6B1D2C14"/>
    <w:multiLevelType w:val="hybridMultilevel"/>
    <w:lvl w:ilvl="0">
      <w:lvlJc w:val="left"/>
      <w:lvlText w:val="(%1)"/>
      <w:numFmt w:val="lowerLetter"/>
      <w:start w:val="4"/>
    </w:lvl>
    <w:lvl w:ilvl="1">
      <w:lvlJc w:val="left"/>
      <w:lvlText w:val="%2"/>
      <w:numFmt w:val="lowerRoman"/>
      <w:start w:val="1"/>
    </w:lvl>
  </w:abstractNum>
  <w:abstractNum w:abstractNumId="135">
    <w:nsid w:val="68B867D3"/>
    <w:multiLevelType w:val="hybridMultilevel"/>
    <w:lvl w:ilvl="0">
      <w:lvlJc w:val="left"/>
      <w:lvlText w:val="(%1)"/>
      <w:numFmt w:val="lowerLetter"/>
      <w:start w:val="1"/>
    </w:lvl>
  </w:abstractNum>
  <w:abstractNum w:abstractNumId="136">
    <w:nsid w:val="3F7F5DD9"/>
    <w:multiLevelType w:val="hybridMultilevel"/>
    <w:lvl w:ilvl="0">
      <w:lvlJc w:val="left"/>
      <w:lvlText w:val="(%1)"/>
      <w:numFmt w:val="lowerLetter"/>
      <w:start w:val="4"/>
    </w:lvl>
  </w:abstractNum>
  <w:abstractNum w:abstractNumId="137">
    <w:nsid w:val="2AE05A34"/>
    <w:multiLevelType w:val="hybridMultilevel"/>
    <w:lvl w:ilvl="0">
      <w:lvlJc w:val="left"/>
      <w:lvlText w:val="(%1)"/>
      <w:numFmt w:val="lowerLetter"/>
      <w:start w:val="1"/>
    </w:lvl>
  </w:abstractNum>
  <w:abstractNum w:abstractNumId="138">
    <w:nsid w:val="32794FF7"/>
    <w:multiLevelType w:val="hybridMultilevel"/>
    <w:lvl w:ilvl="0">
      <w:lvlJc w:val="left"/>
      <w:lvlText w:val="(%1)"/>
      <w:numFmt w:val="lowerLetter"/>
      <w:start w:val="4"/>
    </w:lvl>
  </w:abstractNum>
  <w:abstractNum w:abstractNumId="139">
    <w:nsid w:val="5454945E"/>
    <w:multiLevelType w:val="hybridMultilevel"/>
    <w:lvl w:ilvl="0">
      <w:lvlJc w:val="left"/>
      <w:lvlText w:val="(%1)"/>
      <w:numFmt w:val="lowerLetter"/>
      <w:start w:val="1"/>
    </w:lvl>
  </w:abstractNum>
  <w:abstractNum w:abstractNumId="140">
    <w:nsid w:val="4DEFDFA0"/>
    <w:multiLevelType w:val="hybridMultilevel"/>
    <w:lvl w:ilvl="0">
      <w:lvlJc w:val="left"/>
      <w:lvlText w:val="(%1)"/>
      <w:numFmt w:val="lowerLetter"/>
      <w:start w:val="3"/>
    </w:lvl>
    <w:lvl w:ilvl="1">
      <w:lvlJc w:val="left"/>
      <w:lvlText w:val="(%2)"/>
      <w:numFmt w:val="upperLetter"/>
      <w:start w:val="1"/>
    </w:lvl>
    <w:lvl w:ilvl="2">
      <w:lvlJc w:val="left"/>
      <w:lvlText w:val="(%3)"/>
      <w:numFmt w:val="decimal"/>
      <w:start w:val="2"/>
    </w:lvl>
  </w:abstractNum>
  <w:abstractNum w:abstractNumId="141">
    <w:nsid w:val="2123D5F2"/>
    <w:multiLevelType w:val="hybridMultilevel"/>
    <w:lvl w:ilvl="0">
      <w:lvlJc w:val="left"/>
      <w:lvlText w:val="(%1)"/>
      <w:numFmt w:val="lowerRoman"/>
      <w:start w:val="1"/>
    </w:lvl>
  </w:abstractNum>
  <w:abstractNum w:abstractNumId="142">
    <w:nsid w:val="135B8110"/>
    <w:multiLevelType w:val="hybridMultilevel"/>
    <w:lvl w:ilvl="0">
      <w:lvlJc w:val="left"/>
      <w:lvlText w:val="(%1)"/>
      <w:numFmt w:val="lowerLetter"/>
      <w:start w:val="8"/>
    </w:lvl>
  </w:abstractNum>
  <w:abstractNum w:abstractNumId="143">
    <w:nsid w:val="94927A8"/>
    <w:multiLevelType w:val="hybridMultilevel"/>
    <w:lvl w:ilvl="0">
      <w:lvlJc w:val="left"/>
      <w:lvlText w:val="(%1)"/>
      <w:numFmt w:val="lowerLetter"/>
      <w:start w:val="1"/>
    </w:lvl>
  </w:abstractNum>
  <w:abstractNum w:abstractNumId="144">
    <w:nsid w:val="DCDF8F6"/>
    <w:multiLevelType w:val="hybridMultilevel"/>
    <w:lvl w:ilvl="0">
      <w:lvlJc w:val="left"/>
      <w:lvlText w:val="(%1)"/>
      <w:numFmt w:val="lowerLetter"/>
      <w:start w:val="2"/>
    </w:lvl>
  </w:abstractNum>
  <w:abstractNum w:abstractNumId="145">
    <w:nsid w:val="52D7B105"/>
    <w:multiLevelType w:val="hybridMultilevel"/>
    <w:lvl w:ilvl="0">
      <w:lvlJc w:val="left"/>
      <w:lvlText w:val="(%1)"/>
      <w:numFmt w:val="lowerLetter"/>
      <w:start w:val="1"/>
    </w:lvl>
  </w:abstractNum>
  <w:abstractNum w:abstractNumId="146">
    <w:nsid w:val="2E8A639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147">
    <w:nsid w:val="24E60401"/>
    <w:multiLevelType w:val="hybridMultilevel"/>
    <w:lvl w:ilvl="0">
      <w:lvlJc w:val="left"/>
      <w:lvlText w:val="(%1)"/>
      <w:numFmt w:val="lowerRoman"/>
      <w:start w:val="2"/>
    </w:lvl>
  </w:abstractNum>
  <w:abstractNum w:abstractNumId="148">
    <w:nsid w:val="2A6AD9BE"/>
    <w:multiLevelType w:val="hybridMultilevel"/>
    <w:lvl w:ilvl="0">
      <w:lvlJc w:val="left"/>
      <w:lvlText w:val="(%1)"/>
      <w:numFmt w:val="lowerLetter"/>
      <w:start w:val="2"/>
    </w:lvl>
  </w:abstractNum>
  <w:abstractNum w:abstractNumId="149">
    <w:nsid w:val="BAAC1B4"/>
    <w:multiLevelType w:val="hybridMultilevel"/>
    <w:lvl w:ilvl="0">
      <w:lvlJc w:val="left"/>
      <w:lvlText w:val="%1"/>
      <w:numFmt w:val="lowerLetter"/>
      <w:start w:val="1"/>
    </w:lvl>
    <w:lvl w:ilvl="1">
      <w:lvlJc w:val="left"/>
      <w:lvlText w:val="(%2)"/>
      <w:numFmt w:val="lowerLetter"/>
      <w:start w:val="1"/>
    </w:lvl>
  </w:abstractNum>
  <w:abstractNum w:abstractNumId="150">
    <w:nsid w:val="36B2ACBC"/>
    <w:multiLevelType w:val="hybridMultilevel"/>
    <w:lvl w:ilvl="0">
      <w:lvlJc w:val="left"/>
      <w:lvlText w:val="(%1)"/>
      <w:numFmt w:val="lowerLetter"/>
      <w:start w:val="2"/>
    </w:lvl>
    <w:lvl w:ilvl="1">
      <w:lvlJc w:val="left"/>
      <w:lvlText w:val="(%2)"/>
      <w:numFmt w:val="lowerLetter"/>
      <w:start w:val="4"/>
    </w:lvl>
  </w:abstractNum>
  <w:abstractNum w:abstractNumId="151">
    <w:nsid w:val="779D8544"/>
    <w:multiLevelType w:val="hybridMultilevel"/>
    <w:lvl w:ilvl="0">
      <w:lvlJc w:val="left"/>
      <w:lvlText w:val="(%1)"/>
      <w:numFmt w:val="lowerLetter"/>
      <w:start w:val="6"/>
    </w:lvl>
  </w:abstractNum>
  <w:abstractNum w:abstractNumId="152">
    <w:nsid w:val="4AB26E78"/>
    <w:multiLevelType w:val="hybridMultilevel"/>
    <w:lvl w:ilvl="0">
      <w:lvlJc w:val="left"/>
      <w:lvlText w:val="(%1)"/>
      <w:numFmt w:val="lowerLetter"/>
      <w:start w:val="10"/>
    </w:lvl>
  </w:abstractNum>
  <w:abstractNum w:abstractNumId="153">
    <w:nsid w:val="21FAA2FA"/>
    <w:multiLevelType w:val="hybridMultilevel"/>
    <w:lvl w:ilvl="0">
      <w:lvlJc w:val="left"/>
      <w:lvlText w:val="(%1)"/>
      <w:numFmt w:val="lowerLetter"/>
      <w:start w:val="1"/>
    </w:lvl>
  </w:abstractNum>
  <w:abstractNum w:abstractNumId="154">
    <w:nsid w:val="5451CF49"/>
    <w:multiLevelType w:val="hybridMultilevel"/>
    <w:lvl w:ilvl="0">
      <w:lvlJc w:val="left"/>
      <w:lvlText w:val="(%1)"/>
      <w:numFmt w:val="lowerLetter"/>
      <w:start w:val="2"/>
    </w:lvl>
  </w:abstractNum>
  <w:abstractNum w:abstractNumId="155">
    <w:nsid w:val="6181EF69"/>
    <w:multiLevelType w:val="hybridMultilevel"/>
    <w:lvl w:ilvl="0">
      <w:lvlJc w:val="left"/>
      <w:lvlText w:val="(%1)"/>
      <w:numFmt w:val="lowerLetter"/>
      <w:start w:val="1"/>
    </w:lvl>
  </w:abstractNum>
  <w:abstractNum w:abstractNumId="156">
    <w:nsid w:val="3E6400E6"/>
    <w:multiLevelType w:val="hybridMultilevel"/>
    <w:lvl w:ilvl="0">
      <w:lvlJc w:val="left"/>
      <w:lvlText w:val="(%1)"/>
      <w:numFmt w:val="lowerLetter"/>
      <w:start w:val="1"/>
    </w:lvl>
  </w:abstractNum>
  <w:abstractNum w:abstractNumId="157">
    <w:nsid w:val="14217E23"/>
    <w:multiLevelType w:val="hybridMultilevel"/>
    <w:lvl w:ilvl="0">
      <w:lvlJc w:val="left"/>
      <w:lvlText w:val="(%1)"/>
      <w:numFmt w:val="lowerLetter"/>
      <w:start w:val="1"/>
    </w:lvl>
  </w:abstractNum>
  <w:abstractNum w:abstractNumId="158">
    <w:nsid w:val="710757D0"/>
    <w:multiLevelType w:val="hybridMultilevel"/>
    <w:lvl w:ilvl="0">
      <w:lvlJc w:val="left"/>
      <w:lvlText w:val="(%1)"/>
      <w:numFmt w:val="lowerLetter"/>
      <w:start w:val="3"/>
    </w:lvl>
  </w:abstractNum>
  <w:abstractNum w:abstractNumId="159">
    <w:nsid w:val="5015CD1A"/>
    <w:multiLevelType w:val="hybridMultilevel"/>
    <w:lvl w:ilvl="0">
      <w:lvlJc w:val="left"/>
      <w:lvlText w:val="(%1)"/>
      <w:numFmt w:val="lowerLetter"/>
      <w:start w:val="1"/>
    </w:lvl>
  </w:abstractNum>
  <w:abstractNum w:abstractNumId="160">
    <w:nsid w:val="424479DA"/>
    <w:multiLevelType w:val="hybridMultilevel"/>
    <w:lvl w:ilvl="0">
      <w:lvlJc w:val="left"/>
      <w:lvlText w:val="(%1)"/>
      <w:numFmt w:val="lowerLetter"/>
      <w:start w:val="2"/>
    </w:lvl>
  </w:abstractNum>
  <w:abstractNum w:abstractNumId="161">
    <w:nsid w:val="1A9A9E69"/>
    <w:multiLevelType w:val="hybridMultilevel"/>
    <w:lvl w:ilvl="0">
      <w:lvlJc w:val="left"/>
      <w:lvlText w:val="(%1)"/>
      <w:numFmt w:val="lowerRoman"/>
      <w:start w:val="1"/>
    </w:lvl>
  </w:abstractNum>
  <w:abstractNum w:abstractNumId="162">
    <w:nsid w:val="475E256A"/>
    <w:multiLevelType w:val="hybridMultilevel"/>
    <w:lvl w:ilvl="0">
      <w:lvlJc w:val="left"/>
      <w:lvlText w:val="(%1)"/>
      <w:numFmt w:val="lowerLetter"/>
      <w:start w:val="1"/>
    </w:lvl>
    <w:lvl w:ilvl="1">
      <w:lvlJc w:val="left"/>
      <w:lvlText w:val="(%2)"/>
      <w:numFmt w:val="lowerRoman"/>
      <w:start w:val="1"/>
    </w:lvl>
  </w:abstractNum>
  <w:abstractNum w:abstractNumId="163">
    <w:nsid w:val="368DB37E"/>
    <w:multiLevelType w:val="hybridMultilevel"/>
    <w:lvl w:ilvl="0">
      <w:lvlJc w:val="left"/>
      <w:lvlText w:val="(%1)"/>
      <w:numFmt w:val="lowerLetter"/>
      <w:start w:val="2"/>
    </w:lvl>
  </w:abstractNum>
  <w:abstractNum w:abstractNumId="164">
    <w:nsid w:val="6A3B714C"/>
    <w:multiLevelType w:val="hybridMultilevel"/>
    <w:lvl w:ilvl="0">
      <w:lvlJc w:val="left"/>
      <w:lvlText w:val="(%1)"/>
      <w:numFmt w:val="lowerLetter"/>
      <w:start w:val="3"/>
    </w:lvl>
  </w:abstractNum>
  <w:abstractNum w:abstractNumId="165">
    <w:nsid w:val="327B517E"/>
    <w:multiLevelType w:val="hybridMultilevel"/>
    <w:lvl w:ilvl="0">
      <w:lvlJc w:val="left"/>
      <w:lvlText w:val="%1"/>
      <w:numFmt w:val="lowerLetter"/>
      <w:start w:val="1"/>
    </w:lvl>
    <w:lvl w:ilvl="1">
      <w:lvlJc w:val="left"/>
      <w:lvlText w:val="(%2)"/>
      <w:numFmt w:val="lowerLetter"/>
      <w:start w:val="4"/>
    </w:lvl>
  </w:abstractNum>
  <w:abstractNum w:abstractNumId="166">
    <w:nsid w:val="1F461B51"/>
    <w:multiLevelType w:val="hybridMultilevel"/>
    <w:lvl w:ilvl="0">
      <w:lvlJc w:val="left"/>
      <w:lvlText w:val="(%1)"/>
      <w:numFmt w:val="lowerLetter"/>
      <w:start w:val="9"/>
    </w:lvl>
    <w:lvl w:ilvl="1">
      <w:lvlJc w:val="left"/>
      <w:lvlText w:val="%2"/>
      <w:numFmt w:val="lowerLetter"/>
      <w:start w:val="1"/>
    </w:lvl>
  </w:abstractNum>
  <w:abstractNum w:abstractNumId="167">
    <w:nsid w:val="29BACF25"/>
    <w:multiLevelType w:val="hybridMultilevel"/>
    <w:lvl w:ilvl="0">
      <w:lvlJc w:val="left"/>
      <w:lvlText w:val="(%1)"/>
      <w:numFmt w:val="lowerLetter"/>
      <w:start w:val="1"/>
    </w:lvl>
  </w:abstractNum>
  <w:abstractNum w:abstractNumId="168">
    <w:nsid w:val="5D5BABB3"/>
    <w:multiLevelType w:val="hybridMultilevel"/>
    <w:lvl w:ilvl="0">
      <w:lvlJc w:val="left"/>
      <w:lvlText w:val="(%1)"/>
      <w:numFmt w:val="lowerLetter"/>
      <w:start w:val="3"/>
    </w:lvl>
  </w:abstractNum>
  <w:abstractNum w:abstractNumId="169">
    <w:nsid w:val="51BF6B48"/>
    <w:multiLevelType w:val="hybridMultilevel"/>
    <w:lvl w:ilvl="0">
      <w:lvlJc w:val="left"/>
      <w:lvlText w:val="(%1)"/>
      <w:numFmt w:val="lowerLetter"/>
      <w:start w:val="5"/>
    </w:lvl>
  </w:abstractNum>
  <w:abstractNum w:abstractNumId="170">
    <w:nsid w:val="7E0F6384"/>
    <w:multiLevelType w:val="hybridMultilevel"/>
    <w:lvl w:ilvl="0">
      <w:lvlJc w:val="left"/>
      <w:lvlText w:val="(%1)"/>
      <w:numFmt w:val="lowerLetter"/>
      <w:start w:val="1"/>
    </w:lvl>
  </w:abstractNum>
  <w:abstractNum w:abstractNumId="171">
    <w:nsid w:val="2B4B8B5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72">
    <w:nsid w:val="72E3413A"/>
    <w:multiLevelType w:val="hybridMultilevel"/>
    <w:lvl w:ilvl="0">
      <w:lvlJc w:val="left"/>
      <w:lvlText w:val="%1"/>
      <w:numFmt w:val="lowerRoman"/>
      <w:start w:val="1"/>
    </w:lvl>
    <w:lvl w:ilvl="1">
      <w:lvlJc w:val="left"/>
      <w:lvlText w:val="(%2)"/>
      <w:numFmt w:val="upperLetter"/>
      <w:start w:val="2"/>
    </w:lvl>
  </w:abstractNum>
  <w:abstractNum w:abstractNumId="173">
    <w:nsid w:val="116AE494"/>
    <w:multiLevelType w:val="hybridMultilevel"/>
    <w:lvl w:ilvl="0">
      <w:lvlJc w:val="left"/>
      <w:lvlText w:val="(%1)"/>
      <w:numFmt w:val="lowerRoman"/>
      <w:start w:val="4"/>
    </w:lvl>
    <w:lvl w:ilvl="1">
      <w:lvlJc w:val="left"/>
      <w:lvlText w:val="%2"/>
      <w:numFmt w:val="upperLetter"/>
      <w:start w:val="1"/>
    </w:lvl>
  </w:abstractNum>
  <w:abstractNum w:abstractNumId="174">
    <w:nsid w:val="3494B2FB"/>
    <w:multiLevelType w:val="hybridMultilevel"/>
    <w:lvl w:ilvl="0">
      <w:lvlJc w:val="left"/>
      <w:lvlText w:val="(%1)"/>
      <w:numFmt w:val="lowerLetter"/>
      <w:start w:val="3"/>
    </w:lvl>
  </w:abstractNum>
  <w:abstractNum w:abstractNumId="175">
    <w:nsid w:val="B13A31"/>
    <w:multiLevelType w:val="hybridMultilevel"/>
    <w:lvl w:ilvl="0">
      <w:lvlJc w:val="left"/>
      <w:lvlText w:val="(%1)"/>
      <w:numFmt w:val="lowerLetter"/>
      <w:start w:val="6"/>
    </w:lvl>
  </w:abstractNum>
  <w:abstractNum w:abstractNumId="176">
    <w:nsid w:val="64429599"/>
    <w:multiLevelType w:val="hybridMultilevel"/>
    <w:lvl w:ilvl="0">
      <w:lvlJc w:val="left"/>
      <w:lvlText w:val="(%1)"/>
      <w:numFmt w:val="lowerRoman"/>
      <w:start w:val="2"/>
    </w:lvl>
  </w:abstractNum>
  <w:abstractNum w:abstractNumId="177">
    <w:nsid w:val="631F1690"/>
    <w:multiLevelType w:val="hybridMultilevel"/>
    <w:lvl w:ilvl="0">
      <w:lvlJc w:val="left"/>
      <w:lvlText w:val="(%1)"/>
      <w:numFmt w:val="lowerLetter"/>
      <w:start w:val="1"/>
    </w:lvl>
  </w:abstractNum>
  <w:abstractNum w:abstractNumId="178">
    <w:nsid w:val="25973E32"/>
    <w:multiLevelType w:val="hybridMultilevel"/>
    <w:lvl w:ilvl="0">
      <w:lvlJc w:val="left"/>
      <w:lvlText w:val="(%1)"/>
      <w:numFmt w:val="lowerLetter"/>
      <w:start w:val="1"/>
    </w:lvl>
  </w:abstractNum>
  <w:abstractNum w:abstractNumId="179">
    <w:nsid w:val="EAD6F57"/>
    <w:multiLevelType w:val="hybridMultilevel"/>
    <w:lvl w:ilvl="0">
      <w:lvlJc w:val="left"/>
      <w:lvlText w:val="(%1)"/>
      <w:numFmt w:val="lowerLetter"/>
      <w:start w:val="4"/>
    </w:lvl>
  </w:abstractNum>
  <w:abstractNum w:abstractNumId="180">
    <w:nsid w:val="6EC9D844"/>
    <w:multiLevelType w:val="hybridMultilevel"/>
    <w:lvl w:ilvl="0">
      <w:lvlJc w:val="left"/>
      <w:lvlText w:val="(%1)"/>
      <w:numFmt w:val="lowerLetter"/>
      <w:start w:val="2"/>
    </w:lvl>
  </w:abstractNum>
  <w:abstractNum w:abstractNumId="181">
    <w:nsid w:val="5C49EAEE"/>
    <w:multiLevelType w:val="hybridMultilevel"/>
    <w:lvl w:ilvl="0">
      <w:lvlJc w:val="left"/>
      <w:lvlText w:val="(%1)"/>
      <w:numFmt w:val="lowerLetter"/>
      <w:start w:val="1"/>
    </w:lvl>
    <w:lvl w:ilvl="1">
      <w:lvlJc w:val="left"/>
      <w:lvlText w:val="(%2)"/>
      <w:numFmt w:val="lowerRoman"/>
      <w:start w:val="1"/>
    </w:lvl>
  </w:abstractNum>
  <w:abstractNum w:abstractNumId="182">
    <w:nsid w:val="64AF49B"/>
    <w:multiLevelType w:val="hybridMultilevel"/>
    <w:lvl w:ilvl="0">
      <w:lvlJc w:val="left"/>
      <w:lvlText w:val="(%1)"/>
      <w:numFmt w:val="lowerLetter"/>
      <w:start w:val="1"/>
    </w:lvl>
  </w:abstractNum>
  <w:abstractNum w:abstractNumId="183">
    <w:nsid w:val="397C46BC"/>
    <w:multiLevelType w:val="hybridMultilevel"/>
    <w:lvl w:ilvl="0">
      <w:lvlJc w:val="left"/>
      <w:lvlText w:val="["/>
      <w:numFmt w:val="bullet"/>
      <w:start w:val="1"/>
    </w:lvl>
  </w:abstractNum>
  <w:abstractNum w:abstractNumId="184">
    <w:nsid w:val="7E448DE9"/>
    <w:multiLevelType w:val="hybridMultilevel"/>
    <w:lvl w:ilvl="0">
      <w:lvlJc w:val="left"/>
      <w:lvlText w:val="%1."/>
      <w:numFmt w:val="decimal"/>
      <w:start w:val="1"/>
    </w:lvl>
  </w:abstractNum>
  <w:abstractNum w:abstractNumId="185">
    <w:nsid w:val="5A9CC3E5"/>
    <w:multiLevelType w:val="hybridMultilevel"/>
    <w:lvl w:ilvl="0">
      <w:lvlJc w:val="left"/>
      <w:lvlText w:val="%1."/>
      <w:numFmt w:val="decimal"/>
      <w:start w:val="3"/>
    </w:lvl>
  </w:abstractNum>
  <w:abstractNum w:abstractNumId="186">
    <w:nsid w:val="1AFE3625"/>
    <w:multiLevelType w:val="hybridMultilevel"/>
    <w:lvl w:ilvl="0">
      <w:lvlJc w:val="left"/>
      <w:lvlText w:val="%1."/>
      <w:numFmt w:val="decimal"/>
      <w:start w:val="1"/>
    </w:lvl>
  </w:abstractNum>
  <w:abstractNum w:abstractNumId="187">
    <w:nsid w:val="3CA88ECF"/>
    <w:multiLevelType w:val="hybridMultilevel"/>
    <w:lvl w:ilvl="0">
      <w:lvlJc w:val="left"/>
      <w:lvlText w:val="%1."/>
      <w:numFmt w:val="decimal"/>
      <w:start w:val="1"/>
    </w:lvl>
  </w:abstractNum>
  <w:abstractNum w:abstractNumId="188">
    <w:nsid w:val="6EBE4208"/>
    <w:multiLevelType w:val="hybridMultilevel"/>
    <w:lvl w:ilvl="0">
      <w:lvlJc w:val="left"/>
      <w:lvlText w:val="%1."/>
      <w:numFmt w:val="decimal"/>
      <w:start w:val="3"/>
    </w:lvl>
  </w:abstractNum>
  <w:abstractNum w:abstractNumId="189">
    <w:nsid w:val="C058DF5"/>
    <w:multiLevelType w:val="hybridMultilevel"/>
    <w:lvl w:ilvl="0">
      <w:lvlJc w:val="left"/>
      <w:lvlText w:val="%1."/>
      <w:numFmt w:val="decimal"/>
      <w:start w:val="4"/>
    </w:lvl>
  </w:abstractNum>
  <w:abstractNum w:abstractNumId="190">
    <w:nsid w:val="CBE5BE9"/>
    <w:multiLevelType w:val="hybridMultilevel"/>
    <w:lvl w:ilvl="0">
      <w:lvlJc w:val="left"/>
      <w:lvlText w:val="%1."/>
      <w:numFmt w:val="decimal"/>
      <w:start w:val="1"/>
    </w:lvl>
  </w:abstractNum>
  <w:abstractNum w:abstractNumId="191">
    <w:nsid w:val="3102BBE2"/>
    <w:multiLevelType w:val="hybridMultilevel"/>
    <w:lvl w:ilvl="0">
      <w:lvlJc w:val="left"/>
      <w:lvlText w:val="%1."/>
      <w:numFmt w:val="decimal"/>
      <w:start w:val="3"/>
    </w:lvl>
  </w:abstractNum>
  <w:abstractNum w:abstractNumId="192">
    <w:nsid w:val="26A02C5E"/>
    <w:multiLevelType w:val="hybridMultilevel"/>
    <w:lvl w:ilvl="0">
      <w:lvlJc w:val="left"/>
      <w:lvlText w:val="%1."/>
      <w:numFmt w:val="decimal"/>
      <w:start w:val="6"/>
    </w:lvl>
  </w:abstractNum>
  <w:abstractNum w:abstractNumId="193">
    <w:nsid w:val="541C8153"/>
    <w:multiLevelType w:val="hybridMultilevel"/>
    <w:lvl w:ilvl="0">
      <w:lvlJc w:val="left"/>
      <w:lvlText w:val="%1."/>
      <w:numFmt w:val="decimal"/>
      <w:start w:val="1"/>
    </w:lvl>
  </w:abstractNum>
  <w:abstractNum w:abstractNumId="194">
    <w:nsid w:val="67906F60"/>
    <w:multiLevelType w:val="hybridMultilevel"/>
    <w:lvl w:ilvl="0">
      <w:lvlJc w:val="left"/>
      <w:lvlText w:val="%1."/>
      <w:numFmt w:val="decimal"/>
      <w:start w:val="2"/>
    </w:lvl>
  </w:abstractNum>
  <w:abstractNum w:abstractNumId="195">
    <w:nsid w:val="10DB9DAA"/>
    <w:multiLevelType w:val="hybridMultilevel"/>
    <w:lvl w:ilvl="0">
      <w:lvlJc w:val="left"/>
      <w:lvlText w:val="%1."/>
      <w:numFmt w:val="decimal"/>
      <w:start w:val="1"/>
    </w:lvl>
    <w:lvl w:ilvl="1">
      <w:lvlJc w:val="left"/>
      <w:lvlText w:val="(%2)"/>
      <w:numFmt w:val="lowerLetter"/>
      <w:start w:val="1"/>
    </w:lvl>
  </w:abstractNum>
  <w:abstractNum w:abstractNumId="196">
    <w:nsid w:val="697D2D2"/>
    <w:multiLevelType w:val="hybridMultilevel"/>
    <w:lvl w:ilvl="0">
      <w:lvlJc w:val="left"/>
      <w:lvlText w:val="%1."/>
      <w:numFmt w:val="decimal"/>
      <w:start w:val="1"/>
    </w:lvl>
    <w:lvl w:ilvl="1">
      <w:lvlJc w:val="left"/>
      <w:lvlText w:val="%2."/>
      <w:numFmt w:val="lowerLetter"/>
      <w:start w:val="1"/>
    </w:lvl>
  </w:abstractNum>
  <w:abstractNum w:abstractNumId="197">
    <w:nsid w:val="6D68A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2019-12-29T07:09:23Z</dcterms:created>
  <dcterms:modified xsi:type="dcterms:W3CDTF">2019-12-29T07:09:23Z</dcterms:modified>
</cp:coreProperties>
</file>